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741999" w14:textId="77777777" w:rsidR="00190813" w:rsidRPr="003037D2" w:rsidRDefault="00124458" w:rsidP="00124458">
      <w:pPr>
        <w:rPr>
          <w:rFonts w:ascii="Garamond" w:hAnsi="Garamond"/>
        </w:rPr>
      </w:pPr>
      <w:r w:rsidRPr="003037D2">
        <w:rPr>
          <w:rFonts w:ascii="Garamond" w:hAnsi="Garamond"/>
          <w:noProof/>
          <w:lang w:val="en-GB" w:eastAsia="zh-CN"/>
        </w:rPr>
        <w:drawing>
          <wp:inline distT="0" distB="0" distL="0" distR="0" wp14:anchorId="7DCAB15F" wp14:editId="64038285">
            <wp:extent cx="3029090" cy="1224951"/>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UOS_PRIMARY_LOGO_LINEAR_BLACK.eps"/>
                    <pic:cNvPicPr/>
                  </pic:nvPicPr>
                  <pic:blipFill>
                    <a:blip r:embed="rId8" cstate="hqprint">
                      <a:extLst>
                        <a:ext uri="{28A0092B-C50C-407E-A947-70E740481C1C}">
                          <a14:useLocalDpi xmlns:a14="http://schemas.microsoft.com/office/drawing/2010/main" val="0"/>
                        </a:ext>
                      </a:extLst>
                    </a:blip>
                    <a:stretch>
                      <a:fillRect/>
                    </a:stretch>
                  </pic:blipFill>
                  <pic:spPr>
                    <a:xfrm>
                      <a:off x="0" y="0"/>
                      <a:ext cx="3084308" cy="1247281"/>
                    </a:xfrm>
                    <a:prstGeom prst="rect">
                      <a:avLst/>
                    </a:prstGeom>
                  </pic:spPr>
                </pic:pic>
              </a:graphicData>
            </a:graphic>
          </wp:inline>
        </w:drawing>
      </w:r>
    </w:p>
    <w:p w14:paraId="4806F00D" w14:textId="77777777" w:rsidR="0003164D" w:rsidRPr="003037D2" w:rsidRDefault="0003164D" w:rsidP="00124458">
      <w:pPr>
        <w:rPr>
          <w:rFonts w:ascii="Garamond" w:hAnsi="Garamond"/>
        </w:rPr>
      </w:pPr>
    </w:p>
    <w:p w14:paraId="4D340B19" w14:textId="77777777" w:rsidR="0003164D" w:rsidRPr="003037D2" w:rsidRDefault="0003164D" w:rsidP="00124458">
      <w:pPr>
        <w:rPr>
          <w:rFonts w:ascii="Garamond" w:hAnsi="Garamond"/>
        </w:rPr>
      </w:pPr>
    </w:p>
    <w:p w14:paraId="609A98E5" w14:textId="77777777" w:rsidR="0003164D" w:rsidRPr="003037D2" w:rsidRDefault="0003164D" w:rsidP="00124458">
      <w:pPr>
        <w:rPr>
          <w:rFonts w:ascii="Garamond" w:hAnsi="Garamond"/>
        </w:rPr>
      </w:pPr>
    </w:p>
    <w:p w14:paraId="25E868BA" w14:textId="77777777" w:rsidR="00B42400" w:rsidRPr="003037D2" w:rsidRDefault="00B42400" w:rsidP="00124458">
      <w:pPr>
        <w:rPr>
          <w:rFonts w:ascii="Garamond" w:hAnsi="Garamond"/>
        </w:rPr>
      </w:pPr>
    </w:p>
    <w:p w14:paraId="600671BF" w14:textId="77777777" w:rsidR="00B42400" w:rsidRPr="003037D2" w:rsidRDefault="00B42400" w:rsidP="00124458">
      <w:pPr>
        <w:rPr>
          <w:rFonts w:ascii="Garamond" w:hAnsi="Garamond"/>
        </w:rPr>
      </w:pPr>
    </w:p>
    <w:p w14:paraId="7246A5D8" w14:textId="77777777" w:rsidR="00B42400" w:rsidRPr="003037D2" w:rsidRDefault="00B42400" w:rsidP="00124458">
      <w:pPr>
        <w:rPr>
          <w:rFonts w:ascii="Garamond" w:hAnsi="Garamond"/>
        </w:rPr>
      </w:pPr>
    </w:p>
    <w:p w14:paraId="1B553A2B" w14:textId="77777777" w:rsidR="0003164D" w:rsidRPr="003037D2" w:rsidRDefault="0003164D" w:rsidP="00124458">
      <w:pPr>
        <w:rPr>
          <w:rFonts w:ascii="Garamond" w:hAnsi="Garamond"/>
        </w:rPr>
      </w:pPr>
    </w:p>
    <w:p w14:paraId="2FA55046" w14:textId="77777777" w:rsidR="0003164D" w:rsidRPr="003037D2" w:rsidRDefault="00D61D15" w:rsidP="00124458">
      <w:pPr>
        <w:rPr>
          <w:rFonts w:ascii="Garamond" w:hAnsi="Garamond"/>
          <w:b/>
          <w:sz w:val="28"/>
          <w:szCs w:val="28"/>
        </w:rPr>
      </w:pPr>
      <w:proofErr w:type="spellStart"/>
      <w:r w:rsidRPr="003037D2">
        <w:rPr>
          <w:rFonts w:ascii="Garamond" w:hAnsi="Garamond"/>
          <w:b/>
          <w:sz w:val="28"/>
          <w:szCs w:val="28"/>
        </w:rPr>
        <w:t>Materialising</w:t>
      </w:r>
      <w:proofErr w:type="spellEnd"/>
      <w:r w:rsidRPr="003037D2">
        <w:rPr>
          <w:rFonts w:ascii="Garamond" w:hAnsi="Garamond"/>
          <w:b/>
          <w:sz w:val="28"/>
          <w:szCs w:val="28"/>
        </w:rPr>
        <w:t xml:space="preserve"> Time in Early Modern Religious Literature </w:t>
      </w:r>
    </w:p>
    <w:p w14:paraId="7405604C" w14:textId="77777777" w:rsidR="00B42400" w:rsidRPr="003037D2" w:rsidRDefault="00B42400" w:rsidP="00124458">
      <w:pPr>
        <w:rPr>
          <w:rFonts w:ascii="Garamond" w:hAnsi="Garamond"/>
          <w:b/>
          <w:sz w:val="28"/>
          <w:szCs w:val="28"/>
        </w:rPr>
      </w:pPr>
    </w:p>
    <w:p w14:paraId="0D4C3FC5" w14:textId="77777777" w:rsidR="00B42400" w:rsidRPr="003037D2" w:rsidRDefault="00B42400" w:rsidP="00124458">
      <w:pPr>
        <w:rPr>
          <w:rFonts w:ascii="Garamond" w:hAnsi="Garamond"/>
          <w:b/>
          <w:sz w:val="28"/>
          <w:szCs w:val="28"/>
        </w:rPr>
      </w:pPr>
    </w:p>
    <w:p w14:paraId="41371B4B" w14:textId="77777777" w:rsidR="00B42400" w:rsidRPr="003037D2" w:rsidRDefault="00B42400" w:rsidP="00124458">
      <w:pPr>
        <w:rPr>
          <w:rFonts w:ascii="Garamond" w:hAnsi="Garamond"/>
          <w:b/>
          <w:sz w:val="28"/>
          <w:szCs w:val="28"/>
        </w:rPr>
      </w:pPr>
    </w:p>
    <w:p w14:paraId="7A1EE4F5" w14:textId="77777777" w:rsidR="00D52CC3" w:rsidRPr="003037D2" w:rsidRDefault="00D52CC3" w:rsidP="00124458">
      <w:pPr>
        <w:rPr>
          <w:rFonts w:ascii="Garamond" w:hAnsi="Garamond"/>
          <w:b/>
          <w:sz w:val="28"/>
          <w:szCs w:val="28"/>
        </w:rPr>
      </w:pPr>
    </w:p>
    <w:p w14:paraId="0E428D9B" w14:textId="77777777" w:rsidR="00B42400" w:rsidRPr="003037D2" w:rsidRDefault="00B42400" w:rsidP="00124458">
      <w:pPr>
        <w:rPr>
          <w:rFonts w:ascii="Garamond" w:hAnsi="Garamond"/>
          <w:b/>
          <w:sz w:val="28"/>
          <w:szCs w:val="28"/>
        </w:rPr>
      </w:pPr>
    </w:p>
    <w:p w14:paraId="2A3F3DDD" w14:textId="77777777" w:rsidR="00B42400" w:rsidRPr="003037D2" w:rsidRDefault="0003164D" w:rsidP="00124458">
      <w:pPr>
        <w:rPr>
          <w:rFonts w:ascii="Garamond" w:hAnsi="Garamond"/>
          <w:b/>
          <w:sz w:val="28"/>
          <w:szCs w:val="28"/>
        </w:rPr>
      </w:pPr>
      <w:r w:rsidRPr="003037D2">
        <w:rPr>
          <w:rFonts w:ascii="Garamond" w:hAnsi="Garamond"/>
          <w:b/>
          <w:sz w:val="28"/>
          <w:szCs w:val="28"/>
        </w:rPr>
        <w:t>By:</w:t>
      </w:r>
      <w:r w:rsidR="00B42400" w:rsidRPr="003037D2">
        <w:rPr>
          <w:rFonts w:ascii="Garamond" w:hAnsi="Garamond"/>
          <w:b/>
          <w:sz w:val="28"/>
          <w:szCs w:val="28"/>
        </w:rPr>
        <w:t xml:space="preserve"> </w:t>
      </w:r>
    </w:p>
    <w:p w14:paraId="573516DC" w14:textId="77777777" w:rsidR="00B42400" w:rsidRPr="003037D2" w:rsidRDefault="00B42400" w:rsidP="00124458">
      <w:pPr>
        <w:rPr>
          <w:rFonts w:ascii="Garamond" w:hAnsi="Garamond"/>
          <w:b/>
          <w:sz w:val="28"/>
          <w:szCs w:val="28"/>
        </w:rPr>
      </w:pPr>
    </w:p>
    <w:p w14:paraId="2ABACC04" w14:textId="77777777" w:rsidR="0003164D" w:rsidRPr="003037D2" w:rsidRDefault="00D61D15" w:rsidP="00124458">
      <w:pPr>
        <w:rPr>
          <w:rFonts w:ascii="Garamond" w:hAnsi="Garamond"/>
          <w:b/>
          <w:sz w:val="28"/>
          <w:szCs w:val="28"/>
        </w:rPr>
      </w:pPr>
      <w:r w:rsidRPr="003037D2">
        <w:rPr>
          <w:rFonts w:ascii="Garamond" w:hAnsi="Garamond"/>
          <w:sz w:val="28"/>
          <w:szCs w:val="28"/>
        </w:rPr>
        <w:t xml:space="preserve">Catherine R. Evans </w:t>
      </w:r>
    </w:p>
    <w:p w14:paraId="5B3183FA" w14:textId="77777777" w:rsidR="00B42400" w:rsidRPr="003037D2" w:rsidRDefault="00B42400" w:rsidP="00124458">
      <w:pPr>
        <w:rPr>
          <w:rFonts w:ascii="Garamond" w:hAnsi="Garamond"/>
        </w:rPr>
      </w:pPr>
    </w:p>
    <w:p w14:paraId="15A0F573" w14:textId="77777777" w:rsidR="00B42400" w:rsidRPr="003037D2" w:rsidRDefault="00B42400" w:rsidP="00124458">
      <w:pPr>
        <w:rPr>
          <w:rFonts w:ascii="Garamond" w:hAnsi="Garamond"/>
        </w:rPr>
      </w:pPr>
    </w:p>
    <w:p w14:paraId="5AF4F845" w14:textId="77777777" w:rsidR="00B42400" w:rsidRPr="003037D2" w:rsidRDefault="00B42400" w:rsidP="00124458">
      <w:pPr>
        <w:rPr>
          <w:rFonts w:ascii="Garamond" w:hAnsi="Garamond"/>
        </w:rPr>
      </w:pPr>
    </w:p>
    <w:p w14:paraId="02E55174" w14:textId="77777777" w:rsidR="00D52CC3" w:rsidRPr="003037D2" w:rsidRDefault="00D52CC3" w:rsidP="00124458">
      <w:pPr>
        <w:rPr>
          <w:rFonts w:ascii="Garamond" w:hAnsi="Garamond"/>
        </w:rPr>
      </w:pPr>
    </w:p>
    <w:p w14:paraId="32726F36" w14:textId="77777777" w:rsidR="00B42400" w:rsidRPr="003037D2" w:rsidRDefault="00B42400" w:rsidP="00124458">
      <w:pPr>
        <w:rPr>
          <w:rFonts w:ascii="Garamond" w:hAnsi="Garamond"/>
        </w:rPr>
      </w:pPr>
    </w:p>
    <w:p w14:paraId="6B213A91" w14:textId="77777777" w:rsidR="0003164D" w:rsidRPr="003037D2" w:rsidRDefault="0003164D" w:rsidP="00124458">
      <w:pPr>
        <w:rPr>
          <w:rFonts w:ascii="Garamond" w:hAnsi="Garamond"/>
        </w:rPr>
      </w:pPr>
      <w:r w:rsidRPr="003037D2">
        <w:rPr>
          <w:rFonts w:ascii="Garamond" w:hAnsi="Garamond"/>
        </w:rPr>
        <w:t>A thesis submitt</w:t>
      </w:r>
      <w:r w:rsidR="004D0185" w:rsidRPr="003037D2">
        <w:rPr>
          <w:rFonts w:ascii="Garamond" w:hAnsi="Garamond"/>
        </w:rPr>
        <w:t>e</w:t>
      </w:r>
      <w:r w:rsidRPr="003037D2">
        <w:rPr>
          <w:rFonts w:ascii="Garamond" w:hAnsi="Garamond"/>
        </w:rPr>
        <w:t>d in partial fulfilment of the requirements for the degree of</w:t>
      </w:r>
    </w:p>
    <w:p w14:paraId="74D0B63F" w14:textId="77777777" w:rsidR="0003164D" w:rsidRPr="003037D2" w:rsidRDefault="0003164D" w:rsidP="00124458">
      <w:pPr>
        <w:rPr>
          <w:rFonts w:ascii="Garamond" w:hAnsi="Garamond"/>
        </w:rPr>
      </w:pPr>
      <w:r w:rsidRPr="003037D2">
        <w:rPr>
          <w:rFonts w:ascii="Garamond" w:hAnsi="Garamond"/>
        </w:rPr>
        <w:t>Doctor of Philosophy</w:t>
      </w:r>
    </w:p>
    <w:p w14:paraId="05EC8C8C" w14:textId="77777777" w:rsidR="00B42400" w:rsidRPr="003037D2" w:rsidRDefault="00B42400" w:rsidP="00124458">
      <w:pPr>
        <w:rPr>
          <w:rFonts w:ascii="Garamond" w:hAnsi="Garamond"/>
        </w:rPr>
      </w:pPr>
    </w:p>
    <w:p w14:paraId="5ED87B7F" w14:textId="77777777" w:rsidR="00B42400" w:rsidRPr="003037D2" w:rsidRDefault="00B42400" w:rsidP="00124458">
      <w:pPr>
        <w:rPr>
          <w:rFonts w:ascii="Garamond" w:hAnsi="Garamond"/>
        </w:rPr>
      </w:pPr>
    </w:p>
    <w:p w14:paraId="3206B086" w14:textId="77777777" w:rsidR="00B42400" w:rsidRPr="003037D2" w:rsidRDefault="00B42400" w:rsidP="00124458">
      <w:pPr>
        <w:rPr>
          <w:rFonts w:ascii="Garamond" w:hAnsi="Garamond"/>
        </w:rPr>
      </w:pPr>
    </w:p>
    <w:p w14:paraId="45AEC20C" w14:textId="77777777" w:rsidR="00D52CC3" w:rsidRPr="003037D2" w:rsidRDefault="00D52CC3" w:rsidP="00124458">
      <w:pPr>
        <w:rPr>
          <w:rFonts w:ascii="Garamond" w:hAnsi="Garamond"/>
        </w:rPr>
      </w:pPr>
    </w:p>
    <w:p w14:paraId="5C571721" w14:textId="77777777" w:rsidR="00B42400" w:rsidRPr="003037D2" w:rsidRDefault="00B42400" w:rsidP="00124458">
      <w:pPr>
        <w:rPr>
          <w:rFonts w:ascii="Garamond" w:hAnsi="Garamond"/>
        </w:rPr>
      </w:pPr>
    </w:p>
    <w:p w14:paraId="141F45DA" w14:textId="77777777" w:rsidR="0003164D" w:rsidRPr="003037D2" w:rsidRDefault="0003164D" w:rsidP="00124458">
      <w:pPr>
        <w:rPr>
          <w:rFonts w:ascii="Garamond" w:hAnsi="Garamond"/>
        </w:rPr>
      </w:pPr>
      <w:r w:rsidRPr="003037D2">
        <w:rPr>
          <w:rFonts w:ascii="Garamond" w:hAnsi="Garamond"/>
        </w:rPr>
        <w:t>The University of Sheffield</w:t>
      </w:r>
    </w:p>
    <w:p w14:paraId="0EC76F26" w14:textId="77777777" w:rsidR="0003164D" w:rsidRPr="003037D2" w:rsidRDefault="0003164D" w:rsidP="00D61D15">
      <w:pPr>
        <w:rPr>
          <w:rFonts w:ascii="Garamond" w:hAnsi="Garamond"/>
        </w:rPr>
      </w:pPr>
      <w:r w:rsidRPr="003037D2">
        <w:rPr>
          <w:rFonts w:ascii="Garamond" w:hAnsi="Garamond"/>
        </w:rPr>
        <w:t>Faculty of</w:t>
      </w:r>
      <w:r w:rsidR="00D61D15" w:rsidRPr="003037D2">
        <w:rPr>
          <w:rFonts w:ascii="Garamond" w:hAnsi="Garamond"/>
        </w:rPr>
        <w:t xml:space="preserve"> Humanities </w:t>
      </w:r>
    </w:p>
    <w:p w14:paraId="13FFCC11" w14:textId="77777777" w:rsidR="0003164D" w:rsidRPr="003037D2" w:rsidRDefault="0003164D" w:rsidP="00D61D15">
      <w:pPr>
        <w:rPr>
          <w:rFonts w:ascii="Garamond" w:hAnsi="Garamond"/>
        </w:rPr>
      </w:pPr>
      <w:r w:rsidRPr="003037D2">
        <w:rPr>
          <w:rFonts w:ascii="Garamond" w:hAnsi="Garamond"/>
        </w:rPr>
        <w:t xml:space="preserve">School </w:t>
      </w:r>
      <w:r w:rsidR="00D61D15" w:rsidRPr="003037D2">
        <w:rPr>
          <w:rFonts w:ascii="Garamond" w:hAnsi="Garamond"/>
        </w:rPr>
        <w:t xml:space="preserve">of English </w:t>
      </w:r>
    </w:p>
    <w:p w14:paraId="574451AF" w14:textId="77777777" w:rsidR="0003164D" w:rsidRPr="003037D2" w:rsidRDefault="0003164D" w:rsidP="00124458">
      <w:pPr>
        <w:rPr>
          <w:rFonts w:ascii="Garamond" w:hAnsi="Garamond"/>
        </w:rPr>
      </w:pPr>
    </w:p>
    <w:p w14:paraId="72FE988A" w14:textId="77777777" w:rsidR="0003164D" w:rsidRPr="003037D2" w:rsidRDefault="0003164D" w:rsidP="00124458">
      <w:pPr>
        <w:rPr>
          <w:rFonts w:ascii="Garamond" w:hAnsi="Garamond"/>
        </w:rPr>
      </w:pPr>
    </w:p>
    <w:p w14:paraId="1A1CD2E6" w14:textId="77777777" w:rsidR="00B42400" w:rsidRPr="003037D2" w:rsidRDefault="00B42400" w:rsidP="00124458">
      <w:pPr>
        <w:rPr>
          <w:rFonts w:ascii="Garamond" w:hAnsi="Garamond"/>
        </w:rPr>
      </w:pPr>
    </w:p>
    <w:p w14:paraId="5ED36EF6" w14:textId="77777777" w:rsidR="00B42400" w:rsidRPr="003037D2" w:rsidRDefault="00B42400" w:rsidP="00124458">
      <w:pPr>
        <w:rPr>
          <w:rFonts w:ascii="Garamond" w:hAnsi="Garamond"/>
        </w:rPr>
      </w:pPr>
    </w:p>
    <w:p w14:paraId="7054B00D" w14:textId="77777777" w:rsidR="00B42400" w:rsidRPr="003037D2" w:rsidRDefault="00B42400" w:rsidP="00124458">
      <w:pPr>
        <w:rPr>
          <w:rFonts w:ascii="Garamond" w:hAnsi="Garamond"/>
        </w:rPr>
      </w:pPr>
    </w:p>
    <w:p w14:paraId="7BF2D702" w14:textId="77777777" w:rsidR="00B42400" w:rsidRPr="003037D2" w:rsidRDefault="00B42400" w:rsidP="00124458">
      <w:pPr>
        <w:rPr>
          <w:rFonts w:ascii="Garamond" w:hAnsi="Garamond"/>
        </w:rPr>
      </w:pPr>
    </w:p>
    <w:p w14:paraId="1B479E41" w14:textId="258EF5E3" w:rsidR="00302817" w:rsidRPr="003037D2" w:rsidRDefault="00302817" w:rsidP="00124458">
      <w:pPr>
        <w:rPr>
          <w:rFonts w:ascii="Garamond" w:hAnsi="Garamond"/>
        </w:rPr>
      </w:pPr>
      <w:r w:rsidRPr="003037D2">
        <w:rPr>
          <w:rFonts w:ascii="Garamond" w:hAnsi="Garamond"/>
        </w:rPr>
        <w:t>20</w:t>
      </w:r>
      <w:r w:rsidRPr="003037D2">
        <w:rPr>
          <w:rFonts w:ascii="Garamond" w:hAnsi="Garamond"/>
          <w:vertAlign w:val="superscript"/>
        </w:rPr>
        <w:t>th</w:t>
      </w:r>
      <w:r w:rsidRPr="003037D2">
        <w:rPr>
          <w:rFonts w:ascii="Garamond" w:hAnsi="Garamond"/>
        </w:rPr>
        <w:t xml:space="preserve"> March 2019 </w:t>
      </w:r>
    </w:p>
    <w:p w14:paraId="6B28ED6A" w14:textId="77777777" w:rsidR="00DC335D" w:rsidRPr="003037D2" w:rsidRDefault="00DC335D" w:rsidP="00124458">
      <w:pPr>
        <w:rPr>
          <w:rFonts w:ascii="Garamond" w:hAnsi="Garamond"/>
        </w:rPr>
      </w:pPr>
    </w:p>
    <w:p w14:paraId="1C28E1DD" w14:textId="77777777" w:rsidR="00DC335D" w:rsidRPr="003037D2" w:rsidRDefault="00DC335D" w:rsidP="00124458">
      <w:pPr>
        <w:rPr>
          <w:rFonts w:ascii="Garamond" w:hAnsi="Garamond"/>
        </w:rPr>
      </w:pPr>
    </w:p>
    <w:p w14:paraId="676D938E" w14:textId="77777777" w:rsidR="00DC335D" w:rsidRPr="003037D2" w:rsidRDefault="00DC335D" w:rsidP="00124458">
      <w:pPr>
        <w:rPr>
          <w:rFonts w:ascii="Garamond" w:hAnsi="Garamond"/>
        </w:rPr>
      </w:pPr>
    </w:p>
    <w:p w14:paraId="71C2983B" w14:textId="77777777" w:rsidR="00DC335D" w:rsidRPr="003037D2" w:rsidRDefault="00DC335D" w:rsidP="00124458">
      <w:pPr>
        <w:rPr>
          <w:rFonts w:ascii="Garamond" w:hAnsi="Garamond"/>
        </w:rPr>
      </w:pPr>
    </w:p>
    <w:p w14:paraId="515713FB" w14:textId="77777777" w:rsidR="00DC335D" w:rsidRPr="003037D2" w:rsidRDefault="00DC335D" w:rsidP="00124458">
      <w:pPr>
        <w:rPr>
          <w:rFonts w:ascii="Garamond" w:hAnsi="Garamond"/>
        </w:rPr>
      </w:pPr>
    </w:p>
    <w:p w14:paraId="14A66A77" w14:textId="77777777" w:rsidR="00DC335D" w:rsidRPr="003037D2" w:rsidRDefault="00DC335D" w:rsidP="00124458">
      <w:pPr>
        <w:rPr>
          <w:rFonts w:ascii="Garamond" w:hAnsi="Garamond"/>
        </w:rPr>
      </w:pPr>
    </w:p>
    <w:p w14:paraId="4F4F0862" w14:textId="77777777" w:rsidR="00DC335D" w:rsidRPr="003037D2" w:rsidRDefault="00DC335D" w:rsidP="00124458">
      <w:pPr>
        <w:rPr>
          <w:rFonts w:ascii="Garamond" w:hAnsi="Garamond"/>
        </w:rPr>
      </w:pPr>
    </w:p>
    <w:p w14:paraId="26017770" w14:textId="77777777" w:rsidR="00DC335D" w:rsidRPr="003037D2" w:rsidRDefault="00DC335D" w:rsidP="00124458">
      <w:pPr>
        <w:rPr>
          <w:rFonts w:ascii="Garamond" w:hAnsi="Garamond"/>
        </w:rPr>
      </w:pPr>
    </w:p>
    <w:p w14:paraId="214FC361" w14:textId="77777777" w:rsidR="00DC335D" w:rsidRPr="003037D2" w:rsidRDefault="00DC335D" w:rsidP="00124458">
      <w:pPr>
        <w:rPr>
          <w:rFonts w:ascii="Garamond" w:hAnsi="Garamond"/>
        </w:rPr>
      </w:pPr>
    </w:p>
    <w:p w14:paraId="0C0722DA" w14:textId="77777777" w:rsidR="00DC335D" w:rsidRPr="003037D2" w:rsidRDefault="00DC335D" w:rsidP="00124458">
      <w:pPr>
        <w:rPr>
          <w:rFonts w:ascii="Garamond" w:hAnsi="Garamond"/>
        </w:rPr>
      </w:pPr>
    </w:p>
    <w:p w14:paraId="08D0CB08" w14:textId="77777777" w:rsidR="00DC335D" w:rsidRPr="003037D2" w:rsidRDefault="00DC335D" w:rsidP="00124458">
      <w:pPr>
        <w:rPr>
          <w:rFonts w:ascii="Garamond" w:hAnsi="Garamond"/>
        </w:rPr>
      </w:pPr>
    </w:p>
    <w:p w14:paraId="4D09B079" w14:textId="77777777" w:rsidR="00DC335D" w:rsidRPr="003037D2" w:rsidRDefault="00DC335D" w:rsidP="00124458">
      <w:pPr>
        <w:rPr>
          <w:rFonts w:ascii="Garamond" w:hAnsi="Garamond"/>
        </w:rPr>
      </w:pPr>
    </w:p>
    <w:p w14:paraId="07C3DF23" w14:textId="77777777" w:rsidR="00DC335D" w:rsidRPr="003037D2" w:rsidRDefault="00DC335D" w:rsidP="00124458">
      <w:pPr>
        <w:rPr>
          <w:rFonts w:ascii="Garamond" w:hAnsi="Garamond"/>
        </w:rPr>
      </w:pPr>
    </w:p>
    <w:p w14:paraId="0053F8A4" w14:textId="77777777" w:rsidR="00DC335D" w:rsidRPr="003037D2" w:rsidRDefault="00DC335D" w:rsidP="00124458">
      <w:pPr>
        <w:rPr>
          <w:rFonts w:ascii="Garamond" w:hAnsi="Garamond"/>
        </w:rPr>
      </w:pPr>
    </w:p>
    <w:p w14:paraId="30766486" w14:textId="77777777" w:rsidR="00DC335D" w:rsidRPr="003037D2" w:rsidRDefault="00DC335D" w:rsidP="00124458">
      <w:pPr>
        <w:rPr>
          <w:rFonts w:ascii="Garamond" w:hAnsi="Garamond"/>
        </w:rPr>
      </w:pPr>
    </w:p>
    <w:p w14:paraId="48FB4451" w14:textId="77777777" w:rsidR="00DC335D" w:rsidRPr="003037D2" w:rsidRDefault="00DC335D" w:rsidP="00124458">
      <w:pPr>
        <w:rPr>
          <w:rFonts w:ascii="Garamond" w:hAnsi="Garamond"/>
        </w:rPr>
      </w:pPr>
    </w:p>
    <w:p w14:paraId="6A78C545" w14:textId="77777777" w:rsidR="00DC335D" w:rsidRPr="003037D2" w:rsidRDefault="00DC335D" w:rsidP="00124458">
      <w:pPr>
        <w:rPr>
          <w:rFonts w:ascii="Garamond" w:hAnsi="Garamond"/>
        </w:rPr>
      </w:pPr>
    </w:p>
    <w:p w14:paraId="3634CCD9" w14:textId="77777777" w:rsidR="00DC335D" w:rsidRPr="003037D2" w:rsidRDefault="00DC335D" w:rsidP="00124458">
      <w:pPr>
        <w:rPr>
          <w:rFonts w:ascii="Garamond" w:hAnsi="Garamond"/>
        </w:rPr>
      </w:pPr>
    </w:p>
    <w:p w14:paraId="22A36013" w14:textId="77777777" w:rsidR="00DC335D" w:rsidRPr="003037D2" w:rsidRDefault="00DC335D" w:rsidP="00124458">
      <w:pPr>
        <w:rPr>
          <w:rFonts w:ascii="Garamond" w:hAnsi="Garamond"/>
        </w:rPr>
      </w:pPr>
    </w:p>
    <w:p w14:paraId="70A97810" w14:textId="77777777" w:rsidR="00DC335D" w:rsidRPr="003037D2" w:rsidRDefault="00DC335D" w:rsidP="00124458">
      <w:pPr>
        <w:rPr>
          <w:rFonts w:ascii="Garamond" w:hAnsi="Garamond"/>
        </w:rPr>
      </w:pPr>
    </w:p>
    <w:p w14:paraId="307002BD" w14:textId="77777777" w:rsidR="00DC335D" w:rsidRPr="003037D2" w:rsidRDefault="00DC335D" w:rsidP="00124458">
      <w:pPr>
        <w:rPr>
          <w:rFonts w:ascii="Garamond" w:hAnsi="Garamond"/>
        </w:rPr>
      </w:pPr>
    </w:p>
    <w:p w14:paraId="5425C920" w14:textId="77777777" w:rsidR="00DC335D" w:rsidRPr="003037D2" w:rsidRDefault="00DC335D" w:rsidP="00124458">
      <w:pPr>
        <w:rPr>
          <w:rFonts w:ascii="Garamond" w:hAnsi="Garamond"/>
        </w:rPr>
      </w:pPr>
    </w:p>
    <w:p w14:paraId="48A1C0DE" w14:textId="77777777" w:rsidR="00DC335D" w:rsidRPr="003037D2" w:rsidRDefault="00DC335D" w:rsidP="00124458">
      <w:pPr>
        <w:rPr>
          <w:rFonts w:ascii="Garamond" w:hAnsi="Garamond"/>
        </w:rPr>
      </w:pPr>
    </w:p>
    <w:p w14:paraId="0070E23D" w14:textId="77777777" w:rsidR="00DC335D" w:rsidRPr="003037D2" w:rsidRDefault="00DC335D" w:rsidP="00124458">
      <w:pPr>
        <w:rPr>
          <w:rFonts w:ascii="Garamond" w:hAnsi="Garamond"/>
        </w:rPr>
      </w:pPr>
    </w:p>
    <w:p w14:paraId="05A3EC9F" w14:textId="77777777" w:rsidR="00DC335D" w:rsidRPr="003037D2" w:rsidRDefault="00DC335D" w:rsidP="00124458">
      <w:pPr>
        <w:rPr>
          <w:rFonts w:ascii="Garamond" w:hAnsi="Garamond"/>
        </w:rPr>
      </w:pPr>
    </w:p>
    <w:p w14:paraId="7CB9348D" w14:textId="77777777" w:rsidR="00DC335D" w:rsidRPr="003037D2" w:rsidRDefault="00DC335D" w:rsidP="00124458">
      <w:pPr>
        <w:rPr>
          <w:rFonts w:ascii="Garamond" w:hAnsi="Garamond"/>
        </w:rPr>
      </w:pPr>
    </w:p>
    <w:p w14:paraId="6821F1AD" w14:textId="77777777" w:rsidR="00DC335D" w:rsidRPr="003037D2" w:rsidRDefault="00DC335D" w:rsidP="00124458">
      <w:pPr>
        <w:rPr>
          <w:rFonts w:ascii="Garamond" w:hAnsi="Garamond"/>
        </w:rPr>
      </w:pPr>
    </w:p>
    <w:p w14:paraId="79415C60" w14:textId="77777777" w:rsidR="00DC335D" w:rsidRPr="003037D2" w:rsidRDefault="00DC335D" w:rsidP="00124458">
      <w:pPr>
        <w:rPr>
          <w:rFonts w:ascii="Garamond" w:hAnsi="Garamond"/>
        </w:rPr>
      </w:pPr>
    </w:p>
    <w:p w14:paraId="5B81C99B" w14:textId="77777777" w:rsidR="00DC335D" w:rsidRPr="003037D2" w:rsidRDefault="00DC335D" w:rsidP="00124458">
      <w:pPr>
        <w:rPr>
          <w:rFonts w:ascii="Garamond" w:hAnsi="Garamond"/>
        </w:rPr>
      </w:pPr>
    </w:p>
    <w:p w14:paraId="1D202D88" w14:textId="77777777" w:rsidR="00DC335D" w:rsidRPr="003037D2" w:rsidRDefault="00DC335D" w:rsidP="00124458">
      <w:pPr>
        <w:rPr>
          <w:rFonts w:ascii="Garamond" w:hAnsi="Garamond"/>
        </w:rPr>
      </w:pPr>
    </w:p>
    <w:p w14:paraId="767F754C" w14:textId="77777777" w:rsidR="00DC335D" w:rsidRPr="003037D2" w:rsidRDefault="00DC335D" w:rsidP="00124458">
      <w:pPr>
        <w:rPr>
          <w:rFonts w:ascii="Garamond" w:hAnsi="Garamond"/>
        </w:rPr>
      </w:pPr>
    </w:p>
    <w:p w14:paraId="12C3DBF9" w14:textId="77777777" w:rsidR="00DC335D" w:rsidRPr="003037D2" w:rsidRDefault="00DC335D" w:rsidP="00124458">
      <w:pPr>
        <w:rPr>
          <w:rFonts w:ascii="Garamond" w:hAnsi="Garamond"/>
        </w:rPr>
      </w:pPr>
    </w:p>
    <w:p w14:paraId="7EDAA091" w14:textId="77777777" w:rsidR="00DC335D" w:rsidRPr="003037D2" w:rsidRDefault="00DC335D" w:rsidP="00124458">
      <w:pPr>
        <w:rPr>
          <w:rFonts w:ascii="Garamond" w:hAnsi="Garamond"/>
        </w:rPr>
      </w:pPr>
    </w:p>
    <w:p w14:paraId="244ED4F6" w14:textId="77777777" w:rsidR="00DC335D" w:rsidRPr="003037D2" w:rsidRDefault="00DC335D" w:rsidP="00124458">
      <w:pPr>
        <w:rPr>
          <w:rFonts w:ascii="Garamond" w:hAnsi="Garamond"/>
        </w:rPr>
      </w:pPr>
    </w:p>
    <w:p w14:paraId="7F4CA5A0" w14:textId="77777777" w:rsidR="00DC335D" w:rsidRPr="003037D2" w:rsidRDefault="00DC335D" w:rsidP="00124458">
      <w:pPr>
        <w:rPr>
          <w:rFonts w:ascii="Garamond" w:hAnsi="Garamond"/>
        </w:rPr>
      </w:pPr>
    </w:p>
    <w:p w14:paraId="3A7AD72C" w14:textId="77777777" w:rsidR="00DC335D" w:rsidRPr="003037D2" w:rsidRDefault="00DC335D" w:rsidP="00124458">
      <w:pPr>
        <w:rPr>
          <w:rFonts w:ascii="Garamond" w:hAnsi="Garamond"/>
        </w:rPr>
      </w:pPr>
    </w:p>
    <w:p w14:paraId="159D8A21" w14:textId="77777777" w:rsidR="00DC335D" w:rsidRPr="003037D2" w:rsidRDefault="00DC335D" w:rsidP="00124458">
      <w:pPr>
        <w:rPr>
          <w:rFonts w:ascii="Garamond" w:hAnsi="Garamond"/>
        </w:rPr>
      </w:pPr>
    </w:p>
    <w:p w14:paraId="57C8D0FB" w14:textId="77777777" w:rsidR="00DC335D" w:rsidRPr="003037D2" w:rsidRDefault="00DC335D" w:rsidP="00124458">
      <w:pPr>
        <w:rPr>
          <w:rFonts w:ascii="Garamond" w:hAnsi="Garamond"/>
        </w:rPr>
      </w:pPr>
    </w:p>
    <w:p w14:paraId="4E06017A" w14:textId="77777777" w:rsidR="00DC335D" w:rsidRPr="003037D2" w:rsidRDefault="00DC335D" w:rsidP="00124458">
      <w:pPr>
        <w:rPr>
          <w:rFonts w:ascii="Garamond" w:hAnsi="Garamond"/>
        </w:rPr>
      </w:pPr>
    </w:p>
    <w:p w14:paraId="57738C6C" w14:textId="77777777" w:rsidR="00DC335D" w:rsidRPr="003037D2" w:rsidRDefault="00DC335D" w:rsidP="00124458">
      <w:pPr>
        <w:rPr>
          <w:rFonts w:ascii="Garamond" w:hAnsi="Garamond"/>
        </w:rPr>
      </w:pPr>
    </w:p>
    <w:p w14:paraId="06DEE2AE" w14:textId="77777777" w:rsidR="00DC335D" w:rsidRPr="003037D2" w:rsidRDefault="00DC335D" w:rsidP="00124458">
      <w:pPr>
        <w:rPr>
          <w:rFonts w:ascii="Garamond" w:hAnsi="Garamond"/>
        </w:rPr>
      </w:pPr>
    </w:p>
    <w:p w14:paraId="2FAADFB7" w14:textId="77777777" w:rsidR="00DC335D" w:rsidRPr="003037D2" w:rsidRDefault="00DC335D" w:rsidP="00124458">
      <w:pPr>
        <w:rPr>
          <w:rFonts w:ascii="Garamond" w:hAnsi="Garamond"/>
        </w:rPr>
      </w:pPr>
    </w:p>
    <w:p w14:paraId="4955334A" w14:textId="77777777" w:rsidR="00DC335D" w:rsidRPr="003037D2" w:rsidRDefault="00DC335D" w:rsidP="00124458">
      <w:pPr>
        <w:rPr>
          <w:rFonts w:ascii="Garamond" w:hAnsi="Garamond"/>
        </w:rPr>
      </w:pPr>
    </w:p>
    <w:p w14:paraId="649D867B" w14:textId="17E8F58E" w:rsidR="00DC335D" w:rsidRDefault="00DC335D" w:rsidP="00124458">
      <w:pPr>
        <w:rPr>
          <w:rFonts w:ascii="Garamond" w:hAnsi="Garamond"/>
        </w:rPr>
      </w:pPr>
    </w:p>
    <w:p w14:paraId="5F210AD2" w14:textId="11A90A03" w:rsidR="0056489A" w:rsidRDefault="0056489A" w:rsidP="00124458">
      <w:pPr>
        <w:rPr>
          <w:rFonts w:ascii="Garamond" w:hAnsi="Garamond"/>
        </w:rPr>
      </w:pPr>
    </w:p>
    <w:p w14:paraId="1CF1C1E6" w14:textId="01A85FDD" w:rsidR="0056489A" w:rsidRDefault="0056489A" w:rsidP="00124458">
      <w:pPr>
        <w:rPr>
          <w:rFonts w:ascii="Garamond" w:hAnsi="Garamond"/>
        </w:rPr>
      </w:pPr>
    </w:p>
    <w:p w14:paraId="33724374" w14:textId="41928C63" w:rsidR="0056489A" w:rsidRDefault="0056489A" w:rsidP="00124458">
      <w:pPr>
        <w:rPr>
          <w:rFonts w:ascii="Garamond" w:hAnsi="Garamond"/>
        </w:rPr>
      </w:pPr>
    </w:p>
    <w:p w14:paraId="2E208FBD" w14:textId="323718AF" w:rsidR="0056489A" w:rsidRDefault="0056489A" w:rsidP="00124458">
      <w:pPr>
        <w:rPr>
          <w:rFonts w:ascii="Garamond" w:hAnsi="Garamond"/>
        </w:rPr>
      </w:pPr>
    </w:p>
    <w:p w14:paraId="2C3C56A6" w14:textId="21D4F79F" w:rsidR="0056489A" w:rsidRPr="003037D2" w:rsidRDefault="0056489A" w:rsidP="00124458">
      <w:pPr>
        <w:rPr>
          <w:rFonts w:ascii="Garamond" w:hAnsi="Garamond"/>
        </w:rPr>
      </w:pPr>
    </w:p>
    <w:p w14:paraId="0A3D0C68" w14:textId="77777777" w:rsidR="00DC335D" w:rsidRPr="003037D2" w:rsidRDefault="00DC335D" w:rsidP="00124458">
      <w:pPr>
        <w:rPr>
          <w:rFonts w:ascii="Garamond" w:hAnsi="Garamond"/>
        </w:rPr>
      </w:pPr>
    </w:p>
    <w:p w14:paraId="63119E96" w14:textId="77777777" w:rsidR="00DC335D" w:rsidRPr="003037D2" w:rsidRDefault="00DC335D" w:rsidP="00124458">
      <w:pPr>
        <w:rPr>
          <w:rFonts w:ascii="Garamond" w:hAnsi="Garamond"/>
        </w:rPr>
      </w:pPr>
    </w:p>
    <w:p w14:paraId="35FDD229" w14:textId="77777777" w:rsidR="00DC335D" w:rsidRPr="003037D2" w:rsidRDefault="00DC335D" w:rsidP="00124458">
      <w:pPr>
        <w:rPr>
          <w:rFonts w:ascii="Garamond" w:hAnsi="Garamond"/>
        </w:rPr>
      </w:pPr>
    </w:p>
    <w:p w14:paraId="468EE7BD" w14:textId="1EC9889C" w:rsidR="00DC335D" w:rsidRPr="003037D2" w:rsidRDefault="00DC335D" w:rsidP="00124458">
      <w:pPr>
        <w:rPr>
          <w:rFonts w:ascii="Garamond" w:hAnsi="Garamond"/>
        </w:rPr>
      </w:pPr>
    </w:p>
    <w:p w14:paraId="735D286E" w14:textId="77777777" w:rsidR="00DC335D" w:rsidRPr="003037D2" w:rsidRDefault="00DC335D" w:rsidP="00124458">
      <w:pPr>
        <w:rPr>
          <w:rFonts w:ascii="Garamond" w:hAnsi="Garamond"/>
        </w:rPr>
      </w:pPr>
    </w:p>
    <w:p w14:paraId="57E4FDF1" w14:textId="77777777" w:rsidR="00DC335D" w:rsidRPr="003037D2" w:rsidRDefault="00DC335D" w:rsidP="00124458">
      <w:pPr>
        <w:rPr>
          <w:rFonts w:ascii="Garamond" w:hAnsi="Garamond"/>
        </w:rPr>
      </w:pPr>
    </w:p>
    <w:p w14:paraId="06EEFBAB" w14:textId="77777777" w:rsidR="00DC335D" w:rsidRPr="003037D2" w:rsidRDefault="00DC335D" w:rsidP="00124458">
      <w:pPr>
        <w:rPr>
          <w:rFonts w:ascii="Garamond" w:hAnsi="Garamond"/>
        </w:rPr>
      </w:pPr>
    </w:p>
    <w:p w14:paraId="19397EEE" w14:textId="77777777" w:rsidR="00DC335D" w:rsidRPr="003037D2" w:rsidRDefault="00DC335D" w:rsidP="00DC335D">
      <w:pPr>
        <w:autoSpaceDE w:val="0"/>
        <w:autoSpaceDN w:val="0"/>
        <w:adjustRightInd w:val="0"/>
        <w:rPr>
          <w:rFonts w:ascii="Garamond" w:hAnsi="Garamond" w:cstheme="majorBidi"/>
        </w:rPr>
      </w:pPr>
      <w:r w:rsidRPr="003037D2">
        <w:rPr>
          <w:rFonts w:ascii="Garamond" w:hAnsi="Garamond" w:cstheme="majorBidi"/>
          <w:noProof/>
          <w:lang w:val="en-GB" w:eastAsia="zh-CN"/>
        </w:rPr>
        <w:lastRenderedPageBreak/>
        <w:drawing>
          <wp:anchor distT="0" distB="0" distL="114300" distR="114300" simplePos="0" relativeHeight="251659264" behindDoc="0" locked="0" layoutInCell="1" allowOverlap="1" wp14:anchorId="75B30FA4" wp14:editId="716BF2EC">
            <wp:simplePos x="0" y="0"/>
            <wp:positionH relativeFrom="column">
              <wp:posOffset>1310652</wp:posOffset>
            </wp:positionH>
            <wp:positionV relativeFrom="paragraph">
              <wp:posOffset>-310515</wp:posOffset>
            </wp:positionV>
            <wp:extent cx="3036570" cy="1104265"/>
            <wp:effectExtent l="0" t="0" r="0" b="0"/>
            <wp:wrapNone/>
            <wp:docPr id="2" name="Picture 2"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4DC71F97" w14:textId="77777777" w:rsidR="00DC335D" w:rsidRPr="003037D2" w:rsidRDefault="00DC335D" w:rsidP="00DC335D">
      <w:pPr>
        <w:autoSpaceDE w:val="0"/>
        <w:autoSpaceDN w:val="0"/>
        <w:adjustRightInd w:val="0"/>
        <w:rPr>
          <w:rFonts w:ascii="Garamond" w:hAnsi="Garamond" w:cstheme="majorBidi"/>
        </w:rPr>
      </w:pPr>
    </w:p>
    <w:p w14:paraId="6B13C75C" w14:textId="77777777" w:rsidR="00DC335D" w:rsidRPr="003037D2" w:rsidRDefault="00DC335D" w:rsidP="00DC335D">
      <w:pPr>
        <w:autoSpaceDE w:val="0"/>
        <w:autoSpaceDN w:val="0"/>
        <w:adjustRightInd w:val="0"/>
        <w:rPr>
          <w:rFonts w:ascii="Garamond" w:hAnsi="Garamond" w:cstheme="majorBidi"/>
        </w:rPr>
      </w:pPr>
    </w:p>
    <w:p w14:paraId="70D3F6A6" w14:textId="77777777" w:rsidR="00DC335D" w:rsidRPr="003037D2" w:rsidRDefault="00DC335D" w:rsidP="00DC335D">
      <w:pPr>
        <w:autoSpaceDE w:val="0"/>
        <w:autoSpaceDN w:val="0"/>
        <w:adjustRightInd w:val="0"/>
        <w:rPr>
          <w:rFonts w:ascii="Garamond" w:hAnsi="Garamond" w:cstheme="majorBidi"/>
        </w:rPr>
      </w:pPr>
    </w:p>
    <w:p w14:paraId="0EAA439B" w14:textId="77777777" w:rsidR="00DC335D" w:rsidRPr="003037D2" w:rsidRDefault="00DC335D" w:rsidP="00DC335D">
      <w:pPr>
        <w:autoSpaceDE w:val="0"/>
        <w:autoSpaceDN w:val="0"/>
        <w:adjustRightInd w:val="0"/>
        <w:jc w:val="center"/>
        <w:rPr>
          <w:rFonts w:ascii="Garamond" w:hAnsi="Garamond" w:cstheme="majorBidi"/>
        </w:rPr>
      </w:pPr>
    </w:p>
    <w:p w14:paraId="34F04A2E" w14:textId="77777777" w:rsidR="00DC335D" w:rsidRPr="003037D2" w:rsidRDefault="00DC335D" w:rsidP="00DC335D">
      <w:pPr>
        <w:autoSpaceDE w:val="0"/>
        <w:autoSpaceDN w:val="0"/>
        <w:adjustRightInd w:val="0"/>
        <w:jc w:val="center"/>
        <w:rPr>
          <w:rFonts w:ascii="Garamond" w:hAnsi="Garamond" w:cstheme="majorBidi"/>
        </w:rPr>
      </w:pPr>
    </w:p>
    <w:p w14:paraId="015A9B62" w14:textId="77777777" w:rsidR="00DC335D" w:rsidRPr="003037D2" w:rsidRDefault="00DC335D" w:rsidP="00DC335D">
      <w:pPr>
        <w:autoSpaceDE w:val="0"/>
        <w:autoSpaceDN w:val="0"/>
        <w:adjustRightInd w:val="0"/>
        <w:jc w:val="center"/>
        <w:rPr>
          <w:rFonts w:ascii="Garamond" w:hAnsi="Garamond" w:cstheme="majorBidi"/>
        </w:rPr>
      </w:pPr>
    </w:p>
    <w:p w14:paraId="0C07BBD2" w14:textId="77777777" w:rsidR="00DC335D" w:rsidRPr="003037D2" w:rsidRDefault="00DC335D" w:rsidP="00DC335D">
      <w:pPr>
        <w:autoSpaceDE w:val="0"/>
        <w:autoSpaceDN w:val="0"/>
        <w:adjustRightInd w:val="0"/>
        <w:jc w:val="center"/>
        <w:rPr>
          <w:rFonts w:ascii="Garamond" w:hAnsi="Garamond" w:cstheme="majorBidi"/>
        </w:rPr>
      </w:pPr>
    </w:p>
    <w:p w14:paraId="1FBD2A21" w14:textId="77777777" w:rsidR="00DC335D" w:rsidRPr="003037D2" w:rsidRDefault="00DC335D" w:rsidP="00DC335D">
      <w:pPr>
        <w:autoSpaceDE w:val="0"/>
        <w:autoSpaceDN w:val="0"/>
        <w:adjustRightInd w:val="0"/>
        <w:jc w:val="center"/>
        <w:rPr>
          <w:rFonts w:ascii="Garamond" w:hAnsi="Garamond" w:cstheme="majorBidi"/>
        </w:rPr>
      </w:pPr>
    </w:p>
    <w:p w14:paraId="3705F3DE" w14:textId="77777777" w:rsidR="00DC335D" w:rsidRPr="003037D2" w:rsidRDefault="00DC335D" w:rsidP="00DC335D">
      <w:pPr>
        <w:autoSpaceDE w:val="0"/>
        <w:autoSpaceDN w:val="0"/>
        <w:adjustRightInd w:val="0"/>
        <w:jc w:val="center"/>
        <w:rPr>
          <w:rFonts w:ascii="Garamond" w:hAnsi="Garamond" w:cstheme="majorBidi"/>
        </w:rPr>
      </w:pPr>
    </w:p>
    <w:p w14:paraId="7A694C7F" w14:textId="77777777" w:rsidR="00DC335D" w:rsidRPr="003037D2" w:rsidRDefault="00DC335D" w:rsidP="00DC335D">
      <w:pPr>
        <w:autoSpaceDE w:val="0"/>
        <w:autoSpaceDN w:val="0"/>
        <w:adjustRightInd w:val="0"/>
        <w:jc w:val="center"/>
        <w:rPr>
          <w:rFonts w:ascii="Garamond" w:hAnsi="Garamond" w:cstheme="majorBidi"/>
        </w:rPr>
      </w:pPr>
    </w:p>
    <w:p w14:paraId="34A8992D" w14:textId="77777777" w:rsidR="00DC335D" w:rsidRPr="003037D2" w:rsidRDefault="00DC335D" w:rsidP="00DC335D">
      <w:pPr>
        <w:autoSpaceDE w:val="0"/>
        <w:autoSpaceDN w:val="0"/>
        <w:adjustRightInd w:val="0"/>
        <w:jc w:val="center"/>
        <w:rPr>
          <w:rFonts w:ascii="Garamond" w:hAnsi="Garamond" w:cstheme="majorBidi"/>
          <w:b/>
          <w:bCs/>
          <w:sz w:val="28"/>
          <w:szCs w:val="28"/>
        </w:rPr>
      </w:pPr>
      <w:proofErr w:type="spellStart"/>
      <w:r w:rsidRPr="003037D2">
        <w:rPr>
          <w:rFonts w:ascii="Garamond" w:hAnsi="Garamond" w:cstheme="majorBidi"/>
          <w:b/>
          <w:bCs/>
          <w:color w:val="222222"/>
          <w:sz w:val="28"/>
          <w:szCs w:val="28"/>
          <w:shd w:val="clear" w:color="auto" w:fill="FFFFFF"/>
        </w:rPr>
        <w:t>Materialising</w:t>
      </w:r>
      <w:proofErr w:type="spellEnd"/>
      <w:r w:rsidRPr="003037D2">
        <w:rPr>
          <w:rFonts w:ascii="Garamond" w:hAnsi="Garamond" w:cstheme="majorBidi"/>
          <w:b/>
          <w:bCs/>
          <w:color w:val="222222"/>
          <w:sz w:val="28"/>
          <w:szCs w:val="28"/>
          <w:shd w:val="clear" w:color="auto" w:fill="FFFFFF"/>
        </w:rPr>
        <w:t xml:space="preserve"> Time in Early Modern Religious Literature  </w:t>
      </w:r>
      <w:r w:rsidRPr="003037D2">
        <w:rPr>
          <w:rFonts w:ascii="Garamond" w:hAnsi="Garamond" w:cstheme="majorBidi"/>
          <w:b/>
          <w:bCs/>
          <w:color w:val="222222"/>
          <w:sz w:val="28"/>
          <w:szCs w:val="28"/>
        </w:rPr>
        <w:br/>
      </w:r>
      <w:r w:rsidRPr="003037D2">
        <w:rPr>
          <w:rFonts w:ascii="Garamond" w:hAnsi="Garamond" w:cstheme="majorBidi"/>
          <w:b/>
          <w:bCs/>
          <w:color w:val="222222"/>
          <w:sz w:val="28"/>
          <w:szCs w:val="28"/>
        </w:rPr>
        <w:br/>
      </w:r>
    </w:p>
    <w:p w14:paraId="430922B2" w14:textId="77777777" w:rsidR="00DC335D" w:rsidRPr="003037D2" w:rsidRDefault="00DC335D" w:rsidP="00DC335D">
      <w:pPr>
        <w:autoSpaceDE w:val="0"/>
        <w:autoSpaceDN w:val="0"/>
        <w:adjustRightInd w:val="0"/>
        <w:rPr>
          <w:rFonts w:ascii="Garamond" w:hAnsi="Garamond" w:cstheme="majorBidi"/>
        </w:rPr>
      </w:pPr>
    </w:p>
    <w:p w14:paraId="5084EE37" w14:textId="77777777" w:rsidR="00DC335D" w:rsidRPr="003037D2" w:rsidRDefault="00DC335D" w:rsidP="00DC335D">
      <w:pPr>
        <w:autoSpaceDE w:val="0"/>
        <w:autoSpaceDN w:val="0"/>
        <w:adjustRightInd w:val="0"/>
        <w:jc w:val="center"/>
        <w:rPr>
          <w:rFonts w:ascii="Garamond" w:hAnsi="Garamond" w:cstheme="majorBidi"/>
        </w:rPr>
      </w:pPr>
    </w:p>
    <w:p w14:paraId="16B38EDF" w14:textId="77777777" w:rsidR="00DC335D" w:rsidRPr="003037D2" w:rsidRDefault="00DC335D" w:rsidP="00DC335D">
      <w:pPr>
        <w:autoSpaceDE w:val="0"/>
        <w:autoSpaceDN w:val="0"/>
        <w:adjustRightInd w:val="0"/>
        <w:jc w:val="center"/>
        <w:rPr>
          <w:rFonts w:ascii="Garamond" w:hAnsi="Garamond" w:cstheme="majorBidi"/>
        </w:rPr>
      </w:pPr>
    </w:p>
    <w:p w14:paraId="017CC128" w14:textId="77777777" w:rsidR="00DC335D" w:rsidRPr="003037D2" w:rsidRDefault="00DC335D" w:rsidP="00DC335D">
      <w:pPr>
        <w:autoSpaceDE w:val="0"/>
        <w:autoSpaceDN w:val="0"/>
        <w:adjustRightInd w:val="0"/>
        <w:jc w:val="center"/>
        <w:rPr>
          <w:rFonts w:ascii="Garamond" w:hAnsi="Garamond" w:cstheme="majorBidi"/>
          <w:sz w:val="28"/>
          <w:szCs w:val="28"/>
        </w:rPr>
      </w:pPr>
      <w:r w:rsidRPr="003037D2">
        <w:rPr>
          <w:rFonts w:ascii="Garamond" w:hAnsi="Garamond" w:cstheme="majorBidi"/>
          <w:sz w:val="28"/>
          <w:szCs w:val="28"/>
        </w:rPr>
        <w:t xml:space="preserve">Catherine R. Evans </w:t>
      </w:r>
    </w:p>
    <w:p w14:paraId="2A0ABB3A" w14:textId="77777777" w:rsidR="00DC335D" w:rsidRPr="003037D2" w:rsidRDefault="00DC335D" w:rsidP="00DC335D">
      <w:pPr>
        <w:autoSpaceDE w:val="0"/>
        <w:autoSpaceDN w:val="0"/>
        <w:adjustRightInd w:val="0"/>
        <w:rPr>
          <w:rFonts w:ascii="Garamond" w:hAnsi="Garamond" w:cstheme="majorBidi"/>
          <w:sz w:val="28"/>
          <w:szCs w:val="28"/>
        </w:rPr>
      </w:pPr>
    </w:p>
    <w:p w14:paraId="78BD738A" w14:textId="77777777" w:rsidR="00DC335D" w:rsidRPr="003037D2" w:rsidRDefault="00DC335D" w:rsidP="00DC335D">
      <w:pPr>
        <w:autoSpaceDE w:val="0"/>
        <w:autoSpaceDN w:val="0"/>
        <w:adjustRightInd w:val="0"/>
        <w:rPr>
          <w:rFonts w:ascii="Garamond" w:hAnsi="Garamond" w:cstheme="majorBidi"/>
        </w:rPr>
      </w:pPr>
    </w:p>
    <w:p w14:paraId="170667D0" w14:textId="77777777" w:rsidR="00DC335D" w:rsidRPr="003037D2" w:rsidRDefault="00DC335D" w:rsidP="00DC335D">
      <w:pPr>
        <w:autoSpaceDE w:val="0"/>
        <w:autoSpaceDN w:val="0"/>
        <w:adjustRightInd w:val="0"/>
        <w:rPr>
          <w:rFonts w:ascii="Garamond" w:hAnsi="Garamond" w:cstheme="majorBidi"/>
        </w:rPr>
      </w:pPr>
    </w:p>
    <w:p w14:paraId="6BC95D5E" w14:textId="77777777" w:rsidR="00DC335D" w:rsidRPr="003037D2" w:rsidRDefault="00DC335D" w:rsidP="00DC335D">
      <w:pPr>
        <w:autoSpaceDE w:val="0"/>
        <w:autoSpaceDN w:val="0"/>
        <w:adjustRightInd w:val="0"/>
        <w:rPr>
          <w:rFonts w:ascii="Garamond" w:hAnsi="Garamond" w:cstheme="majorBidi"/>
        </w:rPr>
      </w:pPr>
    </w:p>
    <w:p w14:paraId="270FD1F1" w14:textId="77777777" w:rsidR="00DC335D" w:rsidRPr="003037D2" w:rsidRDefault="00DC335D" w:rsidP="00DC335D">
      <w:pPr>
        <w:autoSpaceDE w:val="0"/>
        <w:autoSpaceDN w:val="0"/>
        <w:adjustRightInd w:val="0"/>
        <w:jc w:val="center"/>
        <w:rPr>
          <w:rFonts w:ascii="Garamond" w:hAnsi="Garamond" w:cstheme="majorBidi"/>
        </w:rPr>
      </w:pPr>
      <w:r w:rsidRPr="003037D2">
        <w:rPr>
          <w:rFonts w:ascii="Garamond" w:hAnsi="Garamond" w:cstheme="majorBidi"/>
        </w:rPr>
        <w:t>A thesis submitted in partial fulfilment of the requirements for the degree of</w:t>
      </w:r>
    </w:p>
    <w:p w14:paraId="24F5C885" w14:textId="77777777" w:rsidR="00DC335D" w:rsidRPr="003037D2" w:rsidRDefault="00DC335D" w:rsidP="00DC335D">
      <w:pPr>
        <w:jc w:val="center"/>
        <w:rPr>
          <w:rFonts w:ascii="Garamond" w:hAnsi="Garamond" w:cstheme="majorBidi"/>
        </w:rPr>
      </w:pPr>
      <w:r w:rsidRPr="003037D2">
        <w:rPr>
          <w:rFonts w:ascii="Garamond" w:hAnsi="Garamond" w:cstheme="majorBidi"/>
        </w:rPr>
        <w:t xml:space="preserve">Doctor of Philosophy </w:t>
      </w:r>
    </w:p>
    <w:p w14:paraId="041A521D" w14:textId="77777777" w:rsidR="00DC335D" w:rsidRPr="003037D2" w:rsidRDefault="00DC335D" w:rsidP="00DC335D">
      <w:pPr>
        <w:jc w:val="center"/>
        <w:rPr>
          <w:rFonts w:ascii="Garamond" w:hAnsi="Garamond" w:cstheme="majorBidi"/>
        </w:rPr>
      </w:pPr>
    </w:p>
    <w:p w14:paraId="00CCD411" w14:textId="77777777" w:rsidR="00DC335D" w:rsidRPr="003037D2" w:rsidRDefault="00DC335D" w:rsidP="00DC335D">
      <w:pPr>
        <w:jc w:val="center"/>
        <w:rPr>
          <w:rFonts w:ascii="Garamond" w:hAnsi="Garamond" w:cstheme="majorBidi"/>
        </w:rPr>
      </w:pPr>
    </w:p>
    <w:p w14:paraId="4CF04620" w14:textId="77777777" w:rsidR="00DC335D" w:rsidRPr="003037D2" w:rsidRDefault="00DC335D" w:rsidP="00DC335D">
      <w:pPr>
        <w:jc w:val="center"/>
        <w:rPr>
          <w:rFonts w:ascii="Garamond" w:hAnsi="Garamond" w:cstheme="majorBidi"/>
        </w:rPr>
      </w:pPr>
    </w:p>
    <w:p w14:paraId="38BF0B13" w14:textId="77777777" w:rsidR="00DC335D" w:rsidRPr="003037D2" w:rsidRDefault="00DC335D" w:rsidP="00DC335D">
      <w:pPr>
        <w:jc w:val="center"/>
        <w:rPr>
          <w:rFonts w:ascii="Garamond" w:hAnsi="Garamond" w:cstheme="majorBidi"/>
        </w:rPr>
      </w:pPr>
    </w:p>
    <w:p w14:paraId="1418A7DB" w14:textId="77777777" w:rsidR="00DC335D" w:rsidRPr="003037D2" w:rsidRDefault="00DC335D" w:rsidP="00DC335D">
      <w:pPr>
        <w:jc w:val="center"/>
        <w:rPr>
          <w:rFonts w:ascii="Garamond" w:hAnsi="Garamond" w:cstheme="majorBidi"/>
        </w:rPr>
      </w:pPr>
      <w:r w:rsidRPr="003037D2">
        <w:rPr>
          <w:rFonts w:ascii="Garamond" w:hAnsi="Garamond" w:cstheme="majorBidi"/>
        </w:rPr>
        <w:t>The University of Sheffield</w:t>
      </w:r>
    </w:p>
    <w:p w14:paraId="10EC28C5" w14:textId="77777777" w:rsidR="00DC335D" w:rsidRPr="003037D2" w:rsidRDefault="00DC335D" w:rsidP="00DC335D">
      <w:pPr>
        <w:autoSpaceDE w:val="0"/>
        <w:autoSpaceDN w:val="0"/>
        <w:adjustRightInd w:val="0"/>
        <w:jc w:val="center"/>
        <w:rPr>
          <w:rFonts w:ascii="Garamond" w:hAnsi="Garamond" w:cstheme="majorBidi"/>
        </w:rPr>
      </w:pPr>
      <w:r w:rsidRPr="003037D2">
        <w:rPr>
          <w:rFonts w:ascii="Garamond" w:hAnsi="Garamond" w:cstheme="majorBidi"/>
        </w:rPr>
        <w:t>Faculty of Humanities</w:t>
      </w:r>
    </w:p>
    <w:p w14:paraId="4EE4C77C" w14:textId="77777777" w:rsidR="00DC335D" w:rsidRPr="003037D2" w:rsidRDefault="00DC335D" w:rsidP="00DC335D">
      <w:pPr>
        <w:autoSpaceDE w:val="0"/>
        <w:autoSpaceDN w:val="0"/>
        <w:adjustRightInd w:val="0"/>
        <w:jc w:val="center"/>
        <w:rPr>
          <w:rFonts w:ascii="Garamond" w:hAnsi="Garamond" w:cstheme="majorBidi"/>
        </w:rPr>
      </w:pPr>
      <w:r w:rsidRPr="003037D2">
        <w:rPr>
          <w:rFonts w:ascii="Garamond" w:hAnsi="Garamond" w:cstheme="majorBidi"/>
        </w:rPr>
        <w:t xml:space="preserve">School of English </w:t>
      </w:r>
    </w:p>
    <w:p w14:paraId="39C5C98C" w14:textId="77777777" w:rsidR="00DC335D" w:rsidRPr="003037D2" w:rsidRDefault="00DC335D" w:rsidP="00DC335D">
      <w:pPr>
        <w:jc w:val="center"/>
        <w:rPr>
          <w:rFonts w:ascii="Garamond" w:hAnsi="Garamond" w:cstheme="majorBidi"/>
        </w:rPr>
      </w:pPr>
    </w:p>
    <w:p w14:paraId="73D1D01B" w14:textId="77777777" w:rsidR="00DC335D" w:rsidRPr="003037D2" w:rsidRDefault="00DC335D" w:rsidP="00DC335D">
      <w:pPr>
        <w:jc w:val="center"/>
        <w:rPr>
          <w:rFonts w:ascii="Garamond" w:hAnsi="Garamond" w:cstheme="majorBidi"/>
        </w:rPr>
      </w:pPr>
      <w:r w:rsidRPr="003037D2">
        <w:rPr>
          <w:rFonts w:ascii="Garamond" w:hAnsi="Garamond" w:cstheme="majorBidi"/>
        </w:rPr>
        <w:t xml:space="preserve"> </w:t>
      </w:r>
    </w:p>
    <w:p w14:paraId="53298A41" w14:textId="77777777" w:rsidR="00DC335D" w:rsidRPr="003037D2" w:rsidRDefault="00DC335D" w:rsidP="00DC335D">
      <w:pPr>
        <w:jc w:val="center"/>
        <w:rPr>
          <w:rFonts w:ascii="Garamond" w:hAnsi="Garamond" w:cstheme="majorBidi"/>
        </w:rPr>
      </w:pPr>
    </w:p>
    <w:p w14:paraId="7BA9AF8F" w14:textId="77777777" w:rsidR="00DC335D" w:rsidRPr="003037D2" w:rsidRDefault="00DC335D" w:rsidP="00DC335D">
      <w:pPr>
        <w:jc w:val="center"/>
        <w:rPr>
          <w:rFonts w:ascii="Garamond" w:hAnsi="Garamond" w:cstheme="majorBidi"/>
        </w:rPr>
      </w:pPr>
    </w:p>
    <w:p w14:paraId="37C0F9E2" w14:textId="77777777" w:rsidR="00DC335D" w:rsidRPr="003037D2" w:rsidRDefault="00DC335D" w:rsidP="00DC335D">
      <w:pPr>
        <w:jc w:val="center"/>
        <w:rPr>
          <w:rFonts w:ascii="Garamond" w:hAnsi="Garamond" w:cstheme="majorBidi"/>
        </w:rPr>
      </w:pPr>
    </w:p>
    <w:p w14:paraId="013F338A" w14:textId="6F73DD81" w:rsidR="00DC335D" w:rsidRPr="003037D2" w:rsidRDefault="003037D2" w:rsidP="00DC335D">
      <w:pPr>
        <w:jc w:val="center"/>
        <w:rPr>
          <w:rFonts w:ascii="Garamond" w:hAnsi="Garamond" w:cstheme="majorBidi"/>
        </w:rPr>
      </w:pPr>
      <w:r w:rsidRPr="003037D2">
        <w:rPr>
          <w:rFonts w:ascii="Garamond" w:hAnsi="Garamond" w:cstheme="majorBidi"/>
        </w:rPr>
        <w:t>20</w:t>
      </w:r>
      <w:r w:rsidRPr="003037D2">
        <w:rPr>
          <w:rFonts w:ascii="Garamond" w:hAnsi="Garamond" w:cstheme="majorBidi"/>
          <w:vertAlign w:val="superscript"/>
        </w:rPr>
        <w:t>th</w:t>
      </w:r>
      <w:r w:rsidRPr="003037D2">
        <w:rPr>
          <w:rFonts w:ascii="Garamond" w:hAnsi="Garamond" w:cstheme="majorBidi"/>
        </w:rPr>
        <w:t xml:space="preserve"> March 2019</w:t>
      </w:r>
    </w:p>
    <w:p w14:paraId="70A8DFD7" w14:textId="407B44E6" w:rsidR="00162224" w:rsidRPr="003037D2" w:rsidRDefault="00162224" w:rsidP="00DC335D">
      <w:pPr>
        <w:jc w:val="center"/>
        <w:rPr>
          <w:rFonts w:ascii="Garamond" w:hAnsi="Garamond" w:cstheme="majorBidi"/>
        </w:rPr>
      </w:pPr>
    </w:p>
    <w:p w14:paraId="540F0518" w14:textId="77777777" w:rsidR="00162224" w:rsidRPr="003037D2" w:rsidRDefault="00162224">
      <w:pPr>
        <w:rPr>
          <w:rFonts w:ascii="Garamond" w:hAnsi="Garamond" w:cstheme="majorBidi"/>
        </w:rPr>
      </w:pPr>
      <w:r w:rsidRPr="003037D2">
        <w:rPr>
          <w:rFonts w:ascii="Garamond" w:hAnsi="Garamond" w:cstheme="majorBidi"/>
        </w:rPr>
        <w:br w:type="page"/>
      </w:r>
    </w:p>
    <w:p w14:paraId="067B3A61" w14:textId="57BCFDC3" w:rsidR="00162224" w:rsidRPr="003037D2" w:rsidRDefault="00162224" w:rsidP="00DC335D">
      <w:pPr>
        <w:jc w:val="center"/>
        <w:rPr>
          <w:rFonts w:ascii="Garamond" w:hAnsi="Garamond" w:cstheme="majorBidi"/>
        </w:rPr>
      </w:pPr>
    </w:p>
    <w:p w14:paraId="085FFBAF" w14:textId="77777777" w:rsidR="00162224" w:rsidRPr="003037D2" w:rsidRDefault="00162224">
      <w:pPr>
        <w:rPr>
          <w:rFonts w:ascii="Garamond" w:hAnsi="Garamond" w:cstheme="majorBidi"/>
        </w:rPr>
      </w:pPr>
      <w:r w:rsidRPr="003037D2">
        <w:rPr>
          <w:rFonts w:ascii="Garamond" w:hAnsi="Garamond" w:cstheme="majorBidi"/>
        </w:rPr>
        <w:br w:type="page"/>
      </w:r>
    </w:p>
    <w:p w14:paraId="5C367882" w14:textId="77777777" w:rsidR="00DC335D" w:rsidRPr="003037D2" w:rsidRDefault="00DC335D" w:rsidP="00C66AB5">
      <w:pPr>
        <w:spacing w:line="360" w:lineRule="auto"/>
        <w:jc w:val="center"/>
        <w:rPr>
          <w:rFonts w:ascii="Garamond" w:hAnsi="Garamond" w:cstheme="majorBidi"/>
          <w:u w:val="single"/>
        </w:rPr>
      </w:pPr>
      <w:r w:rsidRPr="003037D2">
        <w:rPr>
          <w:rFonts w:ascii="Garamond" w:hAnsi="Garamond" w:cstheme="majorBidi"/>
          <w:u w:val="single"/>
        </w:rPr>
        <w:lastRenderedPageBreak/>
        <w:t xml:space="preserve">Abstract </w:t>
      </w:r>
    </w:p>
    <w:p w14:paraId="30B9EF8A" w14:textId="77777777" w:rsidR="00DC335D" w:rsidRPr="003037D2" w:rsidRDefault="00DC335D" w:rsidP="00C66AB5">
      <w:pPr>
        <w:spacing w:line="360" w:lineRule="auto"/>
        <w:jc w:val="center"/>
        <w:rPr>
          <w:rFonts w:ascii="Garamond" w:hAnsi="Garamond" w:cstheme="majorBidi"/>
        </w:rPr>
      </w:pPr>
    </w:p>
    <w:p w14:paraId="68275294" w14:textId="77777777" w:rsidR="00DC335D" w:rsidRPr="003037D2" w:rsidRDefault="00DC335D" w:rsidP="00C66AB5">
      <w:pPr>
        <w:spacing w:line="360" w:lineRule="auto"/>
        <w:jc w:val="center"/>
        <w:rPr>
          <w:rFonts w:ascii="Garamond" w:hAnsi="Garamond" w:cstheme="majorBidi"/>
        </w:rPr>
      </w:pPr>
    </w:p>
    <w:p w14:paraId="3E6EAD89" w14:textId="318B8B2D" w:rsidR="00C620C8" w:rsidRPr="003037D2" w:rsidRDefault="00DC335D" w:rsidP="00C620C8">
      <w:pPr>
        <w:spacing w:line="360" w:lineRule="auto"/>
        <w:rPr>
          <w:rFonts w:ascii="Garamond" w:hAnsi="Garamond" w:cstheme="majorBidi"/>
          <w:sz w:val="22"/>
          <w:szCs w:val="22"/>
        </w:rPr>
      </w:pPr>
      <w:r w:rsidRPr="003037D2">
        <w:rPr>
          <w:rFonts w:ascii="Garamond" w:hAnsi="Garamond" w:cstheme="majorBidi"/>
        </w:rPr>
        <w:tab/>
      </w:r>
      <w:r w:rsidR="00C620C8" w:rsidRPr="003037D2">
        <w:rPr>
          <w:rFonts w:ascii="Garamond" w:hAnsi="Garamond" w:cstheme="majorBidi"/>
          <w:sz w:val="22"/>
          <w:szCs w:val="22"/>
        </w:rPr>
        <w:t>This thesis examines how early modern religious texts make time visible in their material forms. The period has been conceptualized as</w:t>
      </w:r>
      <w:r w:rsidR="00E8723F" w:rsidRPr="003037D2">
        <w:rPr>
          <w:rFonts w:ascii="Garamond" w:hAnsi="Garamond" w:cstheme="majorBidi"/>
          <w:sz w:val="22"/>
          <w:szCs w:val="22"/>
        </w:rPr>
        <w:t xml:space="preserve"> one in which</w:t>
      </w:r>
      <w:r w:rsidR="00C620C8" w:rsidRPr="003037D2">
        <w:rPr>
          <w:rFonts w:ascii="Garamond" w:hAnsi="Garamond" w:cstheme="majorBidi"/>
          <w:sz w:val="22"/>
          <w:szCs w:val="22"/>
        </w:rPr>
        <w:t xml:space="preserve"> secular and sacred time became separated from one another, moving from a communally shared, cyclical sense of the year based on the agricultural and church calendar to a linear, individualistic notion of ti</w:t>
      </w:r>
      <w:r w:rsidR="00E8723F" w:rsidRPr="003037D2">
        <w:rPr>
          <w:rFonts w:ascii="Garamond" w:hAnsi="Garamond" w:cstheme="majorBidi"/>
          <w:sz w:val="22"/>
          <w:szCs w:val="22"/>
        </w:rPr>
        <w:t>me</w:t>
      </w:r>
      <w:r w:rsidR="00C620C8" w:rsidRPr="003037D2">
        <w:rPr>
          <w:rFonts w:ascii="Garamond" w:hAnsi="Garamond" w:cstheme="majorBidi"/>
          <w:sz w:val="22"/>
          <w:szCs w:val="22"/>
        </w:rPr>
        <w:t>.</w:t>
      </w:r>
      <w:r w:rsidR="00E8723F" w:rsidRPr="003037D2">
        <w:rPr>
          <w:rFonts w:ascii="Garamond" w:hAnsi="Garamond" w:cstheme="majorBidi"/>
          <w:sz w:val="22"/>
          <w:szCs w:val="22"/>
        </w:rPr>
        <w:t xml:space="preserve"> </w:t>
      </w:r>
      <w:r w:rsidR="00C620C8" w:rsidRPr="003037D2">
        <w:rPr>
          <w:rFonts w:ascii="Garamond" w:hAnsi="Garamond" w:cstheme="majorBidi"/>
          <w:sz w:val="22"/>
          <w:szCs w:val="22"/>
        </w:rPr>
        <w:t xml:space="preserve"> The thesis seeks to complicate this progression. </w:t>
      </w:r>
    </w:p>
    <w:p w14:paraId="3704245B" w14:textId="77777777" w:rsidR="00C620C8" w:rsidRPr="003037D2" w:rsidRDefault="00C620C8" w:rsidP="00C620C8">
      <w:pPr>
        <w:spacing w:line="360" w:lineRule="auto"/>
        <w:rPr>
          <w:rFonts w:ascii="Garamond" w:hAnsi="Garamond" w:cstheme="majorBidi"/>
          <w:sz w:val="22"/>
          <w:szCs w:val="22"/>
        </w:rPr>
      </w:pPr>
    </w:p>
    <w:p w14:paraId="34F38AC1" w14:textId="77777777" w:rsidR="00C620C8" w:rsidRPr="003037D2" w:rsidRDefault="00C620C8" w:rsidP="00C620C8">
      <w:pPr>
        <w:spacing w:line="360" w:lineRule="auto"/>
        <w:ind w:firstLine="720"/>
        <w:rPr>
          <w:rFonts w:ascii="Garamond" w:hAnsi="Garamond" w:cstheme="majorBidi"/>
          <w:sz w:val="22"/>
          <w:szCs w:val="22"/>
        </w:rPr>
      </w:pPr>
      <w:r w:rsidRPr="003037D2">
        <w:rPr>
          <w:rFonts w:ascii="Garamond" w:hAnsi="Garamond" w:cstheme="majorBidi"/>
          <w:sz w:val="22"/>
          <w:szCs w:val="22"/>
        </w:rPr>
        <w:t xml:space="preserve">A small-scale study of the holdings of annotated almanacs in the Huntington Library demonstrates how readers and writers visualized time within texts. This evidence suggests there was a high degree of flexibility in how time could be perceived in the period, as different temporal systems could be combined and moved between. Disparate points in time could be brought together in the book as a memory system. The second chapter focuses on psalm translations to explore how the re-writing of a Biblical text could be part of a process of re-timing it: making it applicable for the present moment. Matthew Parker’s historicizing mission in translation and antiquarianism is contrasted to the lyric modes of translation seen in Anne Lock and Mary Sidney Herbert’s renderings of Psalm 51, </w:t>
      </w:r>
      <w:r w:rsidRPr="003037D2">
        <w:rPr>
          <w:rFonts w:ascii="Garamond" w:hAnsi="Garamond" w:cstheme="majorBidi"/>
          <w:i/>
          <w:iCs/>
          <w:sz w:val="22"/>
          <w:szCs w:val="22"/>
        </w:rPr>
        <w:t xml:space="preserve">miserere </w:t>
      </w:r>
      <w:proofErr w:type="spellStart"/>
      <w:r w:rsidRPr="003037D2">
        <w:rPr>
          <w:rFonts w:ascii="Garamond" w:hAnsi="Garamond" w:cstheme="majorBidi"/>
          <w:i/>
          <w:iCs/>
          <w:sz w:val="22"/>
          <w:szCs w:val="22"/>
        </w:rPr>
        <w:t>mei</w:t>
      </w:r>
      <w:proofErr w:type="spellEnd"/>
      <w:r w:rsidRPr="003037D2">
        <w:rPr>
          <w:rFonts w:ascii="Garamond" w:hAnsi="Garamond" w:cstheme="majorBidi"/>
          <w:i/>
          <w:iCs/>
          <w:sz w:val="22"/>
          <w:szCs w:val="22"/>
        </w:rPr>
        <w:t xml:space="preserve"> </w:t>
      </w:r>
      <w:proofErr w:type="spellStart"/>
      <w:r w:rsidRPr="003037D2">
        <w:rPr>
          <w:rFonts w:ascii="Garamond" w:hAnsi="Garamond" w:cstheme="majorBidi"/>
          <w:i/>
          <w:iCs/>
          <w:sz w:val="22"/>
          <w:szCs w:val="22"/>
        </w:rPr>
        <w:t>deus</w:t>
      </w:r>
      <w:proofErr w:type="spellEnd"/>
      <w:r w:rsidRPr="003037D2">
        <w:rPr>
          <w:rFonts w:ascii="Garamond" w:hAnsi="Garamond" w:cstheme="majorBidi"/>
          <w:i/>
          <w:iCs/>
          <w:sz w:val="22"/>
          <w:szCs w:val="22"/>
        </w:rPr>
        <w:t xml:space="preserve">. </w:t>
      </w:r>
    </w:p>
    <w:p w14:paraId="7E1EE3D4" w14:textId="77777777" w:rsidR="00C620C8" w:rsidRPr="003037D2" w:rsidRDefault="00C620C8" w:rsidP="00C620C8">
      <w:pPr>
        <w:spacing w:line="360" w:lineRule="auto"/>
        <w:rPr>
          <w:rFonts w:ascii="Garamond" w:hAnsi="Garamond" w:cstheme="majorBidi"/>
          <w:sz w:val="22"/>
          <w:szCs w:val="22"/>
        </w:rPr>
      </w:pPr>
    </w:p>
    <w:p w14:paraId="0217346E" w14:textId="2F1028E3" w:rsidR="00C620C8" w:rsidRPr="003037D2" w:rsidRDefault="00C620C8" w:rsidP="00A721D6">
      <w:pPr>
        <w:spacing w:line="360" w:lineRule="auto"/>
        <w:rPr>
          <w:rFonts w:ascii="Garamond" w:hAnsi="Garamond" w:cstheme="majorBidi"/>
          <w:sz w:val="22"/>
          <w:szCs w:val="22"/>
        </w:rPr>
      </w:pPr>
      <w:r w:rsidRPr="003037D2">
        <w:rPr>
          <w:rFonts w:ascii="Garamond" w:hAnsi="Garamond" w:cstheme="majorBidi"/>
          <w:sz w:val="22"/>
          <w:szCs w:val="22"/>
        </w:rPr>
        <w:tab/>
        <w:t xml:space="preserve">The focus on the materiality of time in texts is predicated on the idea that reading is an explicitly temporal activity – reaching back to history or creating anew. This idea is explored in Chapter 3, examining George Herbert’s writings, particularly his hieroglyphic and pattern poetry. Evidence for Herbert’s early readers is considered to examine how these poems could take on </w:t>
      </w:r>
      <w:proofErr w:type="gramStart"/>
      <w:r w:rsidRPr="003037D2">
        <w:rPr>
          <w:rFonts w:ascii="Garamond" w:hAnsi="Garamond" w:cstheme="majorBidi"/>
          <w:sz w:val="22"/>
          <w:szCs w:val="22"/>
        </w:rPr>
        <w:t>particular weight</w:t>
      </w:r>
      <w:proofErr w:type="gramEnd"/>
      <w:r w:rsidRPr="003037D2">
        <w:rPr>
          <w:rFonts w:ascii="Garamond" w:hAnsi="Garamond" w:cstheme="majorBidi"/>
          <w:sz w:val="22"/>
          <w:szCs w:val="22"/>
        </w:rPr>
        <w:t xml:space="preserve"> as memorial objects. The final chapter begins with a study of the marketing of sermons (1620-1642). The evidence from this survey informs the exploration of how preachers including John Donne, Joseph Hall and John Day captured the time and place of the performed sermon in their published works. </w:t>
      </w:r>
      <w:proofErr w:type="gramStart"/>
      <w:r w:rsidR="00A721D6" w:rsidRPr="003037D2">
        <w:rPr>
          <w:rFonts w:ascii="Garamond" w:hAnsi="Garamond" w:cstheme="majorBidi"/>
          <w:sz w:val="22"/>
          <w:szCs w:val="22"/>
        </w:rPr>
        <w:t>As a whole, the</w:t>
      </w:r>
      <w:proofErr w:type="gramEnd"/>
      <w:r w:rsidR="00A721D6" w:rsidRPr="003037D2">
        <w:rPr>
          <w:rFonts w:ascii="Garamond" w:hAnsi="Garamond" w:cstheme="majorBidi"/>
          <w:sz w:val="22"/>
          <w:szCs w:val="22"/>
        </w:rPr>
        <w:t xml:space="preserve"> thesis seeks to explore the ways in which texts can capture complex, </w:t>
      </w:r>
      <w:proofErr w:type="spellStart"/>
      <w:r w:rsidR="00A721D6" w:rsidRPr="003037D2">
        <w:rPr>
          <w:rFonts w:ascii="Garamond" w:hAnsi="Garamond" w:cstheme="majorBidi"/>
          <w:sz w:val="22"/>
          <w:szCs w:val="22"/>
        </w:rPr>
        <w:t>polytemporal</w:t>
      </w:r>
      <w:proofErr w:type="spellEnd"/>
      <w:r w:rsidR="00A721D6" w:rsidRPr="003037D2">
        <w:rPr>
          <w:rFonts w:ascii="Garamond" w:hAnsi="Garamond" w:cstheme="majorBidi"/>
          <w:sz w:val="22"/>
          <w:szCs w:val="22"/>
        </w:rPr>
        <w:t xml:space="preserve"> systems of memory and experience. </w:t>
      </w:r>
      <w:r w:rsidRPr="003037D2">
        <w:rPr>
          <w:rFonts w:ascii="Garamond" w:hAnsi="Garamond" w:cstheme="majorBidi"/>
          <w:sz w:val="22"/>
          <w:szCs w:val="22"/>
        </w:rPr>
        <w:t xml:space="preserve"> </w:t>
      </w:r>
    </w:p>
    <w:p w14:paraId="4F430F8A" w14:textId="77777777" w:rsidR="00C620C8" w:rsidRPr="003037D2" w:rsidRDefault="00C620C8" w:rsidP="00C620C8">
      <w:pPr>
        <w:rPr>
          <w:rFonts w:ascii="Garamond" w:hAnsi="Garamond"/>
        </w:rPr>
      </w:pPr>
    </w:p>
    <w:p w14:paraId="02D7B652" w14:textId="430553DA" w:rsidR="00A304C2" w:rsidRPr="003037D2" w:rsidRDefault="00A304C2" w:rsidP="00C620C8">
      <w:pPr>
        <w:spacing w:line="360" w:lineRule="auto"/>
        <w:rPr>
          <w:rFonts w:ascii="Garamond" w:hAnsi="Garamond" w:cstheme="majorBidi"/>
          <w:sz w:val="22"/>
          <w:szCs w:val="22"/>
        </w:rPr>
      </w:pPr>
      <w:r w:rsidRPr="003037D2">
        <w:rPr>
          <w:rFonts w:ascii="Garamond" w:hAnsi="Garamond" w:cstheme="majorBidi"/>
          <w:sz w:val="22"/>
          <w:szCs w:val="22"/>
        </w:rPr>
        <w:t xml:space="preserve">. </w:t>
      </w:r>
    </w:p>
    <w:p w14:paraId="5375791F" w14:textId="397386C9" w:rsidR="00A304C2" w:rsidRPr="003037D2" w:rsidRDefault="00A304C2" w:rsidP="00A304C2">
      <w:pPr>
        <w:spacing w:line="360" w:lineRule="auto"/>
        <w:rPr>
          <w:rFonts w:ascii="Garamond" w:hAnsi="Garamond"/>
        </w:rPr>
      </w:pPr>
    </w:p>
    <w:p w14:paraId="27DE2944" w14:textId="77777777" w:rsidR="009029FD" w:rsidRPr="003037D2" w:rsidRDefault="009029FD" w:rsidP="00124458">
      <w:pPr>
        <w:rPr>
          <w:rFonts w:ascii="Garamond" w:hAnsi="Garamond"/>
        </w:rPr>
      </w:pPr>
    </w:p>
    <w:p w14:paraId="10E1D372" w14:textId="77777777" w:rsidR="009029FD" w:rsidRPr="003037D2" w:rsidRDefault="009029FD" w:rsidP="00124458">
      <w:pPr>
        <w:rPr>
          <w:rFonts w:ascii="Garamond" w:hAnsi="Garamond"/>
        </w:rPr>
      </w:pPr>
    </w:p>
    <w:p w14:paraId="427989AA" w14:textId="77777777" w:rsidR="009029FD" w:rsidRPr="003037D2" w:rsidRDefault="009029FD" w:rsidP="00124458">
      <w:pPr>
        <w:rPr>
          <w:rFonts w:ascii="Garamond" w:hAnsi="Garamond"/>
        </w:rPr>
      </w:pPr>
    </w:p>
    <w:p w14:paraId="4BA32303" w14:textId="77777777" w:rsidR="009029FD" w:rsidRPr="003037D2" w:rsidRDefault="009029FD" w:rsidP="00124458">
      <w:pPr>
        <w:rPr>
          <w:rFonts w:ascii="Garamond" w:hAnsi="Garamond"/>
        </w:rPr>
      </w:pPr>
    </w:p>
    <w:p w14:paraId="4C830547" w14:textId="77777777" w:rsidR="009029FD" w:rsidRPr="003037D2" w:rsidRDefault="009029FD" w:rsidP="00124458">
      <w:pPr>
        <w:rPr>
          <w:rFonts w:ascii="Garamond" w:hAnsi="Garamond"/>
        </w:rPr>
      </w:pPr>
    </w:p>
    <w:p w14:paraId="596E50CE" w14:textId="77777777" w:rsidR="009029FD" w:rsidRPr="003037D2" w:rsidRDefault="009029FD" w:rsidP="00124458">
      <w:pPr>
        <w:rPr>
          <w:rFonts w:ascii="Garamond" w:hAnsi="Garamond"/>
        </w:rPr>
      </w:pPr>
    </w:p>
    <w:p w14:paraId="781ECAC5" w14:textId="77777777" w:rsidR="009029FD" w:rsidRPr="003037D2" w:rsidRDefault="009029FD" w:rsidP="00124458">
      <w:pPr>
        <w:rPr>
          <w:rFonts w:ascii="Garamond" w:hAnsi="Garamond"/>
        </w:rPr>
      </w:pPr>
    </w:p>
    <w:p w14:paraId="5055E2E6" w14:textId="77777777" w:rsidR="009029FD" w:rsidRPr="003037D2" w:rsidRDefault="009029FD" w:rsidP="00124458">
      <w:pPr>
        <w:rPr>
          <w:rFonts w:ascii="Garamond" w:hAnsi="Garamond"/>
        </w:rPr>
      </w:pPr>
    </w:p>
    <w:p w14:paraId="09EE6ACC" w14:textId="77777777" w:rsidR="009029FD" w:rsidRPr="003037D2" w:rsidRDefault="009029FD" w:rsidP="00124458">
      <w:pPr>
        <w:rPr>
          <w:rFonts w:ascii="Garamond" w:hAnsi="Garamond"/>
        </w:rPr>
      </w:pPr>
    </w:p>
    <w:p w14:paraId="1A83D467" w14:textId="654713E1" w:rsidR="009029FD" w:rsidRPr="003037D2" w:rsidRDefault="009029FD" w:rsidP="00124458">
      <w:pPr>
        <w:rPr>
          <w:rFonts w:ascii="Garamond" w:hAnsi="Garamond"/>
        </w:rPr>
      </w:pPr>
    </w:p>
    <w:p w14:paraId="72D29E7D" w14:textId="15171600" w:rsidR="00162224" w:rsidRPr="003037D2" w:rsidRDefault="00162224" w:rsidP="00124458">
      <w:pPr>
        <w:rPr>
          <w:rFonts w:ascii="Garamond" w:hAnsi="Garamond"/>
        </w:rPr>
      </w:pPr>
    </w:p>
    <w:p w14:paraId="31B3C9C1" w14:textId="594FBD17" w:rsidR="00162224" w:rsidRPr="003037D2" w:rsidRDefault="00162224" w:rsidP="00124458">
      <w:pPr>
        <w:rPr>
          <w:rFonts w:ascii="Garamond" w:hAnsi="Garamond"/>
        </w:rPr>
      </w:pPr>
    </w:p>
    <w:p w14:paraId="6315FC3C" w14:textId="5D7A84AE" w:rsidR="00162224" w:rsidRPr="003037D2" w:rsidRDefault="00162224" w:rsidP="00124458">
      <w:pPr>
        <w:rPr>
          <w:rFonts w:ascii="Garamond" w:hAnsi="Garamond"/>
        </w:rPr>
      </w:pPr>
    </w:p>
    <w:p w14:paraId="4040DCDB" w14:textId="136588A4" w:rsidR="00162224" w:rsidRPr="003037D2" w:rsidRDefault="00162224" w:rsidP="00124458">
      <w:pPr>
        <w:rPr>
          <w:rFonts w:ascii="Garamond" w:hAnsi="Garamond"/>
        </w:rPr>
      </w:pPr>
    </w:p>
    <w:p w14:paraId="3937AF34" w14:textId="28493D80" w:rsidR="00162224" w:rsidRPr="003037D2" w:rsidRDefault="00162224" w:rsidP="00124458">
      <w:pPr>
        <w:rPr>
          <w:rFonts w:ascii="Garamond" w:hAnsi="Garamond"/>
        </w:rPr>
      </w:pPr>
    </w:p>
    <w:p w14:paraId="1CC928A6" w14:textId="6C293747" w:rsidR="00162224" w:rsidRPr="003037D2" w:rsidRDefault="00162224" w:rsidP="00124458">
      <w:pPr>
        <w:rPr>
          <w:rFonts w:ascii="Garamond" w:hAnsi="Garamond"/>
        </w:rPr>
      </w:pPr>
    </w:p>
    <w:p w14:paraId="043A89DF" w14:textId="77777777" w:rsidR="00162224" w:rsidRPr="003037D2" w:rsidRDefault="00162224" w:rsidP="00124458">
      <w:pPr>
        <w:rPr>
          <w:rFonts w:ascii="Garamond" w:hAnsi="Garamond"/>
        </w:rPr>
      </w:pPr>
    </w:p>
    <w:p w14:paraId="4E78210C" w14:textId="348A9B18" w:rsidR="009029FD" w:rsidRPr="003037D2" w:rsidRDefault="009029FD" w:rsidP="00124458">
      <w:pPr>
        <w:rPr>
          <w:rFonts w:ascii="Garamond" w:hAnsi="Garamond"/>
        </w:rPr>
      </w:pPr>
    </w:p>
    <w:p w14:paraId="446CBA11" w14:textId="1A2AE98E" w:rsidR="00162224" w:rsidRPr="003037D2" w:rsidRDefault="00162224" w:rsidP="00124458">
      <w:pPr>
        <w:rPr>
          <w:rFonts w:ascii="Garamond" w:hAnsi="Garamond"/>
        </w:rPr>
      </w:pPr>
    </w:p>
    <w:p w14:paraId="7B4EBC15" w14:textId="1692671F" w:rsidR="00162224" w:rsidRPr="003037D2" w:rsidRDefault="00162224" w:rsidP="00124458">
      <w:pPr>
        <w:rPr>
          <w:rFonts w:ascii="Garamond" w:hAnsi="Garamond"/>
        </w:rPr>
      </w:pPr>
    </w:p>
    <w:p w14:paraId="098ABC8C" w14:textId="2A7007C0" w:rsidR="00162224" w:rsidRPr="003037D2" w:rsidRDefault="00162224" w:rsidP="00124458">
      <w:pPr>
        <w:rPr>
          <w:rFonts w:ascii="Garamond" w:hAnsi="Garamond"/>
        </w:rPr>
      </w:pPr>
    </w:p>
    <w:p w14:paraId="26E60FC4" w14:textId="62F7A2D3" w:rsidR="00162224" w:rsidRPr="003037D2" w:rsidRDefault="00162224" w:rsidP="00124458">
      <w:pPr>
        <w:rPr>
          <w:rFonts w:ascii="Garamond" w:hAnsi="Garamond"/>
        </w:rPr>
      </w:pPr>
    </w:p>
    <w:p w14:paraId="512E6393" w14:textId="7BAEDFF5" w:rsidR="00162224" w:rsidRPr="003037D2" w:rsidRDefault="00162224" w:rsidP="00124458">
      <w:pPr>
        <w:rPr>
          <w:rFonts w:ascii="Garamond" w:hAnsi="Garamond"/>
        </w:rPr>
      </w:pPr>
    </w:p>
    <w:p w14:paraId="7ED2A6DF" w14:textId="7258B65D" w:rsidR="00162224" w:rsidRPr="003037D2" w:rsidRDefault="00162224" w:rsidP="00124458">
      <w:pPr>
        <w:rPr>
          <w:rFonts w:ascii="Garamond" w:hAnsi="Garamond"/>
        </w:rPr>
      </w:pPr>
    </w:p>
    <w:p w14:paraId="505909A4" w14:textId="02D3BC29" w:rsidR="00162224" w:rsidRPr="003037D2" w:rsidRDefault="00162224" w:rsidP="00124458">
      <w:pPr>
        <w:rPr>
          <w:rFonts w:ascii="Garamond" w:hAnsi="Garamond"/>
        </w:rPr>
      </w:pPr>
    </w:p>
    <w:p w14:paraId="0FE633BC" w14:textId="0D5B67AD" w:rsidR="00162224" w:rsidRPr="003037D2" w:rsidRDefault="00162224" w:rsidP="00124458">
      <w:pPr>
        <w:rPr>
          <w:rFonts w:ascii="Garamond" w:hAnsi="Garamond"/>
        </w:rPr>
      </w:pPr>
    </w:p>
    <w:p w14:paraId="06A5210E" w14:textId="07F1DB53" w:rsidR="00162224" w:rsidRPr="003037D2" w:rsidRDefault="00162224" w:rsidP="00124458">
      <w:pPr>
        <w:rPr>
          <w:rFonts w:ascii="Garamond" w:hAnsi="Garamond"/>
        </w:rPr>
      </w:pPr>
    </w:p>
    <w:p w14:paraId="6477AC55" w14:textId="5E1B2706" w:rsidR="00162224" w:rsidRPr="003037D2" w:rsidRDefault="00162224" w:rsidP="00124458">
      <w:pPr>
        <w:rPr>
          <w:rFonts w:ascii="Garamond" w:hAnsi="Garamond"/>
        </w:rPr>
      </w:pPr>
    </w:p>
    <w:p w14:paraId="52B4EB78" w14:textId="01BA2FB7" w:rsidR="00162224" w:rsidRPr="003037D2" w:rsidRDefault="00162224" w:rsidP="00124458">
      <w:pPr>
        <w:rPr>
          <w:rFonts w:ascii="Garamond" w:hAnsi="Garamond"/>
        </w:rPr>
      </w:pPr>
    </w:p>
    <w:p w14:paraId="5EC54024" w14:textId="503A9BEB" w:rsidR="00162224" w:rsidRPr="003037D2" w:rsidRDefault="00162224" w:rsidP="00124458">
      <w:pPr>
        <w:rPr>
          <w:rFonts w:ascii="Garamond" w:hAnsi="Garamond"/>
        </w:rPr>
      </w:pPr>
    </w:p>
    <w:p w14:paraId="737C53FE" w14:textId="03AF3E60" w:rsidR="00162224" w:rsidRPr="003037D2" w:rsidRDefault="00162224" w:rsidP="00124458">
      <w:pPr>
        <w:rPr>
          <w:rFonts w:ascii="Garamond" w:hAnsi="Garamond"/>
        </w:rPr>
      </w:pPr>
    </w:p>
    <w:p w14:paraId="74F8892B" w14:textId="7DB31B79" w:rsidR="00162224" w:rsidRPr="003037D2" w:rsidRDefault="00162224" w:rsidP="00124458">
      <w:pPr>
        <w:rPr>
          <w:rFonts w:ascii="Garamond" w:hAnsi="Garamond"/>
        </w:rPr>
      </w:pPr>
    </w:p>
    <w:p w14:paraId="5B31DDAD" w14:textId="23122545" w:rsidR="00162224" w:rsidRPr="003037D2" w:rsidRDefault="00162224" w:rsidP="00124458">
      <w:pPr>
        <w:rPr>
          <w:rFonts w:ascii="Garamond" w:hAnsi="Garamond"/>
        </w:rPr>
      </w:pPr>
    </w:p>
    <w:p w14:paraId="0A2C7F5E" w14:textId="681EEE92" w:rsidR="00162224" w:rsidRPr="003037D2" w:rsidRDefault="00162224" w:rsidP="00124458">
      <w:pPr>
        <w:rPr>
          <w:rFonts w:ascii="Garamond" w:hAnsi="Garamond"/>
        </w:rPr>
      </w:pPr>
    </w:p>
    <w:p w14:paraId="05B34470" w14:textId="495537A8" w:rsidR="00162224" w:rsidRPr="003037D2" w:rsidRDefault="00162224" w:rsidP="00124458">
      <w:pPr>
        <w:rPr>
          <w:rFonts w:ascii="Garamond" w:hAnsi="Garamond"/>
        </w:rPr>
      </w:pPr>
    </w:p>
    <w:p w14:paraId="6544FFFF" w14:textId="231DBCEB" w:rsidR="00162224" w:rsidRPr="003037D2" w:rsidRDefault="00162224" w:rsidP="00124458">
      <w:pPr>
        <w:rPr>
          <w:rFonts w:ascii="Garamond" w:hAnsi="Garamond"/>
        </w:rPr>
      </w:pPr>
    </w:p>
    <w:p w14:paraId="46E550B2" w14:textId="6655A7E2" w:rsidR="00162224" w:rsidRPr="003037D2" w:rsidRDefault="00162224" w:rsidP="00124458">
      <w:pPr>
        <w:rPr>
          <w:rFonts w:ascii="Garamond" w:hAnsi="Garamond"/>
        </w:rPr>
      </w:pPr>
    </w:p>
    <w:p w14:paraId="7F168687" w14:textId="1E33EBCC" w:rsidR="00162224" w:rsidRPr="003037D2" w:rsidRDefault="00162224" w:rsidP="00124458">
      <w:pPr>
        <w:rPr>
          <w:rFonts w:ascii="Garamond" w:hAnsi="Garamond"/>
        </w:rPr>
      </w:pPr>
    </w:p>
    <w:p w14:paraId="48E9A33C" w14:textId="4628227E" w:rsidR="00162224" w:rsidRPr="003037D2" w:rsidRDefault="00162224" w:rsidP="00124458">
      <w:pPr>
        <w:rPr>
          <w:rFonts w:ascii="Garamond" w:hAnsi="Garamond"/>
        </w:rPr>
      </w:pPr>
    </w:p>
    <w:p w14:paraId="0CC0129E" w14:textId="3F96FEE1" w:rsidR="00162224" w:rsidRPr="003037D2" w:rsidRDefault="00162224" w:rsidP="00124458">
      <w:pPr>
        <w:rPr>
          <w:rFonts w:ascii="Garamond" w:hAnsi="Garamond"/>
        </w:rPr>
      </w:pPr>
    </w:p>
    <w:p w14:paraId="1EBCE285" w14:textId="4F4AC78E" w:rsidR="00162224" w:rsidRPr="003037D2" w:rsidRDefault="00162224" w:rsidP="00124458">
      <w:pPr>
        <w:rPr>
          <w:rFonts w:ascii="Garamond" w:hAnsi="Garamond"/>
        </w:rPr>
      </w:pPr>
    </w:p>
    <w:p w14:paraId="02D6781E" w14:textId="78CACF17" w:rsidR="00162224" w:rsidRPr="003037D2" w:rsidRDefault="00162224" w:rsidP="00124458">
      <w:pPr>
        <w:rPr>
          <w:rFonts w:ascii="Garamond" w:hAnsi="Garamond"/>
        </w:rPr>
      </w:pPr>
    </w:p>
    <w:p w14:paraId="1777AE68" w14:textId="022C5606" w:rsidR="00162224" w:rsidRDefault="00162224" w:rsidP="00124458">
      <w:pPr>
        <w:rPr>
          <w:rFonts w:ascii="Garamond" w:hAnsi="Garamond"/>
        </w:rPr>
      </w:pPr>
    </w:p>
    <w:p w14:paraId="79ECCDB0" w14:textId="0C9BCAE9" w:rsidR="0056489A" w:rsidRDefault="0056489A" w:rsidP="00124458">
      <w:pPr>
        <w:rPr>
          <w:rFonts w:ascii="Garamond" w:hAnsi="Garamond"/>
        </w:rPr>
      </w:pPr>
    </w:p>
    <w:p w14:paraId="4FC3FB53" w14:textId="77777777" w:rsidR="0056489A" w:rsidRPr="003037D2" w:rsidRDefault="0056489A" w:rsidP="00124458">
      <w:pPr>
        <w:rPr>
          <w:rFonts w:ascii="Garamond" w:hAnsi="Garamond"/>
        </w:rPr>
      </w:pPr>
    </w:p>
    <w:p w14:paraId="4098648C" w14:textId="77777777" w:rsidR="00162224" w:rsidRPr="003037D2" w:rsidRDefault="00162224" w:rsidP="00C16C7F">
      <w:pPr>
        <w:jc w:val="center"/>
        <w:rPr>
          <w:rFonts w:ascii="Garamond" w:hAnsi="Garamond"/>
          <w:u w:val="single"/>
        </w:rPr>
      </w:pPr>
    </w:p>
    <w:p w14:paraId="50A6753C" w14:textId="77777777" w:rsidR="00162224" w:rsidRPr="003037D2" w:rsidRDefault="00162224" w:rsidP="00C16C7F">
      <w:pPr>
        <w:jc w:val="center"/>
        <w:rPr>
          <w:rFonts w:ascii="Garamond" w:hAnsi="Garamond"/>
          <w:u w:val="single"/>
        </w:rPr>
      </w:pPr>
    </w:p>
    <w:p w14:paraId="328431B7" w14:textId="77777777" w:rsidR="00162224" w:rsidRPr="003037D2" w:rsidRDefault="00162224" w:rsidP="00C16C7F">
      <w:pPr>
        <w:jc w:val="center"/>
        <w:rPr>
          <w:rFonts w:ascii="Garamond" w:hAnsi="Garamond"/>
          <w:u w:val="single"/>
        </w:rPr>
      </w:pPr>
    </w:p>
    <w:p w14:paraId="424FD6E5" w14:textId="77777777" w:rsidR="00162224" w:rsidRPr="003037D2" w:rsidRDefault="00162224" w:rsidP="00C16C7F">
      <w:pPr>
        <w:jc w:val="center"/>
        <w:rPr>
          <w:rFonts w:ascii="Garamond" w:hAnsi="Garamond"/>
          <w:u w:val="single"/>
        </w:rPr>
      </w:pPr>
    </w:p>
    <w:p w14:paraId="27062C2B" w14:textId="77777777" w:rsidR="00162224" w:rsidRPr="003037D2" w:rsidRDefault="00162224" w:rsidP="00C16C7F">
      <w:pPr>
        <w:jc w:val="center"/>
        <w:rPr>
          <w:rFonts w:ascii="Garamond" w:hAnsi="Garamond"/>
          <w:u w:val="single"/>
        </w:rPr>
      </w:pPr>
    </w:p>
    <w:p w14:paraId="4FA0C4B3" w14:textId="77777777" w:rsidR="00162224" w:rsidRPr="003037D2" w:rsidRDefault="00162224" w:rsidP="00C16C7F">
      <w:pPr>
        <w:jc w:val="center"/>
        <w:rPr>
          <w:rFonts w:ascii="Garamond" w:hAnsi="Garamond"/>
          <w:u w:val="single"/>
        </w:rPr>
      </w:pPr>
    </w:p>
    <w:p w14:paraId="50BF5748" w14:textId="77777777" w:rsidR="00162224" w:rsidRPr="003037D2" w:rsidRDefault="00162224" w:rsidP="00C16C7F">
      <w:pPr>
        <w:jc w:val="center"/>
        <w:rPr>
          <w:rFonts w:ascii="Garamond" w:hAnsi="Garamond"/>
          <w:u w:val="single"/>
        </w:rPr>
      </w:pPr>
    </w:p>
    <w:p w14:paraId="08A2409B" w14:textId="77777777" w:rsidR="00162224" w:rsidRPr="003037D2" w:rsidRDefault="00162224" w:rsidP="00C16C7F">
      <w:pPr>
        <w:jc w:val="center"/>
        <w:rPr>
          <w:rFonts w:ascii="Garamond" w:hAnsi="Garamond"/>
          <w:u w:val="single"/>
        </w:rPr>
      </w:pPr>
    </w:p>
    <w:p w14:paraId="1ABFE414" w14:textId="77777777" w:rsidR="00162224" w:rsidRPr="003037D2" w:rsidRDefault="00162224" w:rsidP="00C16C7F">
      <w:pPr>
        <w:jc w:val="center"/>
        <w:rPr>
          <w:rFonts w:ascii="Garamond" w:hAnsi="Garamond"/>
          <w:u w:val="single"/>
        </w:rPr>
      </w:pPr>
    </w:p>
    <w:p w14:paraId="0BB73F2A" w14:textId="77777777" w:rsidR="00162224" w:rsidRPr="003037D2" w:rsidRDefault="00162224" w:rsidP="00C16C7F">
      <w:pPr>
        <w:jc w:val="center"/>
        <w:rPr>
          <w:rFonts w:ascii="Garamond" w:hAnsi="Garamond"/>
          <w:u w:val="single"/>
        </w:rPr>
      </w:pPr>
    </w:p>
    <w:p w14:paraId="4237A32C" w14:textId="77777777" w:rsidR="00162224" w:rsidRPr="003037D2" w:rsidRDefault="00162224" w:rsidP="00C16C7F">
      <w:pPr>
        <w:jc w:val="center"/>
        <w:rPr>
          <w:rFonts w:ascii="Garamond" w:hAnsi="Garamond"/>
          <w:u w:val="single"/>
        </w:rPr>
      </w:pPr>
    </w:p>
    <w:p w14:paraId="03502996" w14:textId="77777777" w:rsidR="00162224" w:rsidRPr="003037D2" w:rsidRDefault="00162224" w:rsidP="00C16C7F">
      <w:pPr>
        <w:jc w:val="center"/>
        <w:rPr>
          <w:rFonts w:ascii="Garamond" w:hAnsi="Garamond"/>
          <w:u w:val="single"/>
        </w:rPr>
      </w:pPr>
    </w:p>
    <w:p w14:paraId="0D6116D8" w14:textId="77777777" w:rsidR="00162224" w:rsidRPr="003037D2" w:rsidRDefault="00162224" w:rsidP="00C16C7F">
      <w:pPr>
        <w:jc w:val="center"/>
        <w:rPr>
          <w:rFonts w:ascii="Garamond" w:hAnsi="Garamond"/>
          <w:u w:val="single"/>
        </w:rPr>
      </w:pPr>
    </w:p>
    <w:p w14:paraId="2A4A3057" w14:textId="18B71B43" w:rsidR="009029FD" w:rsidRPr="003037D2" w:rsidRDefault="009029FD" w:rsidP="00C16C7F">
      <w:pPr>
        <w:jc w:val="center"/>
        <w:rPr>
          <w:rFonts w:ascii="Garamond" w:hAnsi="Garamond"/>
          <w:u w:val="single"/>
        </w:rPr>
      </w:pPr>
      <w:r w:rsidRPr="003037D2">
        <w:rPr>
          <w:rFonts w:ascii="Garamond" w:hAnsi="Garamond"/>
          <w:u w:val="single"/>
        </w:rPr>
        <w:lastRenderedPageBreak/>
        <w:t>Acknowledgements</w:t>
      </w:r>
    </w:p>
    <w:p w14:paraId="7B2D4D39" w14:textId="77777777" w:rsidR="003F6097" w:rsidRPr="003037D2" w:rsidRDefault="003F6097" w:rsidP="009029FD">
      <w:pPr>
        <w:jc w:val="center"/>
        <w:rPr>
          <w:rFonts w:ascii="Garamond" w:hAnsi="Garamond"/>
          <w:u w:val="single"/>
        </w:rPr>
      </w:pPr>
    </w:p>
    <w:p w14:paraId="13F878D3" w14:textId="09836F08" w:rsidR="00607C70" w:rsidRPr="003037D2" w:rsidRDefault="00577666" w:rsidP="007820CF">
      <w:pPr>
        <w:rPr>
          <w:rFonts w:ascii="Garamond" w:hAnsi="Garamond"/>
        </w:rPr>
      </w:pPr>
      <w:r w:rsidRPr="003037D2">
        <w:rPr>
          <w:rFonts w:ascii="Garamond" w:hAnsi="Garamond"/>
        </w:rPr>
        <w:t xml:space="preserve"> </w:t>
      </w:r>
      <w:r w:rsidR="00607C70" w:rsidRPr="003037D2">
        <w:rPr>
          <w:rFonts w:ascii="Garamond" w:hAnsi="Garamond"/>
        </w:rPr>
        <w:tab/>
        <w:t xml:space="preserve">I’ve been extremely lucky to benefit from many generous scholars’ input </w:t>
      </w:r>
      <w:proofErr w:type="gramStart"/>
      <w:r w:rsidR="00607C70" w:rsidRPr="003037D2">
        <w:rPr>
          <w:rFonts w:ascii="Garamond" w:hAnsi="Garamond"/>
        </w:rPr>
        <w:t>during the course of</w:t>
      </w:r>
      <w:proofErr w:type="gramEnd"/>
      <w:r w:rsidR="00607C70" w:rsidRPr="003037D2">
        <w:rPr>
          <w:rFonts w:ascii="Garamond" w:hAnsi="Garamond"/>
        </w:rPr>
        <w:t xml:space="preserve"> my doctoral research, who’ve been not only models of intellectual rigor, but also of </w:t>
      </w:r>
      <w:r w:rsidR="007820CF" w:rsidRPr="003037D2">
        <w:rPr>
          <w:rFonts w:ascii="Garamond" w:hAnsi="Garamond"/>
        </w:rPr>
        <w:t>how to be kind and giving with their</w:t>
      </w:r>
      <w:r w:rsidR="00607C70" w:rsidRPr="003037D2">
        <w:rPr>
          <w:rFonts w:ascii="Garamond" w:hAnsi="Garamond"/>
        </w:rPr>
        <w:t xml:space="preserve"> knowledge and time. </w:t>
      </w:r>
      <w:r w:rsidR="00A213C4" w:rsidRPr="003037D2">
        <w:rPr>
          <w:rFonts w:ascii="Garamond" w:hAnsi="Garamond"/>
        </w:rPr>
        <w:t xml:space="preserve">At Sheffield, I’m very grateful to Iona Hine and Rachel Stenner for their advice on matters Biblical and material respectively. Thanks are due as well to Tom Rutter for reading an early draft of Chapter 1. J.K. Barret and Jane Rickard recommended books that have greatly shaped my research, and Sarah Lewis invited me to the </w:t>
      </w:r>
      <w:r w:rsidR="00A213C4" w:rsidRPr="003037D2">
        <w:rPr>
          <w:rFonts w:ascii="Garamond" w:hAnsi="Garamond"/>
          <w:i/>
        </w:rPr>
        <w:t xml:space="preserve">Grasping Kairos </w:t>
      </w:r>
      <w:r w:rsidR="00A213C4" w:rsidRPr="003037D2">
        <w:rPr>
          <w:rFonts w:ascii="Garamond" w:hAnsi="Garamond"/>
        </w:rPr>
        <w:t xml:space="preserve">research network at the very beginning of my doctoral studies that helped me frame my thinking. </w:t>
      </w:r>
      <w:r w:rsidR="001B0073" w:rsidRPr="003037D2">
        <w:rPr>
          <w:rFonts w:ascii="Garamond" w:hAnsi="Garamond"/>
        </w:rPr>
        <w:t xml:space="preserve">Emma </w:t>
      </w:r>
      <w:proofErr w:type="spellStart"/>
      <w:r w:rsidR="001B0073" w:rsidRPr="003037D2">
        <w:rPr>
          <w:rFonts w:ascii="Garamond" w:hAnsi="Garamond"/>
        </w:rPr>
        <w:t>Rhatigan</w:t>
      </w:r>
      <w:proofErr w:type="spellEnd"/>
      <w:r w:rsidR="001B0073" w:rsidRPr="003037D2">
        <w:rPr>
          <w:rFonts w:ascii="Garamond" w:hAnsi="Garamond"/>
        </w:rPr>
        <w:t xml:space="preserve"> and Marcus Nevitt have been the most encouraging and engaged supervisors that I could wish for, and I have greatly appreciated their faith in me and their wisdom on all things from the arcane to the mundane! </w:t>
      </w:r>
    </w:p>
    <w:p w14:paraId="3E3FE688" w14:textId="77777777" w:rsidR="00607C70" w:rsidRPr="003037D2" w:rsidRDefault="00607C70" w:rsidP="00607C70">
      <w:pPr>
        <w:rPr>
          <w:rFonts w:ascii="Garamond" w:hAnsi="Garamond"/>
        </w:rPr>
      </w:pPr>
    </w:p>
    <w:p w14:paraId="347BCBDE" w14:textId="77777777" w:rsidR="003F6097" w:rsidRPr="003037D2" w:rsidRDefault="00C66AB5" w:rsidP="00364892">
      <w:pPr>
        <w:ind w:firstLine="720"/>
        <w:rPr>
          <w:rFonts w:ascii="Garamond" w:hAnsi="Garamond"/>
        </w:rPr>
      </w:pPr>
      <w:r w:rsidRPr="003037D2">
        <w:rPr>
          <w:rFonts w:ascii="Garamond" w:hAnsi="Garamond"/>
        </w:rPr>
        <w:t xml:space="preserve">The assistance, suggestions and support I received from Stephen Tabor at the Huntington Library, Christian </w:t>
      </w:r>
      <w:proofErr w:type="spellStart"/>
      <w:r w:rsidRPr="003037D2">
        <w:rPr>
          <w:rFonts w:ascii="Garamond" w:hAnsi="Garamond"/>
        </w:rPr>
        <w:t>Algar</w:t>
      </w:r>
      <w:proofErr w:type="spellEnd"/>
      <w:r w:rsidRPr="003037D2">
        <w:rPr>
          <w:rFonts w:ascii="Garamond" w:hAnsi="Garamond"/>
        </w:rPr>
        <w:t xml:space="preserve"> at the British Library, and Jane </w:t>
      </w:r>
      <w:proofErr w:type="spellStart"/>
      <w:r w:rsidRPr="003037D2">
        <w:rPr>
          <w:rFonts w:ascii="Garamond" w:hAnsi="Garamond"/>
        </w:rPr>
        <w:t>Giscombe</w:t>
      </w:r>
      <w:proofErr w:type="spellEnd"/>
      <w:r w:rsidRPr="003037D2">
        <w:rPr>
          <w:rFonts w:ascii="Garamond" w:hAnsi="Garamond"/>
        </w:rPr>
        <w:t xml:space="preserve"> at the Dr. Williams Library has bolstered this work immeasurably. I</w:t>
      </w:r>
      <w:r w:rsidR="00C16C7F" w:rsidRPr="003037D2">
        <w:rPr>
          <w:rFonts w:ascii="Garamond" w:hAnsi="Garamond"/>
        </w:rPr>
        <w:t xml:space="preserve"> a</w:t>
      </w:r>
      <w:r w:rsidRPr="003037D2">
        <w:rPr>
          <w:rFonts w:ascii="Garamond" w:hAnsi="Garamond"/>
        </w:rPr>
        <w:t xml:space="preserve">m also thankful to Jeanne </w:t>
      </w:r>
      <w:proofErr w:type="spellStart"/>
      <w:r w:rsidRPr="003037D2">
        <w:rPr>
          <w:rFonts w:ascii="Garamond" w:hAnsi="Garamond"/>
        </w:rPr>
        <w:t>Shami</w:t>
      </w:r>
      <w:proofErr w:type="spellEnd"/>
      <w:r w:rsidRPr="003037D2">
        <w:rPr>
          <w:rFonts w:ascii="Garamond" w:hAnsi="Garamond"/>
        </w:rPr>
        <w:t xml:space="preserve"> and Jennifer Farooq from the </w:t>
      </w:r>
      <w:r w:rsidRPr="003037D2">
        <w:rPr>
          <w:rFonts w:ascii="Garamond" w:hAnsi="Garamond"/>
          <w:i/>
          <w:iCs/>
        </w:rPr>
        <w:t>Gateway to Early Modern Manuscripts</w:t>
      </w:r>
      <w:r w:rsidR="00F52E42" w:rsidRPr="003037D2">
        <w:rPr>
          <w:rFonts w:ascii="Garamond" w:hAnsi="Garamond"/>
        </w:rPr>
        <w:t xml:space="preserve"> </w:t>
      </w:r>
      <w:r w:rsidR="00F52E42" w:rsidRPr="003037D2">
        <w:rPr>
          <w:rFonts w:ascii="Garamond" w:hAnsi="Garamond"/>
          <w:i/>
          <w:iCs/>
        </w:rPr>
        <w:t xml:space="preserve">Sermons </w:t>
      </w:r>
      <w:r w:rsidRPr="003037D2">
        <w:rPr>
          <w:rFonts w:ascii="Garamond" w:hAnsi="Garamond"/>
        </w:rPr>
        <w:t>project. Working on this database has enriched my thesis</w:t>
      </w:r>
      <w:r w:rsidR="00364892" w:rsidRPr="003037D2">
        <w:rPr>
          <w:rFonts w:ascii="Garamond" w:hAnsi="Garamond"/>
        </w:rPr>
        <w:t xml:space="preserve"> and my knowledge </w:t>
      </w:r>
      <w:r w:rsidRPr="003037D2">
        <w:rPr>
          <w:rFonts w:ascii="Garamond" w:hAnsi="Garamond"/>
        </w:rPr>
        <w:t>simply through happenstance</w:t>
      </w:r>
      <w:r w:rsidR="00E15F7B" w:rsidRPr="003037D2">
        <w:rPr>
          <w:rFonts w:ascii="Garamond" w:hAnsi="Garamond"/>
        </w:rPr>
        <w:t>,</w:t>
      </w:r>
      <w:r w:rsidRPr="003037D2">
        <w:rPr>
          <w:rFonts w:ascii="Garamond" w:hAnsi="Garamond"/>
        </w:rPr>
        <w:t xml:space="preserve"> despite how dispiriting it might have been traipsing to Wakefield on wet and windy November days. </w:t>
      </w:r>
      <w:r w:rsidR="00F52E42" w:rsidRPr="003037D2">
        <w:rPr>
          <w:rFonts w:ascii="Garamond" w:hAnsi="Garamond"/>
        </w:rPr>
        <w:t xml:space="preserve">Thanks also to Tilly Zeeman, who was a wonderful collaborator and fount of knowledge on all things Lancelot Andrewes based. </w:t>
      </w:r>
    </w:p>
    <w:p w14:paraId="0C48E309" w14:textId="77777777" w:rsidR="00607C70" w:rsidRPr="003037D2" w:rsidRDefault="00607C70" w:rsidP="00364892">
      <w:pPr>
        <w:ind w:firstLine="720"/>
        <w:rPr>
          <w:rFonts w:ascii="Garamond" w:hAnsi="Garamond"/>
        </w:rPr>
      </w:pPr>
    </w:p>
    <w:p w14:paraId="633A8C83" w14:textId="77777777" w:rsidR="00607C70" w:rsidRPr="003037D2" w:rsidRDefault="00607C70" w:rsidP="00F60616">
      <w:pPr>
        <w:ind w:firstLine="720"/>
        <w:rPr>
          <w:rFonts w:ascii="Garamond" w:hAnsi="Garamond"/>
        </w:rPr>
      </w:pPr>
      <w:r w:rsidRPr="003037D2">
        <w:rPr>
          <w:rFonts w:ascii="Garamond" w:hAnsi="Garamond"/>
        </w:rPr>
        <w:t xml:space="preserve">My heartfelt thanks to Julie Evans, Jeri Smith Cronin, Sophie </w:t>
      </w:r>
      <w:proofErr w:type="spellStart"/>
      <w:r w:rsidRPr="003037D2">
        <w:rPr>
          <w:rFonts w:ascii="Garamond" w:hAnsi="Garamond"/>
        </w:rPr>
        <w:t>Baldock</w:t>
      </w:r>
      <w:proofErr w:type="spellEnd"/>
      <w:r w:rsidRPr="003037D2">
        <w:rPr>
          <w:rFonts w:ascii="Garamond" w:hAnsi="Garamond"/>
        </w:rPr>
        <w:t xml:space="preserve"> and Katie O’Leary for proofreading passages for me, and to Robert Burton for his suggestions</w:t>
      </w:r>
      <w:r w:rsidR="00E53E9D" w:rsidRPr="003037D2">
        <w:rPr>
          <w:rFonts w:ascii="Garamond" w:hAnsi="Garamond"/>
        </w:rPr>
        <w:t xml:space="preserve"> </w:t>
      </w:r>
      <w:r w:rsidR="00F60616" w:rsidRPr="003037D2">
        <w:rPr>
          <w:rFonts w:ascii="Garamond" w:hAnsi="Garamond"/>
        </w:rPr>
        <w:t>and for taking me to the Rijksmuseum at a time when I needed inspiration</w:t>
      </w:r>
      <w:r w:rsidRPr="003037D2">
        <w:rPr>
          <w:rFonts w:ascii="Garamond" w:hAnsi="Garamond"/>
        </w:rPr>
        <w:t xml:space="preserve">.   </w:t>
      </w:r>
    </w:p>
    <w:p w14:paraId="582D58ED" w14:textId="77777777" w:rsidR="003F6097" w:rsidRPr="003037D2" w:rsidRDefault="003F6097" w:rsidP="003F6097">
      <w:pPr>
        <w:rPr>
          <w:rFonts w:ascii="Garamond" w:hAnsi="Garamond"/>
          <w:u w:val="single"/>
        </w:rPr>
      </w:pPr>
    </w:p>
    <w:p w14:paraId="5EB9660B" w14:textId="77777777" w:rsidR="00A437C1" w:rsidRPr="003037D2" w:rsidRDefault="003F6097" w:rsidP="00890080">
      <w:pPr>
        <w:ind w:firstLine="720"/>
        <w:rPr>
          <w:rFonts w:ascii="Garamond" w:hAnsi="Garamond"/>
        </w:rPr>
      </w:pPr>
      <w:r w:rsidRPr="003037D2">
        <w:rPr>
          <w:rFonts w:ascii="Garamond" w:hAnsi="Garamond"/>
        </w:rPr>
        <w:t>Writing the thesis has taken</w:t>
      </w:r>
      <w:r w:rsidR="00890080" w:rsidRPr="003037D2">
        <w:rPr>
          <w:rFonts w:ascii="Garamond" w:hAnsi="Garamond"/>
        </w:rPr>
        <w:t xml:space="preserve"> me unexpectedly far from home, and I’ve been lucky enough to gain</w:t>
      </w:r>
      <w:r w:rsidRPr="003037D2">
        <w:rPr>
          <w:rFonts w:ascii="Garamond" w:hAnsi="Garamond"/>
        </w:rPr>
        <w:t xml:space="preserve"> friends all over the globe</w:t>
      </w:r>
      <w:r w:rsidR="00890080" w:rsidRPr="003037D2">
        <w:rPr>
          <w:rFonts w:ascii="Garamond" w:hAnsi="Garamond"/>
        </w:rPr>
        <w:t xml:space="preserve"> just by sitting in archives</w:t>
      </w:r>
      <w:r w:rsidRPr="003037D2">
        <w:rPr>
          <w:rFonts w:ascii="Garamond" w:hAnsi="Garamond"/>
        </w:rPr>
        <w:t xml:space="preserve">. To </w:t>
      </w:r>
      <w:r w:rsidR="00577666" w:rsidRPr="003037D2">
        <w:rPr>
          <w:rFonts w:ascii="Garamond" w:hAnsi="Garamond"/>
        </w:rPr>
        <w:t xml:space="preserve">Nora </w:t>
      </w:r>
      <w:proofErr w:type="spellStart"/>
      <w:r w:rsidR="00577666" w:rsidRPr="003037D2">
        <w:rPr>
          <w:rFonts w:ascii="Garamond" w:hAnsi="Garamond"/>
        </w:rPr>
        <w:t>Slonimsky</w:t>
      </w:r>
      <w:proofErr w:type="spellEnd"/>
      <w:r w:rsidR="00577666" w:rsidRPr="003037D2">
        <w:rPr>
          <w:rFonts w:ascii="Garamond" w:hAnsi="Garamond"/>
        </w:rPr>
        <w:t xml:space="preserve">, </w:t>
      </w:r>
      <w:r w:rsidRPr="003037D2">
        <w:rPr>
          <w:rFonts w:ascii="Garamond" w:hAnsi="Garamond"/>
        </w:rPr>
        <w:t>Emily May Vine, Leah Astbury, Sara Hale</w:t>
      </w:r>
      <w:r w:rsidR="00577666" w:rsidRPr="003037D2">
        <w:rPr>
          <w:rFonts w:ascii="Garamond" w:hAnsi="Garamond"/>
        </w:rPr>
        <w:t>, Joe Morton, Tom Smith</w:t>
      </w:r>
      <w:r w:rsidRPr="003037D2">
        <w:rPr>
          <w:rFonts w:ascii="Garamond" w:hAnsi="Garamond"/>
        </w:rPr>
        <w:t xml:space="preserve"> and Rebecca Whitely, thanks for being a fantastic posse in the Californian sun. To Anne-Marie Bridges and Yael </w:t>
      </w:r>
      <w:proofErr w:type="spellStart"/>
      <w:r w:rsidRPr="003037D2">
        <w:rPr>
          <w:rFonts w:ascii="Garamond" w:hAnsi="Garamond"/>
        </w:rPr>
        <w:t>Wender</w:t>
      </w:r>
      <w:proofErr w:type="spellEnd"/>
      <w:r w:rsidRPr="003037D2">
        <w:rPr>
          <w:rFonts w:ascii="Garamond" w:hAnsi="Garamond"/>
        </w:rPr>
        <w:t xml:space="preserve">, thank you for providing a source of solace and sanity during a challenging month in Montreal. </w:t>
      </w:r>
      <w:r w:rsidR="00577666" w:rsidRPr="003037D2">
        <w:rPr>
          <w:rFonts w:ascii="Garamond" w:hAnsi="Garamond"/>
        </w:rPr>
        <w:t xml:space="preserve">In Sheffield, I owe great thanks to Ellie Walters and Sophie </w:t>
      </w:r>
      <w:proofErr w:type="spellStart"/>
      <w:r w:rsidR="00577666" w:rsidRPr="003037D2">
        <w:rPr>
          <w:rFonts w:ascii="Garamond" w:hAnsi="Garamond"/>
        </w:rPr>
        <w:t>Baldock</w:t>
      </w:r>
      <w:proofErr w:type="spellEnd"/>
      <w:r w:rsidR="00577666" w:rsidRPr="003037D2">
        <w:rPr>
          <w:rFonts w:ascii="Garamond" w:hAnsi="Garamond"/>
        </w:rPr>
        <w:t xml:space="preserve"> for putting up with my incessant need for activities</w:t>
      </w:r>
      <w:r w:rsidR="00F52E42" w:rsidRPr="003037D2">
        <w:rPr>
          <w:rFonts w:ascii="Garamond" w:hAnsi="Garamond"/>
        </w:rPr>
        <w:t xml:space="preserve"> and distraction</w:t>
      </w:r>
      <w:r w:rsidR="00607C70" w:rsidRPr="003037D2">
        <w:rPr>
          <w:rFonts w:ascii="Garamond" w:hAnsi="Garamond"/>
        </w:rPr>
        <w:t>, and to Phil Hughes for powering me through the final phase</w:t>
      </w:r>
      <w:r w:rsidR="00577666" w:rsidRPr="003037D2">
        <w:rPr>
          <w:rFonts w:ascii="Garamond" w:hAnsi="Garamond"/>
        </w:rPr>
        <w:t>.</w:t>
      </w:r>
      <w:r w:rsidR="00FA72DD" w:rsidRPr="003037D2">
        <w:rPr>
          <w:rFonts w:ascii="Garamond" w:hAnsi="Garamond"/>
        </w:rPr>
        <w:t xml:space="preserve"> </w:t>
      </w:r>
    </w:p>
    <w:p w14:paraId="098CAE0F" w14:textId="77777777" w:rsidR="00A437C1" w:rsidRPr="003037D2" w:rsidRDefault="00A437C1" w:rsidP="00607C70">
      <w:pPr>
        <w:ind w:firstLine="720"/>
        <w:rPr>
          <w:rFonts w:ascii="Garamond" w:hAnsi="Garamond"/>
        </w:rPr>
      </w:pPr>
    </w:p>
    <w:p w14:paraId="74FE24CD" w14:textId="77777777" w:rsidR="003F6097" w:rsidRPr="003037D2" w:rsidRDefault="00FA72DD" w:rsidP="00F60616">
      <w:pPr>
        <w:ind w:firstLine="720"/>
        <w:rPr>
          <w:rFonts w:ascii="Garamond" w:hAnsi="Garamond"/>
        </w:rPr>
      </w:pPr>
      <w:r w:rsidRPr="003037D2">
        <w:rPr>
          <w:rFonts w:ascii="Garamond" w:hAnsi="Garamond"/>
        </w:rPr>
        <w:t>I’d also like to thank those who’ve been there on the end of the phone</w:t>
      </w:r>
      <w:r w:rsidR="00C16C7F" w:rsidRPr="003037D2">
        <w:rPr>
          <w:rFonts w:ascii="Garamond" w:hAnsi="Garamond"/>
        </w:rPr>
        <w:t xml:space="preserve"> or a </w:t>
      </w:r>
      <w:r w:rsidR="00F60616" w:rsidRPr="003037D2">
        <w:rPr>
          <w:rFonts w:ascii="Garamond" w:hAnsi="Garamond"/>
        </w:rPr>
        <w:t>flight</w:t>
      </w:r>
      <w:r w:rsidR="00C16C7F" w:rsidRPr="003037D2">
        <w:rPr>
          <w:rFonts w:ascii="Garamond" w:hAnsi="Garamond"/>
        </w:rPr>
        <w:t xml:space="preserve"> away</w:t>
      </w:r>
      <w:r w:rsidR="00A437C1" w:rsidRPr="003037D2">
        <w:rPr>
          <w:rFonts w:ascii="Garamond" w:hAnsi="Garamond"/>
        </w:rPr>
        <w:t xml:space="preserve"> during some difficult moments</w:t>
      </w:r>
      <w:r w:rsidRPr="003037D2">
        <w:rPr>
          <w:rFonts w:ascii="Garamond" w:hAnsi="Garamond"/>
        </w:rPr>
        <w:t xml:space="preserve">: my oldest friends </w:t>
      </w:r>
      <w:proofErr w:type="spellStart"/>
      <w:r w:rsidRPr="003037D2">
        <w:rPr>
          <w:rFonts w:ascii="Garamond" w:hAnsi="Garamond"/>
        </w:rPr>
        <w:t>Farheen</w:t>
      </w:r>
      <w:proofErr w:type="spellEnd"/>
      <w:r w:rsidRPr="003037D2">
        <w:rPr>
          <w:rFonts w:ascii="Garamond" w:hAnsi="Garamond"/>
        </w:rPr>
        <w:t xml:space="preserve"> Ebrahim, Miranda </w:t>
      </w:r>
      <w:proofErr w:type="spellStart"/>
      <w:r w:rsidRPr="003037D2">
        <w:rPr>
          <w:rFonts w:ascii="Garamond" w:hAnsi="Garamond"/>
        </w:rPr>
        <w:t>Scheps</w:t>
      </w:r>
      <w:proofErr w:type="spellEnd"/>
      <w:r w:rsidRPr="003037D2">
        <w:rPr>
          <w:rFonts w:ascii="Garamond" w:hAnsi="Garamond"/>
        </w:rPr>
        <w:t xml:space="preserve"> and Mallory </w:t>
      </w:r>
      <w:proofErr w:type="spellStart"/>
      <w:r w:rsidRPr="003037D2">
        <w:rPr>
          <w:rFonts w:ascii="Garamond" w:hAnsi="Garamond"/>
        </w:rPr>
        <w:t>Combermale</w:t>
      </w:r>
      <w:proofErr w:type="spellEnd"/>
      <w:r w:rsidR="00607C70" w:rsidRPr="003037D2">
        <w:rPr>
          <w:rFonts w:ascii="Garamond" w:hAnsi="Garamond"/>
        </w:rPr>
        <w:t>, who are c</w:t>
      </w:r>
      <w:r w:rsidR="00F52E42" w:rsidRPr="003037D2">
        <w:rPr>
          <w:rFonts w:ascii="Garamond" w:hAnsi="Garamond"/>
        </w:rPr>
        <w:t>onstant sources of energy and inspiration</w:t>
      </w:r>
      <w:r w:rsidR="00F60616" w:rsidRPr="003037D2">
        <w:rPr>
          <w:rFonts w:ascii="Garamond" w:hAnsi="Garamond"/>
        </w:rPr>
        <w:t>, no matter how much time has passed</w:t>
      </w:r>
      <w:r w:rsidRPr="003037D2">
        <w:rPr>
          <w:rFonts w:ascii="Garamond" w:hAnsi="Garamond"/>
        </w:rPr>
        <w:t>.</w:t>
      </w:r>
      <w:r w:rsidR="00577666" w:rsidRPr="003037D2">
        <w:rPr>
          <w:rFonts w:ascii="Garamond" w:hAnsi="Garamond"/>
        </w:rPr>
        <w:t xml:space="preserve"> </w:t>
      </w:r>
    </w:p>
    <w:p w14:paraId="54D6C4E2" w14:textId="77777777" w:rsidR="003F6097" w:rsidRPr="003037D2" w:rsidRDefault="003F6097" w:rsidP="003F6097">
      <w:pPr>
        <w:rPr>
          <w:rFonts w:ascii="Garamond" w:hAnsi="Garamond"/>
        </w:rPr>
      </w:pPr>
    </w:p>
    <w:p w14:paraId="4E4BE80B" w14:textId="77777777" w:rsidR="00577666" w:rsidRPr="003037D2" w:rsidRDefault="00577666" w:rsidP="00577666">
      <w:pPr>
        <w:ind w:firstLine="720"/>
        <w:rPr>
          <w:rFonts w:ascii="Garamond" w:hAnsi="Garamond"/>
        </w:rPr>
      </w:pPr>
    </w:p>
    <w:p w14:paraId="74F2C7FB" w14:textId="77777777" w:rsidR="00577666" w:rsidRPr="003037D2" w:rsidRDefault="00577666" w:rsidP="00577666">
      <w:pPr>
        <w:ind w:firstLine="720"/>
        <w:jc w:val="center"/>
        <w:rPr>
          <w:rFonts w:ascii="Garamond" w:hAnsi="Garamond"/>
          <w:i/>
          <w:iCs/>
        </w:rPr>
      </w:pPr>
    </w:p>
    <w:p w14:paraId="20EEDAC0" w14:textId="77777777" w:rsidR="00577666" w:rsidRPr="003037D2" w:rsidRDefault="00577666" w:rsidP="00577666">
      <w:pPr>
        <w:ind w:firstLine="720"/>
        <w:jc w:val="center"/>
        <w:rPr>
          <w:rFonts w:ascii="Garamond" w:hAnsi="Garamond"/>
          <w:i/>
          <w:iCs/>
        </w:rPr>
      </w:pPr>
    </w:p>
    <w:p w14:paraId="064AC741" w14:textId="685CFDF1" w:rsidR="00487767" w:rsidRPr="003037D2" w:rsidRDefault="00577666" w:rsidP="0073611A">
      <w:pPr>
        <w:ind w:firstLine="720"/>
        <w:jc w:val="right"/>
        <w:rPr>
          <w:rFonts w:ascii="Garamond" w:hAnsi="Garamond"/>
          <w:i/>
          <w:iCs/>
        </w:rPr>
      </w:pPr>
      <w:r w:rsidRPr="003037D2">
        <w:rPr>
          <w:rFonts w:ascii="Garamond" w:hAnsi="Garamond"/>
          <w:i/>
          <w:iCs/>
        </w:rPr>
        <w:t xml:space="preserve">In memory of Sally </w:t>
      </w:r>
      <w:proofErr w:type="spellStart"/>
      <w:r w:rsidRPr="003037D2">
        <w:rPr>
          <w:rFonts w:ascii="Garamond" w:hAnsi="Garamond"/>
          <w:i/>
          <w:iCs/>
        </w:rPr>
        <w:t>Tolpu</w:t>
      </w:r>
      <w:r w:rsidR="00607C70" w:rsidRPr="003037D2">
        <w:rPr>
          <w:rFonts w:ascii="Garamond" w:hAnsi="Garamond"/>
          <w:i/>
          <w:iCs/>
        </w:rPr>
        <w:t>t</w:t>
      </w:r>
      <w:r w:rsidRPr="003037D2">
        <w:rPr>
          <w:rFonts w:ascii="Garamond" w:hAnsi="Garamond"/>
          <w:i/>
          <w:iCs/>
        </w:rPr>
        <w:t>t</w:t>
      </w:r>
      <w:proofErr w:type="spellEnd"/>
      <w:r w:rsidRPr="003037D2">
        <w:rPr>
          <w:rFonts w:ascii="Garamond" w:hAnsi="Garamond"/>
          <w:i/>
          <w:iCs/>
        </w:rPr>
        <w:t xml:space="preserve">, who </w:t>
      </w:r>
      <w:r w:rsidR="00607C70" w:rsidRPr="003037D2">
        <w:rPr>
          <w:rFonts w:ascii="Garamond" w:hAnsi="Garamond"/>
          <w:i/>
          <w:iCs/>
        </w:rPr>
        <w:t>also loved George Herbert</w:t>
      </w:r>
      <w:r w:rsidRPr="003037D2">
        <w:rPr>
          <w:rFonts w:ascii="Garamond" w:hAnsi="Garamond"/>
          <w:i/>
          <w:iCs/>
        </w:rPr>
        <w:t xml:space="preserve">. </w:t>
      </w:r>
      <w:r w:rsidR="00487767" w:rsidRPr="003037D2">
        <w:rPr>
          <w:rFonts w:ascii="Garamond" w:hAnsi="Garamond"/>
          <w:i/>
          <w:iCs/>
        </w:rPr>
        <w:br w:type="page"/>
      </w:r>
    </w:p>
    <w:p w14:paraId="5286F12C" w14:textId="574FEAF9" w:rsidR="00487767" w:rsidRPr="003037D2" w:rsidRDefault="00487767" w:rsidP="0073611A">
      <w:pPr>
        <w:ind w:firstLine="720"/>
        <w:jc w:val="right"/>
        <w:rPr>
          <w:rFonts w:ascii="Garamond" w:hAnsi="Garamond"/>
          <w:i/>
          <w:iCs/>
        </w:rPr>
      </w:pPr>
    </w:p>
    <w:p w14:paraId="3F23970B" w14:textId="77777777" w:rsidR="00487767" w:rsidRPr="003037D2" w:rsidRDefault="00487767">
      <w:pPr>
        <w:rPr>
          <w:rFonts w:ascii="Garamond" w:hAnsi="Garamond"/>
          <w:i/>
          <w:iCs/>
        </w:rPr>
        <w:sectPr w:rsidR="00487767" w:rsidRPr="003037D2" w:rsidSect="00162224">
          <w:footerReference w:type="default" r:id="rId10"/>
          <w:pgSz w:w="11906" w:h="16838"/>
          <w:pgMar w:top="1440" w:right="1440" w:bottom="1440" w:left="1440" w:header="709" w:footer="709" w:gutter="964"/>
          <w:pgNumType w:start="1"/>
          <w:cols w:space="708"/>
          <w:docGrid w:linePitch="360"/>
        </w:sectPr>
      </w:pPr>
      <w:r w:rsidRPr="003037D2">
        <w:rPr>
          <w:rFonts w:ascii="Garamond" w:hAnsi="Garamond"/>
          <w:i/>
          <w:iCs/>
        </w:rPr>
        <w:br w:type="page"/>
      </w:r>
    </w:p>
    <w:p w14:paraId="119D36E7" w14:textId="77777777" w:rsidR="00577666" w:rsidRPr="003037D2" w:rsidRDefault="00577666" w:rsidP="0073611A">
      <w:pPr>
        <w:ind w:firstLine="720"/>
        <w:jc w:val="right"/>
        <w:rPr>
          <w:rFonts w:ascii="Garamond" w:hAnsi="Garamond"/>
          <w:i/>
          <w:iCs/>
        </w:rPr>
      </w:pPr>
    </w:p>
    <w:sdt>
      <w:sdtPr>
        <w:rPr>
          <w:rFonts w:ascii="Garamond" w:eastAsiaTheme="minorHAnsi" w:hAnsi="Garamond" w:cstheme="minorBidi"/>
          <w:color w:val="auto"/>
          <w:sz w:val="22"/>
          <w:szCs w:val="22"/>
          <w:lang w:val="en-GB"/>
        </w:rPr>
        <w:id w:val="-1774857363"/>
        <w:docPartObj>
          <w:docPartGallery w:val="Table of Contents"/>
          <w:docPartUnique/>
        </w:docPartObj>
      </w:sdtPr>
      <w:sdtEndPr>
        <w:rPr>
          <w:b/>
          <w:bCs/>
          <w:noProof/>
          <w:sz w:val="24"/>
          <w:szCs w:val="24"/>
          <w:lang w:val="en-US"/>
        </w:rPr>
      </w:sdtEndPr>
      <w:sdtContent>
        <w:p w14:paraId="1C928398" w14:textId="77777777" w:rsidR="00162224" w:rsidRPr="003037D2" w:rsidRDefault="00162224" w:rsidP="00162224">
          <w:pPr>
            <w:pStyle w:val="TOCHeading"/>
            <w:spacing w:line="360" w:lineRule="auto"/>
            <w:jc w:val="center"/>
            <w:rPr>
              <w:rFonts w:ascii="Garamond" w:hAnsi="Garamond"/>
              <w:b/>
              <w:color w:val="auto"/>
              <w:sz w:val="22"/>
              <w:szCs w:val="22"/>
            </w:rPr>
          </w:pPr>
          <w:r w:rsidRPr="003037D2">
            <w:rPr>
              <w:rFonts w:ascii="Garamond" w:hAnsi="Garamond"/>
              <w:b/>
              <w:color w:val="auto"/>
              <w:sz w:val="22"/>
              <w:szCs w:val="22"/>
            </w:rPr>
            <w:t>TABLE OF CONTENTS</w:t>
          </w:r>
        </w:p>
        <w:p w14:paraId="3BCF0D20" w14:textId="77777777" w:rsidR="00162224" w:rsidRPr="003037D2" w:rsidRDefault="00162224" w:rsidP="00162224">
          <w:pPr>
            <w:rPr>
              <w:rFonts w:ascii="Garamond" w:hAnsi="Garamond"/>
            </w:rPr>
          </w:pPr>
        </w:p>
        <w:p w14:paraId="3974EF1E" w14:textId="6DD21EC5" w:rsidR="00EA1F4D" w:rsidRPr="003037D2" w:rsidRDefault="00162224">
          <w:pPr>
            <w:pStyle w:val="TOC2"/>
            <w:rPr>
              <w:rFonts w:eastAsiaTheme="minorEastAsia" w:cstheme="minorBidi"/>
              <w:lang w:eastAsia="en-GB"/>
            </w:rPr>
          </w:pPr>
          <w:r w:rsidRPr="003037D2">
            <w:rPr>
              <w:b/>
              <w:bCs/>
            </w:rPr>
            <w:fldChar w:fldCharType="begin"/>
          </w:r>
          <w:r w:rsidRPr="003037D2">
            <w:rPr>
              <w:b/>
              <w:bCs/>
            </w:rPr>
            <w:instrText xml:space="preserve"> TOC \o "1-3" \h \z \u </w:instrText>
          </w:r>
          <w:r w:rsidRPr="003037D2">
            <w:rPr>
              <w:b/>
              <w:bCs/>
            </w:rPr>
            <w:fldChar w:fldCharType="separate"/>
          </w:r>
          <w:hyperlink w:anchor="_Toc3967157" w:history="1">
            <w:r w:rsidR="00EA1F4D" w:rsidRPr="003037D2">
              <w:rPr>
                <w:rStyle w:val="Hyperlink"/>
                <w:iCs/>
              </w:rPr>
              <w:t>Table of Figures</w:t>
            </w:r>
            <w:r w:rsidR="00EA1F4D" w:rsidRPr="003037D2">
              <w:rPr>
                <w:webHidden/>
              </w:rPr>
              <w:tab/>
            </w:r>
            <w:r w:rsidR="00EA1F4D" w:rsidRPr="003037D2">
              <w:rPr>
                <w:webHidden/>
              </w:rPr>
              <w:fldChar w:fldCharType="begin"/>
            </w:r>
            <w:r w:rsidR="00EA1F4D" w:rsidRPr="003037D2">
              <w:rPr>
                <w:webHidden/>
              </w:rPr>
              <w:instrText xml:space="preserve"> PAGEREF _Toc3967157 \h </w:instrText>
            </w:r>
            <w:r w:rsidR="00EA1F4D" w:rsidRPr="003037D2">
              <w:rPr>
                <w:webHidden/>
              </w:rPr>
            </w:r>
            <w:r w:rsidR="00EA1F4D" w:rsidRPr="003037D2">
              <w:rPr>
                <w:webHidden/>
              </w:rPr>
              <w:fldChar w:fldCharType="separate"/>
            </w:r>
            <w:r w:rsidR="002D2E5D">
              <w:rPr>
                <w:webHidden/>
              </w:rPr>
              <w:t>3</w:t>
            </w:r>
            <w:r w:rsidR="00EA1F4D" w:rsidRPr="003037D2">
              <w:rPr>
                <w:webHidden/>
              </w:rPr>
              <w:fldChar w:fldCharType="end"/>
            </w:r>
          </w:hyperlink>
        </w:p>
        <w:p w14:paraId="56063660" w14:textId="099F5195" w:rsidR="00EA1F4D" w:rsidRPr="003037D2" w:rsidRDefault="00E04035">
          <w:pPr>
            <w:pStyle w:val="TOC1"/>
            <w:tabs>
              <w:tab w:val="right" w:leader="dot" w:pos="8052"/>
            </w:tabs>
            <w:rPr>
              <w:rFonts w:ascii="Garamond" w:eastAsiaTheme="minorEastAsia" w:hAnsi="Garamond"/>
              <w:noProof/>
              <w:lang w:eastAsia="en-GB"/>
            </w:rPr>
          </w:pPr>
          <w:hyperlink w:anchor="_Toc3967158" w:history="1">
            <w:r w:rsidR="00EA1F4D" w:rsidRPr="003037D2">
              <w:rPr>
                <w:rStyle w:val="Hyperlink"/>
                <w:rFonts w:ascii="Garamond" w:hAnsi="Garamond"/>
                <w:noProof/>
              </w:rPr>
              <w:t>Textual Notes</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_Toc3967158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5</w:t>
            </w:r>
            <w:r w:rsidR="00EA1F4D" w:rsidRPr="003037D2">
              <w:rPr>
                <w:rFonts w:ascii="Garamond" w:hAnsi="Garamond"/>
                <w:noProof/>
                <w:webHidden/>
              </w:rPr>
              <w:fldChar w:fldCharType="end"/>
            </w:r>
          </w:hyperlink>
        </w:p>
        <w:p w14:paraId="4760F0F8" w14:textId="790D0C7F" w:rsidR="00EA1F4D" w:rsidRPr="003037D2" w:rsidRDefault="00E04035">
          <w:pPr>
            <w:pStyle w:val="TOC1"/>
            <w:tabs>
              <w:tab w:val="right" w:leader="dot" w:pos="8052"/>
            </w:tabs>
            <w:rPr>
              <w:rFonts w:ascii="Garamond" w:eastAsiaTheme="minorEastAsia" w:hAnsi="Garamond"/>
              <w:noProof/>
              <w:lang w:eastAsia="en-GB"/>
            </w:rPr>
          </w:pPr>
          <w:hyperlink w:anchor="_Toc3967159" w:history="1">
            <w:r w:rsidR="00EA1F4D" w:rsidRPr="003037D2">
              <w:rPr>
                <w:rStyle w:val="Hyperlink"/>
                <w:rFonts w:ascii="Garamond" w:hAnsi="Garamond"/>
                <w:b/>
                <w:bCs/>
                <w:noProof/>
              </w:rPr>
              <w:t>INTRODUCTION</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_Toc3967159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6</w:t>
            </w:r>
            <w:r w:rsidR="00EA1F4D" w:rsidRPr="003037D2">
              <w:rPr>
                <w:rFonts w:ascii="Garamond" w:hAnsi="Garamond"/>
                <w:noProof/>
                <w:webHidden/>
              </w:rPr>
              <w:fldChar w:fldCharType="end"/>
            </w:r>
          </w:hyperlink>
        </w:p>
        <w:p w14:paraId="6D0929BD" w14:textId="559A4B49" w:rsidR="00EA1F4D" w:rsidRPr="003037D2" w:rsidRDefault="00E04035">
          <w:pPr>
            <w:pStyle w:val="TOC2"/>
            <w:rPr>
              <w:rFonts w:eastAsiaTheme="minorEastAsia" w:cstheme="minorBidi"/>
              <w:lang w:eastAsia="en-GB"/>
            </w:rPr>
          </w:pPr>
          <w:hyperlink w:anchor="_Toc3967160" w:history="1">
            <w:r w:rsidR="00EA1F4D" w:rsidRPr="003037D2">
              <w:rPr>
                <w:rStyle w:val="Hyperlink"/>
                <w:iCs/>
              </w:rPr>
              <w:t>I.</w:t>
            </w:r>
            <w:r w:rsidR="00EA1F4D" w:rsidRPr="003037D2">
              <w:rPr>
                <w:rFonts w:eastAsiaTheme="minorEastAsia" w:cstheme="minorBidi"/>
                <w:lang w:eastAsia="en-GB"/>
              </w:rPr>
              <w:tab/>
            </w:r>
            <w:r w:rsidR="00EA1F4D" w:rsidRPr="003037D2">
              <w:rPr>
                <w:rStyle w:val="Hyperlink"/>
                <w:iCs/>
              </w:rPr>
              <w:t>Writing the history of Time</w:t>
            </w:r>
            <w:r w:rsidR="00EA1F4D" w:rsidRPr="003037D2">
              <w:rPr>
                <w:webHidden/>
              </w:rPr>
              <w:tab/>
            </w:r>
            <w:r w:rsidR="00EA1F4D" w:rsidRPr="003037D2">
              <w:rPr>
                <w:webHidden/>
              </w:rPr>
              <w:fldChar w:fldCharType="begin"/>
            </w:r>
            <w:r w:rsidR="00EA1F4D" w:rsidRPr="003037D2">
              <w:rPr>
                <w:webHidden/>
              </w:rPr>
              <w:instrText xml:space="preserve"> PAGEREF _Toc3967160 \h </w:instrText>
            </w:r>
            <w:r w:rsidR="00EA1F4D" w:rsidRPr="003037D2">
              <w:rPr>
                <w:webHidden/>
              </w:rPr>
            </w:r>
            <w:r w:rsidR="00EA1F4D" w:rsidRPr="003037D2">
              <w:rPr>
                <w:webHidden/>
              </w:rPr>
              <w:fldChar w:fldCharType="separate"/>
            </w:r>
            <w:r w:rsidR="002D2E5D">
              <w:rPr>
                <w:webHidden/>
              </w:rPr>
              <w:t>9</w:t>
            </w:r>
            <w:r w:rsidR="00EA1F4D" w:rsidRPr="003037D2">
              <w:rPr>
                <w:webHidden/>
              </w:rPr>
              <w:fldChar w:fldCharType="end"/>
            </w:r>
          </w:hyperlink>
        </w:p>
        <w:p w14:paraId="13933B16" w14:textId="1163E765" w:rsidR="00EA1F4D" w:rsidRPr="003037D2" w:rsidRDefault="00E04035">
          <w:pPr>
            <w:pStyle w:val="TOC1"/>
            <w:tabs>
              <w:tab w:val="right" w:leader="dot" w:pos="8052"/>
            </w:tabs>
            <w:rPr>
              <w:rFonts w:ascii="Garamond" w:eastAsiaTheme="minorEastAsia" w:hAnsi="Garamond"/>
              <w:noProof/>
              <w:lang w:eastAsia="en-GB"/>
            </w:rPr>
          </w:pPr>
          <w:hyperlink w:anchor="_Toc3967161" w:history="1">
            <w:r w:rsidR="00EA1F4D" w:rsidRPr="003037D2">
              <w:rPr>
                <w:rStyle w:val="Hyperlink"/>
                <w:rFonts w:ascii="Garamond" w:eastAsia="DengXian Light" w:hAnsi="Garamond" w:cs="Times New Roman"/>
                <w:b/>
                <w:bCs/>
                <w:noProof/>
              </w:rPr>
              <w:t>CHAPTER I. ALMANACS AND ANNOTATION</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_Toc3967161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20</w:t>
            </w:r>
            <w:r w:rsidR="00EA1F4D" w:rsidRPr="003037D2">
              <w:rPr>
                <w:rFonts w:ascii="Garamond" w:hAnsi="Garamond"/>
                <w:noProof/>
                <w:webHidden/>
              </w:rPr>
              <w:fldChar w:fldCharType="end"/>
            </w:r>
          </w:hyperlink>
        </w:p>
        <w:p w14:paraId="124E858D" w14:textId="5AA42120" w:rsidR="00EA1F4D" w:rsidRPr="003037D2" w:rsidRDefault="00E04035">
          <w:pPr>
            <w:pStyle w:val="TOC2"/>
            <w:rPr>
              <w:rFonts w:eastAsiaTheme="minorEastAsia" w:cstheme="minorBidi"/>
              <w:lang w:eastAsia="en-GB"/>
            </w:rPr>
          </w:pPr>
          <w:hyperlink w:anchor="_Toc3967162" w:history="1">
            <w:r w:rsidR="00EA1F4D" w:rsidRPr="003037D2">
              <w:rPr>
                <w:rStyle w:val="Hyperlink"/>
                <w:rFonts w:eastAsia="DengXian Light"/>
                <w:b/>
                <w:bCs/>
              </w:rPr>
              <w:t>I.</w:t>
            </w:r>
            <w:r w:rsidR="00EA1F4D" w:rsidRPr="003037D2">
              <w:rPr>
                <w:rFonts w:eastAsiaTheme="minorEastAsia" w:cstheme="minorBidi"/>
                <w:lang w:eastAsia="en-GB"/>
              </w:rPr>
              <w:tab/>
            </w:r>
            <w:r w:rsidR="00EA1F4D" w:rsidRPr="003037D2">
              <w:rPr>
                <w:rStyle w:val="Hyperlink"/>
                <w:rFonts w:eastAsia="DengXian Light"/>
                <w:b/>
                <w:bCs/>
              </w:rPr>
              <w:t>Mapping Time</w:t>
            </w:r>
            <w:r w:rsidR="00EA1F4D" w:rsidRPr="003037D2">
              <w:rPr>
                <w:webHidden/>
              </w:rPr>
              <w:tab/>
            </w:r>
            <w:r w:rsidR="00EA1F4D" w:rsidRPr="003037D2">
              <w:rPr>
                <w:webHidden/>
              </w:rPr>
              <w:fldChar w:fldCharType="begin"/>
            </w:r>
            <w:r w:rsidR="00EA1F4D" w:rsidRPr="003037D2">
              <w:rPr>
                <w:webHidden/>
              </w:rPr>
              <w:instrText xml:space="preserve"> PAGEREF _Toc3967162 \h </w:instrText>
            </w:r>
            <w:r w:rsidR="00EA1F4D" w:rsidRPr="003037D2">
              <w:rPr>
                <w:webHidden/>
              </w:rPr>
            </w:r>
            <w:r w:rsidR="00EA1F4D" w:rsidRPr="003037D2">
              <w:rPr>
                <w:webHidden/>
              </w:rPr>
              <w:fldChar w:fldCharType="separate"/>
            </w:r>
            <w:r w:rsidR="002D2E5D">
              <w:rPr>
                <w:webHidden/>
              </w:rPr>
              <w:t>23</w:t>
            </w:r>
            <w:r w:rsidR="00EA1F4D" w:rsidRPr="003037D2">
              <w:rPr>
                <w:webHidden/>
              </w:rPr>
              <w:fldChar w:fldCharType="end"/>
            </w:r>
          </w:hyperlink>
        </w:p>
        <w:p w14:paraId="69661B6E" w14:textId="05D31A50" w:rsidR="00EA1F4D" w:rsidRPr="003037D2" w:rsidRDefault="00E04035">
          <w:pPr>
            <w:pStyle w:val="TOC2"/>
            <w:rPr>
              <w:rFonts w:eastAsiaTheme="minorEastAsia" w:cstheme="minorBidi"/>
              <w:lang w:eastAsia="en-GB"/>
            </w:rPr>
          </w:pPr>
          <w:hyperlink w:anchor="_Toc3967163" w:history="1">
            <w:r w:rsidR="00EA1F4D" w:rsidRPr="003037D2">
              <w:rPr>
                <w:rStyle w:val="Hyperlink"/>
                <w:rFonts w:eastAsia="DengXian Light" w:cs="Arial"/>
                <w:b/>
                <w:bCs/>
              </w:rPr>
              <w:t>II.</w:t>
            </w:r>
            <w:r w:rsidR="00EA1F4D" w:rsidRPr="003037D2">
              <w:rPr>
                <w:rFonts w:eastAsiaTheme="minorEastAsia" w:cstheme="minorBidi"/>
                <w:lang w:eastAsia="en-GB"/>
              </w:rPr>
              <w:tab/>
            </w:r>
            <w:r w:rsidR="00EA1F4D" w:rsidRPr="003037D2">
              <w:rPr>
                <w:rStyle w:val="Hyperlink"/>
                <w:rFonts w:eastAsia="DengXian Light" w:cs="Arial"/>
                <w:b/>
                <w:bCs/>
                <w:shd w:val="clear" w:color="auto" w:fill="FFFFFF"/>
              </w:rPr>
              <w:t>Writing History</w:t>
            </w:r>
            <w:r w:rsidR="00EA1F4D" w:rsidRPr="003037D2">
              <w:rPr>
                <w:webHidden/>
              </w:rPr>
              <w:tab/>
            </w:r>
            <w:r w:rsidR="00EA1F4D" w:rsidRPr="003037D2">
              <w:rPr>
                <w:webHidden/>
              </w:rPr>
              <w:fldChar w:fldCharType="begin"/>
            </w:r>
            <w:r w:rsidR="00EA1F4D" w:rsidRPr="003037D2">
              <w:rPr>
                <w:webHidden/>
              </w:rPr>
              <w:instrText xml:space="preserve"> PAGEREF _Toc3967163 \h </w:instrText>
            </w:r>
            <w:r w:rsidR="00EA1F4D" w:rsidRPr="003037D2">
              <w:rPr>
                <w:webHidden/>
              </w:rPr>
            </w:r>
            <w:r w:rsidR="00EA1F4D" w:rsidRPr="003037D2">
              <w:rPr>
                <w:webHidden/>
              </w:rPr>
              <w:fldChar w:fldCharType="separate"/>
            </w:r>
            <w:r w:rsidR="002D2E5D">
              <w:rPr>
                <w:webHidden/>
              </w:rPr>
              <w:t>32</w:t>
            </w:r>
            <w:r w:rsidR="00EA1F4D" w:rsidRPr="003037D2">
              <w:rPr>
                <w:webHidden/>
              </w:rPr>
              <w:fldChar w:fldCharType="end"/>
            </w:r>
          </w:hyperlink>
        </w:p>
        <w:p w14:paraId="0D37476C" w14:textId="6D595A43" w:rsidR="00EA1F4D" w:rsidRPr="003037D2" w:rsidRDefault="00E04035">
          <w:pPr>
            <w:pStyle w:val="TOC2"/>
            <w:rPr>
              <w:rFonts w:eastAsiaTheme="minorEastAsia" w:cstheme="minorBidi"/>
              <w:lang w:eastAsia="en-GB"/>
            </w:rPr>
          </w:pPr>
          <w:hyperlink w:anchor="_Toc3967164" w:history="1">
            <w:r w:rsidR="00EA1F4D" w:rsidRPr="003037D2">
              <w:rPr>
                <w:rStyle w:val="Hyperlink"/>
                <w:rFonts w:eastAsia="DengXian Light"/>
                <w:b/>
                <w:bCs/>
              </w:rPr>
              <w:t>III.</w:t>
            </w:r>
            <w:r w:rsidR="00EA1F4D" w:rsidRPr="003037D2">
              <w:rPr>
                <w:rFonts w:eastAsiaTheme="minorEastAsia" w:cstheme="minorBidi"/>
                <w:lang w:eastAsia="en-GB"/>
              </w:rPr>
              <w:tab/>
            </w:r>
            <w:r w:rsidR="00EA1F4D" w:rsidRPr="003037D2">
              <w:rPr>
                <w:rStyle w:val="Hyperlink"/>
                <w:rFonts w:eastAsia="DengXian Light"/>
                <w:b/>
                <w:bCs/>
              </w:rPr>
              <w:t>Annotations</w:t>
            </w:r>
            <w:r w:rsidR="00EA1F4D" w:rsidRPr="003037D2">
              <w:rPr>
                <w:webHidden/>
              </w:rPr>
              <w:tab/>
            </w:r>
            <w:r w:rsidR="00EA1F4D" w:rsidRPr="003037D2">
              <w:rPr>
                <w:webHidden/>
              </w:rPr>
              <w:fldChar w:fldCharType="begin"/>
            </w:r>
            <w:r w:rsidR="00EA1F4D" w:rsidRPr="003037D2">
              <w:rPr>
                <w:webHidden/>
              </w:rPr>
              <w:instrText xml:space="preserve"> PAGEREF _Toc3967164 \h </w:instrText>
            </w:r>
            <w:r w:rsidR="00EA1F4D" w:rsidRPr="003037D2">
              <w:rPr>
                <w:webHidden/>
              </w:rPr>
            </w:r>
            <w:r w:rsidR="00EA1F4D" w:rsidRPr="003037D2">
              <w:rPr>
                <w:webHidden/>
              </w:rPr>
              <w:fldChar w:fldCharType="separate"/>
            </w:r>
            <w:r w:rsidR="002D2E5D">
              <w:rPr>
                <w:webHidden/>
              </w:rPr>
              <w:t>39</w:t>
            </w:r>
            <w:r w:rsidR="00EA1F4D" w:rsidRPr="003037D2">
              <w:rPr>
                <w:webHidden/>
              </w:rPr>
              <w:fldChar w:fldCharType="end"/>
            </w:r>
          </w:hyperlink>
        </w:p>
        <w:p w14:paraId="1CBBA266" w14:textId="564E158D" w:rsidR="00EA1F4D" w:rsidRPr="003037D2" w:rsidRDefault="00E04035">
          <w:pPr>
            <w:pStyle w:val="TOC3"/>
            <w:tabs>
              <w:tab w:val="left" w:pos="880"/>
              <w:tab w:val="right" w:leader="dot" w:pos="8052"/>
            </w:tabs>
            <w:rPr>
              <w:rFonts w:ascii="Garamond" w:eastAsiaTheme="minorEastAsia" w:hAnsi="Garamond"/>
              <w:noProof/>
              <w:lang w:eastAsia="en-GB"/>
            </w:rPr>
          </w:pPr>
          <w:hyperlink w:anchor="_Toc3967165" w:history="1">
            <w:r w:rsidR="00EA1F4D" w:rsidRPr="003037D2">
              <w:rPr>
                <w:rStyle w:val="Hyperlink"/>
                <w:rFonts w:ascii="Garamond" w:eastAsia="DengXian Light" w:hAnsi="Garamond" w:cs="Times New Roman"/>
                <w:noProof/>
              </w:rPr>
              <w:t>i.</w:t>
            </w:r>
            <w:r w:rsidR="00EA1F4D" w:rsidRPr="003037D2">
              <w:rPr>
                <w:rFonts w:ascii="Garamond" w:eastAsiaTheme="minorEastAsia" w:hAnsi="Garamond"/>
                <w:noProof/>
                <w:lang w:eastAsia="en-GB"/>
              </w:rPr>
              <w:tab/>
            </w:r>
            <w:r w:rsidR="00EA1F4D" w:rsidRPr="003037D2">
              <w:rPr>
                <w:rStyle w:val="Hyperlink"/>
                <w:rFonts w:ascii="Garamond" w:eastAsia="DengXian Light" w:hAnsi="Garamond" w:cs="Times New Roman"/>
                <w:noProof/>
              </w:rPr>
              <w:t>Productive Time</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_Toc3967165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42</w:t>
            </w:r>
            <w:r w:rsidR="00EA1F4D" w:rsidRPr="003037D2">
              <w:rPr>
                <w:rFonts w:ascii="Garamond" w:hAnsi="Garamond"/>
                <w:noProof/>
                <w:webHidden/>
              </w:rPr>
              <w:fldChar w:fldCharType="end"/>
            </w:r>
          </w:hyperlink>
        </w:p>
        <w:p w14:paraId="6551E451" w14:textId="15AF8108" w:rsidR="00EA1F4D" w:rsidRPr="003037D2" w:rsidRDefault="00E04035">
          <w:pPr>
            <w:pStyle w:val="TOC3"/>
            <w:tabs>
              <w:tab w:val="left" w:pos="880"/>
              <w:tab w:val="right" w:leader="dot" w:pos="8052"/>
            </w:tabs>
            <w:rPr>
              <w:rFonts w:ascii="Garamond" w:eastAsiaTheme="minorEastAsia" w:hAnsi="Garamond"/>
              <w:noProof/>
              <w:lang w:eastAsia="en-GB"/>
            </w:rPr>
          </w:pPr>
          <w:hyperlink w:anchor="_Toc3967166" w:history="1">
            <w:r w:rsidR="00EA1F4D" w:rsidRPr="003037D2">
              <w:rPr>
                <w:rStyle w:val="Hyperlink"/>
                <w:rFonts w:ascii="Garamond" w:eastAsia="DengXian Light" w:hAnsi="Garamond" w:cs="Times New Roman"/>
                <w:noProof/>
              </w:rPr>
              <w:t>ii.</w:t>
            </w:r>
            <w:r w:rsidR="00EA1F4D" w:rsidRPr="003037D2">
              <w:rPr>
                <w:rFonts w:ascii="Garamond" w:eastAsiaTheme="minorEastAsia" w:hAnsi="Garamond"/>
                <w:noProof/>
                <w:lang w:eastAsia="en-GB"/>
              </w:rPr>
              <w:tab/>
            </w:r>
            <w:r w:rsidR="00EA1F4D" w:rsidRPr="003037D2">
              <w:rPr>
                <w:rStyle w:val="Hyperlink"/>
                <w:rFonts w:ascii="Garamond" w:eastAsia="DengXian Light" w:hAnsi="Garamond" w:cs="Times New Roman"/>
                <w:noProof/>
              </w:rPr>
              <w:t>Resourceful time</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_Toc3967166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47</w:t>
            </w:r>
            <w:r w:rsidR="00EA1F4D" w:rsidRPr="003037D2">
              <w:rPr>
                <w:rFonts w:ascii="Garamond" w:hAnsi="Garamond"/>
                <w:noProof/>
                <w:webHidden/>
              </w:rPr>
              <w:fldChar w:fldCharType="end"/>
            </w:r>
          </w:hyperlink>
        </w:p>
        <w:p w14:paraId="11B0D949" w14:textId="5707BBC4" w:rsidR="00EA1F4D" w:rsidRPr="003037D2" w:rsidRDefault="00E04035">
          <w:pPr>
            <w:pStyle w:val="TOC3"/>
            <w:tabs>
              <w:tab w:val="left" w:pos="880"/>
              <w:tab w:val="right" w:leader="dot" w:pos="8052"/>
            </w:tabs>
            <w:rPr>
              <w:rFonts w:ascii="Garamond" w:eastAsiaTheme="minorEastAsia" w:hAnsi="Garamond"/>
              <w:noProof/>
              <w:lang w:eastAsia="en-GB"/>
            </w:rPr>
          </w:pPr>
          <w:hyperlink w:anchor="_Toc3967167" w:history="1">
            <w:r w:rsidR="00EA1F4D" w:rsidRPr="003037D2">
              <w:rPr>
                <w:rStyle w:val="Hyperlink"/>
                <w:rFonts w:ascii="Garamond" w:eastAsia="DengXian Light" w:hAnsi="Garamond" w:cs="Times New Roman"/>
                <w:noProof/>
              </w:rPr>
              <w:t>iii.</w:t>
            </w:r>
            <w:r w:rsidR="00EA1F4D" w:rsidRPr="003037D2">
              <w:rPr>
                <w:rFonts w:ascii="Garamond" w:eastAsiaTheme="minorEastAsia" w:hAnsi="Garamond"/>
                <w:noProof/>
                <w:lang w:eastAsia="en-GB"/>
              </w:rPr>
              <w:tab/>
            </w:r>
            <w:r w:rsidR="00EA1F4D" w:rsidRPr="003037D2">
              <w:rPr>
                <w:rStyle w:val="Hyperlink"/>
                <w:rFonts w:ascii="Garamond" w:eastAsia="DengXian Light" w:hAnsi="Garamond" w:cs="Times New Roman"/>
                <w:noProof/>
              </w:rPr>
              <w:t>Pleated Time</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_Toc3967167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53</w:t>
            </w:r>
            <w:r w:rsidR="00EA1F4D" w:rsidRPr="003037D2">
              <w:rPr>
                <w:rFonts w:ascii="Garamond" w:hAnsi="Garamond"/>
                <w:noProof/>
                <w:webHidden/>
              </w:rPr>
              <w:fldChar w:fldCharType="end"/>
            </w:r>
          </w:hyperlink>
        </w:p>
        <w:p w14:paraId="488C8189" w14:textId="4C58270A" w:rsidR="00EA1F4D" w:rsidRPr="003037D2" w:rsidRDefault="00E04035">
          <w:pPr>
            <w:pStyle w:val="TOC3"/>
            <w:tabs>
              <w:tab w:val="left" w:pos="880"/>
              <w:tab w:val="right" w:leader="dot" w:pos="8052"/>
            </w:tabs>
            <w:rPr>
              <w:rFonts w:ascii="Garamond" w:eastAsiaTheme="minorEastAsia" w:hAnsi="Garamond"/>
              <w:noProof/>
              <w:lang w:eastAsia="en-GB"/>
            </w:rPr>
          </w:pPr>
          <w:hyperlink w:anchor="_Toc3967168" w:history="1">
            <w:r w:rsidR="00EA1F4D" w:rsidRPr="003037D2">
              <w:rPr>
                <w:rStyle w:val="Hyperlink"/>
                <w:rFonts w:ascii="Garamond" w:eastAsia="DengXian Light" w:hAnsi="Garamond" w:cs="Times New Roman"/>
                <w:noProof/>
              </w:rPr>
              <w:t>iv.</w:t>
            </w:r>
            <w:r w:rsidR="00EA1F4D" w:rsidRPr="003037D2">
              <w:rPr>
                <w:rFonts w:ascii="Garamond" w:eastAsiaTheme="minorEastAsia" w:hAnsi="Garamond"/>
                <w:noProof/>
                <w:lang w:eastAsia="en-GB"/>
              </w:rPr>
              <w:tab/>
            </w:r>
            <w:r w:rsidR="00EA1F4D" w:rsidRPr="003037D2">
              <w:rPr>
                <w:rStyle w:val="Hyperlink"/>
                <w:rFonts w:ascii="Garamond" w:eastAsia="DengXian Light" w:hAnsi="Garamond" w:cs="Times New Roman"/>
                <w:noProof/>
              </w:rPr>
              <w:t>‘An Almanac is but for one year’? -  The Durable Almanac</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_Toc3967168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56</w:t>
            </w:r>
            <w:r w:rsidR="00EA1F4D" w:rsidRPr="003037D2">
              <w:rPr>
                <w:rFonts w:ascii="Garamond" w:hAnsi="Garamond"/>
                <w:noProof/>
                <w:webHidden/>
              </w:rPr>
              <w:fldChar w:fldCharType="end"/>
            </w:r>
          </w:hyperlink>
        </w:p>
        <w:p w14:paraId="51525191" w14:textId="3030C042" w:rsidR="00EA1F4D" w:rsidRPr="003037D2" w:rsidRDefault="00E04035">
          <w:pPr>
            <w:pStyle w:val="TOC1"/>
            <w:tabs>
              <w:tab w:val="right" w:leader="dot" w:pos="8052"/>
            </w:tabs>
            <w:rPr>
              <w:rFonts w:ascii="Garamond" w:eastAsiaTheme="minorEastAsia" w:hAnsi="Garamond"/>
              <w:noProof/>
              <w:lang w:eastAsia="en-GB"/>
            </w:rPr>
          </w:pPr>
          <w:hyperlink w:anchor="_Toc3967169" w:history="1">
            <w:r w:rsidR="00EA1F4D" w:rsidRPr="003037D2">
              <w:rPr>
                <w:rStyle w:val="Hyperlink"/>
                <w:rFonts w:ascii="Garamond" w:eastAsia="Times New Roman" w:hAnsi="Garamond" w:cs="Times New Roman"/>
                <w:b/>
                <w:bCs/>
                <w:noProof/>
              </w:rPr>
              <w:t>CHAPTER II: PSALM TRANSLATION AND TIMING DEVOTION</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_Toc3967169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61</w:t>
            </w:r>
            <w:r w:rsidR="00EA1F4D" w:rsidRPr="003037D2">
              <w:rPr>
                <w:rFonts w:ascii="Garamond" w:hAnsi="Garamond"/>
                <w:noProof/>
                <w:webHidden/>
              </w:rPr>
              <w:fldChar w:fldCharType="end"/>
            </w:r>
          </w:hyperlink>
        </w:p>
        <w:p w14:paraId="5E0FF79F" w14:textId="65C01564" w:rsidR="00EA1F4D" w:rsidRPr="003037D2" w:rsidRDefault="00E04035">
          <w:pPr>
            <w:pStyle w:val="TOC2"/>
            <w:rPr>
              <w:rFonts w:eastAsiaTheme="minorEastAsia" w:cstheme="minorBidi"/>
              <w:lang w:eastAsia="en-GB"/>
            </w:rPr>
          </w:pPr>
          <w:hyperlink w:anchor="_Toc3967170" w:history="1">
            <w:r w:rsidR="00EA1F4D" w:rsidRPr="003037D2">
              <w:rPr>
                <w:rStyle w:val="Hyperlink"/>
                <w:rFonts w:eastAsia="Times New Roman"/>
                <w:b/>
                <w:bCs/>
              </w:rPr>
              <w:t>I.</w:t>
            </w:r>
            <w:r w:rsidR="00EA1F4D" w:rsidRPr="003037D2">
              <w:rPr>
                <w:rFonts w:eastAsiaTheme="minorEastAsia" w:cstheme="minorBidi"/>
                <w:lang w:eastAsia="en-GB"/>
              </w:rPr>
              <w:tab/>
            </w:r>
            <w:r w:rsidR="00EA1F4D" w:rsidRPr="003037D2">
              <w:rPr>
                <w:rStyle w:val="Hyperlink"/>
                <w:rFonts w:eastAsia="Times New Roman"/>
                <w:b/>
                <w:bCs/>
              </w:rPr>
              <w:t>Matthew Parker</w:t>
            </w:r>
            <w:r w:rsidR="00EA1F4D" w:rsidRPr="003037D2">
              <w:rPr>
                <w:webHidden/>
              </w:rPr>
              <w:tab/>
            </w:r>
            <w:r w:rsidR="00EA1F4D" w:rsidRPr="003037D2">
              <w:rPr>
                <w:webHidden/>
              </w:rPr>
              <w:fldChar w:fldCharType="begin"/>
            </w:r>
            <w:r w:rsidR="00EA1F4D" w:rsidRPr="003037D2">
              <w:rPr>
                <w:webHidden/>
              </w:rPr>
              <w:instrText xml:space="preserve"> PAGEREF _Toc3967170 \h </w:instrText>
            </w:r>
            <w:r w:rsidR="00EA1F4D" w:rsidRPr="003037D2">
              <w:rPr>
                <w:webHidden/>
              </w:rPr>
            </w:r>
            <w:r w:rsidR="00EA1F4D" w:rsidRPr="003037D2">
              <w:rPr>
                <w:webHidden/>
              </w:rPr>
              <w:fldChar w:fldCharType="separate"/>
            </w:r>
            <w:r w:rsidR="002D2E5D">
              <w:rPr>
                <w:webHidden/>
              </w:rPr>
              <w:t>64</w:t>
            </w:r>
            <w:r w:rsidR="00EA1F4D" w:rsidRPr="003037D2">
              <w:rPr>
                <w:webHidden/>
              </w:rPr>
              <w:fldChar w:fldCharType="end"/>
            </w:r>
          </w:hyperlink>
        </w:p>
        <w:p w14:paraId="259B87B3" w14:textId="75F4AAE4" w:rsidR="00EA1F4D" w:rsidRPr="003037D2" w:rsidRDefault="00E04035">
          <w:pPr>
            <w:pStyle w:val="TOC3"/>
            <w:tabs>
              <w:tab w:val="left" w:pos="880"/>
              <w:tab w:val="right" w:leader="dot" w:pos="8052"/>
            </w:tabs>
            <w:rPr>
              <w:rFonts w:ascii="Garamond" w:eastAsiaTheme="minorEastAsia" w:hAnsi="Garamond"/>
              <w:noProof/>
              <w:lang w:eastAsia="en-GB"/>
            </w:rPr>
          </w:pPr>
          <w:hyperlink w:anchor="_Toc3967171" w:history="1">
            <w:r w:rsidR="00EA1F4D" w:rsidRPr="003037D2">
              <w:rPr>
                <w:rStyle w:val="Hyperlink"/>
                <w:rFonts w:ascii="Garamond" w:eastAsia="DengXian Light" w:hAnsi="Garamond" w:cs="Times New Roman"/>
                <w:noProof/>
              </w:rPr>
              <w:t>i.</w:t>
            </w:r>
            <w:r w:rsidR="00EA1F4D" w:rsidRPr="003037D2">
              <w:rPr>
                <w:rFonts w:ascii="Garamond" w:eastAsiaTheme="minorEastAsia" w:hAnsi="Garamond"/>
                <w:noProof/>
                <w:lang w:eastAsia="en-GB"/>
              </w:rPr>
              <w:tab/>
            </w:r>
            <w:r w:rsidR="00EA1F4D" w:rsidRPr="003037D2">
              <w:rPr>
                <w:rStyle w:val="Hyperlink"/>
                <w:rFonts w:ascii="Garamond" w:eastAsia="DengXian Light" w:hAnsi="Garamond" w:cs="Times New Roman"/>
                <w:noProof/>
              </w:rPr>
              <w:t xml:space="preserve">Translation: stuck in </w:t>
            </w:r>
            <w:r w:rsidR="00EA1F4D" w:rsidRPr="003037D2">
              <w:rPr>
                <w:rStyle w:val="Hyperlink"/>
                <w:rFonts w:ascii="Garamond" w:eastAsia="DengXian Light" w:hAnsi="Garamond" w:cs="Times New Roman"/>
                <w:i/>
                <w:noProof/>
              </w:rPr>
              <w:t>The Treacle Bible</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_Toc3967171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64</w:t>
            </w:r>
            <w:r w:rsidR="00EA1F4D" w:rsidRPr="003037D2">
              <w:rPr>
                <w:rFonts w:ascii="Garamond" w:hAnsi="Garamond"/>
                <w:noProof/>
                <w:webHidden/>
              </w:rPr>
              <w:fldChar w:fldCharType="end"/>
            </w:r>
          </w:hyperlink>
        </w:p>
        <w:p w14:paraId="5AB197F2" w14:textId="0F7625EF" w:rsidR="00EA1F4D" w:rsidRPr="003037D2" w:rsidRDefault="00E04035">
          <w:pPr>
            <w:pStyle w:val="TOC3"/>
            <w:tabs>
              <w:tab w:val="left" w:pos="880"/>
              <w:tab w:val="right" w:leader="dot" w:pos="8052"/>
            </w:tabs>
            <w:rPr>
              <w:rFonts w:ascii="Garamond" w:eastAsiaTheme="minorEastAsia" w:hAnsi="Garamond"/>
              <w:noProof/>
              <w:lang w:eastAsia="en-GB"/>
            </w:rPr>
          </w:pPr>
          <w:hyperlink w:anchor="_Toc3967172" w:history="1">
            <w:r w:rsidR="00EA1F4D" w:rsidRPr="003037D2">
              <w:rPr>
                <w:rStyle w:val="Hyperlink"/>
                <w:rFonts w:ascii="Garamond" w:eastAsia="DengXian Light" w:hAnsi="Garamond" w:cs="Times New Roman"/>
                <w:noProof/>
              </w:rPr>
              <w:t>ii.</w:t>
            </w:r>
            <w:r w:rsidR="00EA1F4D" w:rsidRPr="003037D2">
              <w:rPr>
                <w:rFonts w:ascii="Garamond" w:eastAsiaTheme="minorEastAsia" w:hAnsi="Garamond"/>
                <w:noProof/>
                <w:lang w:eastAsia="en-GB"/>
              </w:rPr>
              <w:tab/>
            </w:r>
            <w:r w:rsidR="00EA1F4D" w:rsidRPr="003037D2">
              <w:rPr>
                <w:rStyle w:val="Hyperlink"/>
                <w:rFonts w:ascii="Garamond" w:eastAsia="DengXian Light" w:hAnsi="Garamond" w:cs="Times New Roman"/>
                <w:noProof/>
              </w:rPr>
              <w:t>Rescuing history from ‘Devouring Time’</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_Toc3967172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70</w:t>
            </w:r>
            <w:r w:rsidR="00EA1F4D" w:rsidRPr="003037D2">
              <w:rPr>
                <w:rFonts w:ascii="Garamond" w:hAnsi="Garamond"/>
                <w:noProof/>
                <w:webHidden/>
              </w:rPr>
              <w:fldChar w:fldCharType="end"/>
            </w:r>
          </w:hyperlink>
        </w:p>
        <w:p w14:paraId="6A1F0869" w14:textId="27A679AC" w:rsidR="00EA1F4D" w:rsidRPr="003037D2" w:rsidRDefault="00E04035">
          <w:pPr>
            <w:pStyle w:val="TOC3"/>
            <w:tabs>
              <w:tab w:val="left" w:pos="880"/>
              <w:tab w:val="right" w:leader="dot" w:pos="8052"/>
            </w:tabs>
            <w:rPr>
              <w:rFonts w:ascii="Garamond" w:eastAsiaTheme="minorEastAsia" w:hAnsi="Garamond"/>
              <w:noProof/>
              <w:lang w:eastAsia="en-GB"/>
            </w:rPr>
          </w:pPr>
          <w:hyperlink w:anchor="_Toc3967173" w:history="1">
            <w:r w:rsidR="00EA1F4D" w:rsidRPr="003037D2">
              <w:rPr>
                <w:rStyle w:val="Hyperlink"/>
                <w:rFonts w:ascii="Garamond" w:eastAsia="DengXian Light" w:hAnsi="Garamond" w:cs="Times New Roman"/>
                <w:noProof/>
              </w:rPr>
              <w:t>iii.</w:t>
            </w:r>
            <w:r w:rsidR="00EA1F4D" w:rsidRPr="003037D2">
              <w:rPr>
                <w:rFonts w:ascii="Garamond" w:eastAsiaTheme="minorEastAsia" w:hAnsi="Garamond"/>
                <w:noProof/>
                <w:lang w:eastAsia="en-GB"/>
              </w:rPr>
              <w:tab/>
            </w:r>
            <w:r w:rsidR="00EA1F4D" w:rsidRPr="003037D2">
              <w:rPr>
                <w:rStyle w:val="Hyperlink"/>
                <w:rFonts w:ascii="Garamond" w:eastAsia="DengXian Light" w:hAnsi="Garamond" w:cs="Times New Roman"/>
                <w:noProof/>
              </w:rPr>
              <w:t>Communication and Community</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_Toc3967173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74</w:t>
            </w:r>
            <w:r w:rsidR="00EA1F4D" w:rsidRPr="003037D2">
              <w:rPr>
                <w:rFonts w:ascii="Garamond" w:hAnsi="Garamond"/>
                <w:noProof/>
                <w:webHidden/>
              </w:rPr>
              <w:fldChar w:fldCharType="end"/>
            </w:r>
          </w:hyperlink>
        </w:p>
        <w:p w14:paraId="43929AC2" w14:textId="012562C6" w:rsidR="00EA1F4D" w:rsidRPr="003037D2" w:rsidRDefault="00E04035">
          <w:pPr>
            <w:pStyle w:val="TOC2"/>
            <w:rPr>
              <w:rFonts w:eastAsiaTheme="minorEastAsia" w:cstheme="minorBidi"/>
              <w:lang w:eastAsia="en-GB"/>
            </w:rPr>
          </w:pPr>
          <w:hyperlink w:anchor="_Toc3967174" w:history="1">
            <w:r w:rsidR="00EA1F4D" w:rsidRPr="003037D2">
              <w:rPr>
                <w:rStyle w:val="Hyperlink"/>
                <w:rFonts w:eastAsia="Times New Roman"/>
                <w:b/>
                <w:bCs/>
              </w:rPr>
              <w:t>II.</w:t>
            </w:r>
            <w:r w:rsidR="00EA1F4D" w:rsidRPr="003037D2">
              <w:rPr>
                <w:rFonts w:eastAsiaTheme="minorEastAsia" w:cstheme="minorBidi"/>
                <w:lang w:eastAsia="en-GB"/>
              </w:rPr>
              <w:tab/>
            </w:r>
            <w:r w:rsidR="00EA1F4D" w:rsidRPr="003037D2">
              <w:rPr>
                <w:rStyle w:val="Hyperlink"/>
                <w:rFonts w:eastAsia="Times New Roman"/>
                <w:b/>
                <w:bCs/>
              </w:rPr>
              <w:t>Metanoia &amp; Psalm 51</w:t>
            </w:r>
            <w:r w:rsidR="00EA1F4D" w:rsidRPr="003037D2">
              <w:rPr>
                <w:webHidden/>
              </w:rPr>
              <w:tab/>
            </w:r>
            <w:r w:rsidR="00EA1F4D" w:rsidRPr="003037D2">
              <w:rPr>
                <w:webHidden/>
              </w:rPr>
              <w:fldChar w:fldCharType="begin"/>
            </w:r>
            <w:r w:rsidR="00EA1F4D" w:rsidRPr="003037D2">
              <w:rPr>
                <w:webHidden/>
              </w:rPr>
              <w:instrText xml:space="preserve"> PAGEREF _Toc3967174 \h </w:instrText>
            </w:r>
            <w:r w:rsidR="00EA1F4D" w:rsidRPr="003037D2">
              <w:rPr>
                <w:webHidden/>
              </w:rPr>
            </w:r>
            <w:r w:rsidR="00EA1F4D" w:rsidRPr="003037D2">
              <w:rPr>
                <w:webHidden/>
              </w:rPr>
              <w:fldChar w:fldCharType="separate"/>
            </w:r>
            <w:r w:rsidR="002D2E5D">
              <w:rPr>
                <w:webHidden/>
              </w:rPr>
              <w:t>80</w:t>
            </w:r>
            <w:r w:rsidR="00EA1F4D" w:rsidRPr="003037D2">
              <w:rPr>
                <w:webHidden/>
              </w:rPr>
              <w:fldChar w:fldCharType="end"/>
            </w:r>
          </w:hyperlink>
        </w:p>
        <w:p w14:paraId="6A47CC8E" w14:textId="5E8E9C23" w:rsidR="00EA1F4D" w:rsidRPr="003037D2" w:rsidRDefault="00E04035">
          <w:pPr>
            <w:pStyle w:val="TOC3"/>
            <w:tabs>
              <w:tab w:val="left" w:pos="880"/>
              <w:tab w:val="right" w:leader="dot" w:pos="8052"/>
            </w:tabs>
            <w:rPr>
              <w:rFonts w:ascii="Garamond" w:eastAsiaTheme="minorEastAsia" w:hAnsi="Garamond"/>
              <w:noProof/>
              <w:lang w:eastAsia="en-GB"/>
            </w:rPr>
          </w:pPr>
          <w:hyperlink w:anchor="_Toc3967175" w:history="1">
            <w:r w:rsidR="00EA1F4D" w:rsidRPr="003037D2">
              <w:rPr>
                <w:rStyle w:val="Hyperlink"/>
                <w:rFonts w:ascii="Garamond" w:eastAsia="Times New Roman" w:hAnsi="Garamond" w:cs="Times New Roman"/>
                <w:noProof/>
              </w:rPr>
              <w:t>i.</w:t>
            </w:r>
            <w:r w:rsidR="00EA1F4D" w:rsidRPr="003037D2">
              <w:rPr>
                <w:rFonts w:ascii="Garamond" w:eastAsiaTheme="minorEastAsia" w:hAnsi="Garamond"/>
                <w:noProof/>
                <w:lang w:eastAsia="en-GB"/>
              </w:rPr>
              <w:tab/>
            </w:r>
            <w:r w:rsidR="00EA1F4D" w:rsidRPr="003037D2">
              <w:rPr>
                <w:rStyle w:val="Hyperlink"/>
                <w:rFonts w:ascii="Garamond" w:eastAsia="Times New Roman" w:hAnsi="Garamond" w:cs="Times New Roman"/>
                <w:noProof/>
              </w:rPr>
              <w:t>Anne Lock</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_Toc3967175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83</w:t>
            </w:r>
            <w:r w:rsidR="00EA1F4D" w:rsidRPr="003037D2">
              <w:rPr>
                <w:rFonts w:ascii="Garamond" w:hAnsi="Garamond"/>
                <w:noProof/>
                <w:webHidden/>
              </w:rPr>
              <w:fldChar w:fldCharType="end"/>
            </w:r>
          </w:hyperlink>
        </w:p>
        <w:p w14:paraId="5F7F59BF" w14:textId="0EE5D511" w:rsidR="00EA1F4D" w:rsidRPr="003037D2" w:rsidRDefault="00E04035">
          <w:pPr>
            <w:pStyle w:val="TOC3"/>
            <w:tabs>
              <w:tab w:val="left" w:pos="880"/>
              <w:tab w:val="right" w:leader="dot" w:pos="8052"/>
            </w:tabs>
            <w:rPr>
              <w:rFonts w:ascii="Garamond" w:eastAsiaTheme="minorEastAsia" w:hAnsi="Garamond"/>
              <w:noProof/>
              <w:lang w:eastAsia="en-GB"/>
            </w:rPr>
          </w:pPr>
          <w:hyperlink w:anchor="_Toc3967176" w:history="1">
            <w:r w:rsidR="00EA1F4D" w:rsidRPr="003037D2">
              <w:rPr>
                <w:rStyle w:val="Hyperlink"/>
                <w:rFonts w:ascii="Garamond" w:eastAsia="Times New Roman" w:hAnsi="Garamond" w:cs="Times New Roman"/>
                <w:noProof/>
              </w:rPr>
              <w:t>ii.</w:t>
            </w:r>
            <w:r w:rsidR="00EA1F4D" w:rsidRPr="003037D2">
              <w:rPr>
                <w:rFonts w:ascii="Garamond" w:eastAsiaTheme="minorEastAsia" w:hAnsi="Garamond"/>
                <w:noProof/>
                <w:lang w:eastAsia="en-GB"/>
              </w:rPr>
              <w:tab/>
            </w:r>
            <w:r w:rsidR="00EA1F4D" w:rsidRPr="003037D2">
              <w:rPr>
                <w:rStyle w:val="Hyperlink"/>
                <w:rFonts w:ascii="Garamond" w:eastAsia="Times New Roman" w:hAnsi="Garamond" w:cs="Times New Roman"/>
                <w:noProof/>
              </w:rPr>
              <w:t>The Sidney Psalter and Psalm 51</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_Toc3967176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89</w:t>
            </w:r>
            <w:r w:rsidR="00EA1F4D" w:rsidRPr="003037D2">
              <w:rPr>
                <w:rFonts w:ascii="Garamond" w:hAnsi="Garamond"/>
                <w:noProof/>
                <w:webHidden/>
              </w:rPr>
              <w:fldChar w:fldCharType="end"/>
            </w:r>
          </w:hyperlink>
        </w:p>
        <w:p w14:paraId="33A2DF63" w14:textId="01DE1464" w:rsidR="00EA1F4D" w:rsidRPr="003037D2" w:rsidRDefault="00E04035">
          <w:pPr>
            <w:pStyle w:val="TOC3"/>
            <w:tabs>
              <w:tab w:val="left" w:pos="880"/>
              <w:tab w:val="right" w:leader="dot" w:pos="8052"/>
            </w:tabs>
            <w:rPr>
              <w:rFonts w:ascii="Garamond" w:eastAsiaTheme="minorEastAsia" w:hAnsi="Garamond"/>
              <w:noProof/>
              <w:lang w:eastAsia="en-GB"/>
            </w:rPr>
          </w:pPr>
          <w:hyperlink w:anchor="_Toc3967177" w:history="1">
            <w:r w:rsidR="00EA1F4D" w:rsidRPr="003037D2">
              <w:rPr>
                <w:rStyle w:val="Hyperlink"/>
                <w:rFonts w:ascii="Garamond" w:eastAsia="Times New Roman" w:hAnsi="Garamond" w:cs="Times New Roman"/>
                <w:noProof/>
              </w:rPr>
              <w:t>iii.</w:t>
            </w:r>
            <w:r w:rsidR="00EA1F4D" w:rsidRPr="003037D2">
              <w:rPr>
                <w:rFonts w:ascii="Garamond" w:eastAsiaTheme="minorEastAsia" w:hAnsi="Garamond"/>
                <w:noProof/>
                <w:lang w:eastAsia="en-GB"/>
              </w:rPr>
              <w:tab/>
            </w:r>
            <w:r w:rsidR="00EA1F4D" w:rsidRPr="003037D2">
              <w:rPr>
                <w:rStyle w:val="Hyperlink"/>
                <w:rFonts w:ascii="Garamond" w:eastAsia="Times New Roman" w:hAnsi="Garamond" w:cs="Times New Roman"/>
                <w:noProof/>
              </w:rPr>
              <w:t>Eloquence and memory</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_Toc3967177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94</w:t>
            </w:r>
            <w:r w:rsidR="00EA1F4D" w:rsidRPr="003037D2">
              <w:rPr>
                <w:rFonts w:ascii="Garamond" w:hAnsi="Garamond"/>
                <w:noProof/>
                <w:webHidden/>
              </w:rPr>
              <w:fldChar w:fldCharType="end"/>
            </w:r>
          </w:hyperlink>
        </w:p>
        <w:p w14:paraId="0A609B21" w14:textId="690DEF3B" w:rsidR="00EA1F4D" w:rsidRPr="003037D2" w:rsidRDefault="00E04035">
          <w:pPr>
            <w:pStyle w:val="TOC3"/>
            <w:tabs>
              <w:tab w:val="left" w:pos="880"/>
              <w:tab w:val="right" w:leader="dot" w:pos="8052"/>
            </w:tabs>
            <w:rPr>
              <w:rFonts w:ascii="Garamond" w:eastAsiaTheme="minorEastAsia" w:hAnsi="Garamond"/>
              <w:noProof/>
              <w:lang w:eastAsia="en-GB"/>
            </w:rPr>
          </w:pPr>
          <w:hyperlink w:anchor="_Toc3967178" w:history="1">
            <w:r w:rsidR="00EA1F4D" w:rsidRPr="003037D2">
              <w:rPr>
                <w:rStyle w:val="Hyperlink"/>
                <w:rFonts w:ascii="Garamond" w:hAnsi="Garamond"/>
                <w:noProof/>
              </w:rPr>
              <w:t>iv.</w:t>
            </w:r>
            <w:r w:rsidR="00EA1F4D" w:rsidRPr="003037D2">
              <w:rPr>
                <w:rFonts w:ascii="Garamond" w:eastAsiaTheme="minorEastAsia" w:hAnsi="Garamond"/>
                <w:noProof/>
                <w:lang w:eastAsia="en-GB"/>
              </w:rPr>
              <w:tab/>
            </w:r>
            <w:r w:rsidR="00EA1F4D" w:rsidRPr="003037D2">
              <w:rPr>
                <w:rStyle w:val="Hyperlink"/>
                <w:rFonts w:ascii="Garamond" w:hAnsi="Garamond"/>
                <w:noProof/>
              </w:rPr>
              <w:t>Revelation through retrospect</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_Toc3967178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100</w:t>
            </w:r>
            <w:r w:rsidR="00EA1F4D" w:rsidRPr="003037D2">
              <w:rPr>
                <w:rFonts w:ascii="Garamond" w:hAnsi="Garamond"/>
                <w:noProof/>
                <w:webHidden/>
              </w:rPr>
              <w:fldChar w:fldCharType="end"/>
            </w:r>
          </w:hyperlink>
        </w:p>
        <w:p w14:paraId="372C0360" w14:textId="44BB73E6" w:rsidR="00EA1F4D" w:rsidRPr="003037D2" w:rsidRDefault="00E04035">
          <w:pPr>
            <w:pStyle w:val="TOC1"/>
            <w:tabs>
              <w:tab w:val="right" w:leader="dot" w:pos="8052"/>
            </w:tabs>
            <w:rPr>
              <w:rFonts w:ascii="Garamond" w:eastAsiaTheme="minorEastAsia" w:hAnsi="Garamond"/>
              <w:noProof/>
              <w:lang w:eastAsia="en-GB"/>
            </w:rPr>
          </w:pPr>
          <w:hyperlink w:anchor="_Toc3967179" w:history="1">
            <w:r w:rsidR="00EA1F4D" w:rsidRPr="003037D2">
              <w:rPr>
                <w:rStyle w:val="Hyperlink"/>
                <w:rFonts w:ascii="Garamond" w:eastAsia="Times New Roman" w:hAnsi="Garamond" w:cs="Times New Roman"/>
                <w:b/>
                <w:bCs/>
                <w:noProof/>
              </w:rPr>
              <w:t>CHAPTER III - ‘LANDMARKS TO DISTINGUISH TIMES’: GEORGE HERBERT</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_Toc3967179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102</w:t>
            </w:r>
            <w:r w:rsidR="00EA1F4D" w:rsidRPr="003037D2">
              <w:rPr>
                <w:rFonts w:ascii="Garamond" w:hAnsi="Garamond"/>
                <w:noProof/>
                <w:webHidden/>
              </w:rPr>
              <w:fldChar w:fldCharType="end"/>
            </w:r>
          </w:hyperlink>
        </w:p>
        <w:p w14:paraId="2E8A512B" w14:textId="2821DAFB" w:rsidR="00EA1F4D" w:rsidRPr="003037D2" w:rsidRDefault="00E04035">
          <w:pPr>
            <w:pStyle w:val="TOC2"/>
            <w:rPr>
              <w:rFonts w:eastAsiaTheme="minorEastAsia" w:cstheme="minorBidi"/>
              <w:lang w:eastAsia="en-GB"/>
            </w:rPr>
          </w:pPr>
          <w:hyperlink w:anchor="_Toc3967180" w:history="1">
            <w:r w:rsidR="00EA1F4D" w:rsidRPr="003037D2">
              <w:rPr>
                <w:rStyle w:val="Hyperlink"/>
                <w:rFonts w:eastAsia="Times New Roman"/>
                <w:b/>
                <w:bCs/>
                <w:iCs/>
              </w:rPr>
              <w:t>I.</w:t>
            </w:r>
            <w:r w:rsidR="00EA1F4D" w:rsidRPr="003037D2">
              <w:rPr>
                <w:rFonts w:eastAsiaTheme="minorEastAsia" w:cstheme="minorBidi"/>
                <w:lang w:eastAsia="en-GB"/>
              </w:rPr>
              <w:tab/>
            </w:r>
            <w:r w:rsidR="00EA1F4D" w:rsidRPr="003037D2">
              <w:rPr>
                <w:rStyle w:val="Hyperlink"/>
                <w:rFonts w:eastAsia="Times New Roman"/>
                <w:b/>
                <w:bCs/>
              </w:rPr>
              <w:t>‘Sundaies the Pillars are on which Heav’ns palaces arched lies’: Making Pastoral Time visible</w:t>
            </w:r>
            <w:r w:rsidR="00EA1F4D" w:rsidRPr="003037D2">
              <w:rPr>
                <w:webHidden/>
              </w:rPr>
              <w:tab/>
            </w:r>
            <w:r w:rsidR="00EA1F4D" w:rsidRPr="003037D2">
              <w:rPr>
                <w:webHidden/>
              </w:rPr>
              <w:fldChar w:fldCharType="begin"/>
            </w:r>
            <w:r w:rsidR="00EA1F4D" w:rsidRPr="003037D2">
              <w:rPr>
                <w:webHidden/>
              </w:rPr>
              <w:instrText xml:space="preserve"> PAGEREF _Toc3967180 \h </w:instrText>
            </w:r>
            <w:r w:rsidR="00EA1F4D" w:rsidRPr="003037D2">
              <w:rPr>
                <w:webHidden/>
              </w:rPr>
            </w:r>
            <w:r w:rsidR="00EA1F4D" w:rsidRPr="003037D2">
              <w:rPr>
                <w:webHidden/>
              </w:rPr>
              <w:fldChar w:fldCharType="separate"/>
            </w:r>
            <w:r w:rsidR="002D2E5D">
              <w:rPr>
                <w:webHidden/>
              </w:rPr>
              <w:t>104</w:t>
            </w:r>
            <w:r w:rsidR="00EA1F4D" w:rsidRPr="003037D2">
              <w:rPr>
                <w:webHidden/>
              </w:rPr>
              <w:fldChar w:fldCharType="end"/>
            </w:r>
          </w:hyperlink>
        </w:p>
        <w:p w14:paraId="0B58A98E" w14:textId="1B8E36AA" w:rsidR="00EA1F4D" w:rsidRPr="003037D2" w:rsidRDefault="00E04035">
          <w:pPr>
            <w:pStyle w:val="TOC2"/>
            <w:rPr>
              <w:rFonts w:eastAsiaTheme="minorEastAsia" w:cstheme="minorBidi"/>
              <w:lang w:eastAsia="en-GB"/>
            </w:rPr>
          </w:pPr>
          <w:hyperlink w:anchor="_Toc3967181" w:history="1">
            <w:r w:rsidR="00EA1F4D" w:rsidRPr="004A155C">
              <w:rPr>
                <w:rStyle w:val="Hyperlink"/>
                <w:b/>
                <w:bCs/>
                <w:iCs/>
              </w:rPr>
              <w:t>II.</w:t>
            </w:r>
            <w:r w:rsidR="00EA1F4D" w:rsidRPr="004A155C">
              <w:rPr>
                <w:rFonts w:eastAsiaTheme="minorEastAsia" w:cstheme="minorBidi"/>
                <w:b/>
                <w:bCs/>
                <w:lang w:eastAsia="en-GB"/>
              </w:rPr>
              <w:tab/>
            </w:r>
            <w:r w:rsidR="00EA1F4D" w:rsidRPr="004A155C">
              <w:rPr>
                <w:rStyle w:val="Hyperlink"/>
                <w:b/>
                <w:bCs/>
              </w:rPr>
              <w:t>The Temple as Commonplace book and commonplace time</w:t>
            </w:r>
            <w:r w:rsidR="00EA1F4D" w:rsidRPr="003037D2">
              <w:rPr>
                <w:webHidden/>
              </w:rPr>
              <w:tab/>
            </w:r>
            <w:r w:rsidR="00EA1F4D" w:rsidRPr="003037D2">
              <w:rPr>
                <w:webHidden/>
              </w:rPr>
              <w:fldChar w:fldCharType="begin"/>
            </w:r>
            <w:r w:rsidR="00EA1F4D" w:rsidRPr="003037D2">
              <w:rPr>
                <w:webHidden/>
              </w:rPr>
              <w:instrText xml:space="preserve"> PAGEREF _Toc3967181 \h </w:instrText>
            </w:r>
            <w:r w:rsidR="00EA1F4D" w:rsidRPr="003037D2">
              <w:rPr>
                <w:webHidden/>
              </w:rPr>
            </w:r>
            <w:r w:rsidR="00EA1F4D" w:rsidRPr="003037D2">
              <w:rPr>
                <w:webHidden/>
              </w:rPr>
              <w:fldChar w:fldCharType="separate"/>
            </w:r>
            <w:r w:rsidR="002D2E5D">
              <w:rPr>
                <w:webHidden/>
              </w:rPr>
              <w:t>121</w:t>
            </w:r>
            <w:r w:rsidR="00EA1F4D" w:rsidRPr="003037D2">
              <w:rPr>
                <w:webHidden/>
              </w:rPr>
              <w:fldChar w:fldCharType="end"/>
            </w:r>
          </w:hyperlink>
        </w:p>
        <w:p w14:paraId="636D5246" w14:textId="0D312E16" w:rsidR="00EA1F4D" w:rsidRPr="003037D2" w:rsidRDefault="00E04035">
          <w:pPr>
            <w:pStyle w:val="TOC3"/>
            <w:tabs>
              <w:tab w:val="left" w:pos="880"/>
              <w:tab w:val="right" w:leader="dot" w:pos="8052"/>
            </w:tabs>
            <w:rPr>
              <w:rFonts w:ascii="Garamond" w:eastAsiaTheme="minorEastAsia" w:hAnsi="Garamond"/>
              <w:noProof/>
              <w:lang w:eastAsia="en-GB"/>
            </w:rPr>
          </w:pPr>
          <w:hyperlink w:anchor="_Toc3967182" w:history="1">
            <w:r w:rsidR="00EA1F4D" w:rsidRPr="003037D2">
              <w:rPr>
                <w:rStyle w:val="Hyperlink"/>
                <w:rFonts w:ascii="Garamond" w:eastAsia="Times New Roman" w:hAnsi="Garamond" w:cs="Times New Roman"/>
                <w:noProof/>
              </w:rPr>
              <w:t>i.</w:t>
            </w:r>
            <w:r w:rsidR="00EA1F4D" w:rsidRPr="003037D2">
              <w:rPr>
                <w:rFonts w:ascii="Garamond" w:eastAsiaTheme="minorEastAsia" w:hAnsi="Garamond"/>
                <w:noProof/>
                <w:lang w:eastAsia="en-GB"/>
              </w:rPr>
              <w:tab/>
            </w:r>
            <w:r w:rsidR="00EA1F4D" w:rsidRPr="003037D2">
              <w:rPr>
                <w:rStyle w:val="Hyperlink"/>
                <w:rFonts w:ascii="Garamond" w:eastAsia="Times New Roman" w:hAnsi="Garamond" w:cs="Times New Roman"/>
                <w:noProof/>
              </w:rPr>
              <w:t>Proverbs and communal memory</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_Toc3967182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130</w:t>
            </w:r>
            <w:r w:rsidR="00EA1F4D" w:rsidRPr="003037D2">
              <w:rPr>
                <w:rFonts w:ascii="Garamond" w:hAnsi="Garamond"/>
                <w:noProof/>
                <w:webHidden/>
              </w:rPr>
              <w:fldChar w:fldCharType="end"/>
            </w:r>
          </w:hyperlink>
        </w:p>
        <w:p w14:paraId="73FA2F47" w14:textId="4A700461" w:rsidR="00EA1F4D" w:rsidRPr="003037D2" w:rsidRDefault="00E04035">
          <w:pPr>
            <w:pStyle w:val="TOC2"/>
            <w:rPr>
              <w:rFonts w:eastAsiaTheme="minorEastAsia" w:cstheme="minorBidi"/>
              <w:lang w:eastAsia="en-GB"/>
            </w:rPr>
          </w:pPr>
          <w:hyperlink w:anchor="_Toc3967183" w:history="1">
            <w:r w:rsidR="00EA1F4D" w:rsidRPr="003037D2">
              <w:rPr>
                <w:rStyle w:val="Hyperlink"/>
                <w:rFonts w:eastAsia="Times New Roman"/>
                <w:b/>
                <w:bCs/>
                <w:iCs/>
              </w:rPr>
              <w:t>III.</w:t>
            </w:r>
            <w:r w:rsidR="00EA1F4D" w:rsidRPr="003037D2">
              <w:rPr>
                <w:rFonts w:eastAsiaTheme="minorEastAsia" w:cstheme="minorBidi"/>
                <w:lang w:eastAsia="en-GB"/>
              </w:rPr>
              <w:tab/>
            </w:r>
            <w:r w:rsidR="00EA1F4D" w:rsidRPr="003037D2">
              <w:rPr>
                <w:rStyle w:val="Hyperlink"/>
                <w:rFonts w:eastAsia="Times New Roman"/>
                <w:b/>
                <w:bCs/>
              </w:rPr>
              <w:t xml:space="preserve">Writing as </w:t>
            </w:r>
            <w:r w:rsidR="00EA1F4D" w:rsidRPr="003037D2">
              <w:rPr>
                <w:rStyle w:val="Hyperlink"/>
                <w:rFonts w:eastAsia="Calibri"/>
                <w:b/>
                <w:bCs/>
                <w:i/>
              </w:rPr>
              <w:t>exaedificare</w:t>
            </w:r>
            <w:r w:rsidR="00EA1F4D" w:rsidRPr="003037D2">
              <w:rPr>
                <w:rStyle w:val="Hyperlink"/>
                <w:rFonts w:eastAsia="Calibri"/>
                <w:b/>
                <w:bCs/>
                <w:iCs/>
              </w:rPr>
              <w:t>: Herbert’s Hieroglyph poems</w:t>
            </w:r>
            <w:r w:rsidR="00EA1F4D" w:rsidRPr="003037D2">
              <w:rPr>
                <w:webHidden/>
              </w:rPr>
              <w:tab/>
            </w:r>
            <w:r w:rsidR="00EA1F4D" w:rsidRPr="003037D2">
              <w:rPr>
                <w:webHidden/>
              </w:rPr>
              <w:fldChar w:fldCharType="begin"/>
            </w:r>
            <w:r w:rsidR="00EA1F4D" w:rsidRPr="003037D2">
              <w:rPr>
                <w:webHidden/>
              </w:rPr>
              <w:instrText xml:space="preserve"> PAGEREF _Toc3967183 \h </w:instrText>
            </w:r>
            <w:r w:rsidR="00EA1F4D" w:rsidRPr="003037D2">
              <w:rPr>
                <w:webHidden/>
              </w:rPr>
            </w:r>
            <w:r w:rsidR="00EA1F4D" w:rsidRPr="003037D2">
              <w:rPr>
                <w:webHidden/>
              </w:rPr>
              <w:fldChar w:fldCharType="separate"/>
            </w:r>
            <w:r w:rsidR="002D2E5D">
              <w:rPr>
                <w:webHidden/>
              </w:rPr>
              <w:t>133</w:t>
            </w:r>
            <w:r w:rsidR="00EA1F4D" w:rsidRPr="003037D2">
              <w:rPr>
                <w:webHidden/>
              </w:rPr>
              <w:fldChar w:fldCharType="end"/>
            </w:r>
          </w:hyperlink>
        </w:p>
        <w:p w14:paraId="5FF4AD8D" w14:textId="27A9F446" w:rsidR="00EA1F4D" w:rsidRPr="003037D2" w:rsidRDefault="00E04035">
          <w:pPr>
            <w:pStyle w:val="TOC3"/>
            <w:tabs>
              <w:tab w:val="left" w:pos="880"/>
              <w:tab w:val="right" w:leader="dot" w:pos="8052"/>
            </w:tabs>
            <w:rPr>
              <w:rFonts w:ascii="Garamond" w:eastAsiaTheme="minorEastAsia" w:hAnsi="Garamond"/>
              <w:noProof/>
              <w:lang w:eastAsia="en-GB"/>
            </w:rPr>
          </w:pPr>
          <w:hyperlink w:anchor="_Toc3967184" w:history="1">
            <w:r w:rsidR="00EA1F4D" w:rsidRPr="003037D2">
              <w:rPr>
                <w:rStyle w:val="Hyperlink"/>
                <w:rFonts w:ascii="Garamond" w:eastAsia="Times New Roman" w:hAnsi="Garamond" w:cs="Times New Roman"/>
                <w:noProof/>
              </w:rPr>
              <w:t>i.</w:t>
            </w:r>
            <w:r w:rsidR="00EA1F4D" w:rsidRPr="003037D2">
              <w:rPr>
                <w:rFonts w:ascii="Garamond" w:eastAsiaTheme="minorEastAsia" w:hAnsi="Garamond"/>
                <w:noProof/>
                <w:lang w:eastAsia="en-GB"/>
              </w:rPr>
              <w:tab/>
            </w:r>
            <w:r w:rsidR="00EA1F4D" w:rsidRPr="003037D2">
              <w:rPr>
                <w:rStyle w:val="Hyperlink"/>
                <w:rFonts w:ascii="Garamond" w:eastAsia="Times New Roman" w:hAnsi="Garamond" w:cs="Times New Roman"/>
                <w:noProof/>
              </w:rPr>
              <w:t>Hieroglyphs in Marmaduke Rawdon’s commonplace book</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_Toc3967184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137</w:t>
            </w:r>
            <w:r w:rsidR="00EA1F4D" w:rsidRPr="003037D2">
              <w:rPr>
                <w:rFonts w:ascii="Garamond" w:hAnsi="Garamond"/>
                <w:noProof/>
                <w:webHidden/>
              </w:rPr>
              <w:fldChar w:fldCharType="end"/>
            </w:r>
          </w:hyperlink>
        </w:p>
        <w:p w14:paraId="48B2F6AE" w14:textId="0F36641A" w:rsidR="00EA1F4D" w:rsidRPr="003037D2" w:rsidRDefault="00E04035">
          <w:pPr>
            <w:pStyle w:val="TOC2"/>
            <w:rPr>
              <w:rFonts w:eastAsiaTheme="minorEastAsia" w:cstheme="minorBidi"/>
              <w:lang w:eastAsia="en-GB"/>
            </w:rPr>
          </w:pPr>
          <w:hyperlink w:anchor="_Toc3967185" w:history="1">
            <w:r w:rsidR="00EA1F4D" w:rsidRPr="003037D2">
              <w:rPr>
                <w:rStyle w:val="Hyperlink"/>
                <w:rFonts w:eastAsia="Times New Roman"/>
                <w:b/>
                <w:bCs/>
              </w:rPr>
              <w:t>IV. Pattern poems: Objects in Time</w:t>
            </w:r>
            <w:r w:rsidR="00EA1F4D" w:rsidRPr="003037D2">
              <w:rPr>
                <w:webHidden/>
              </w:rPr>
              <w:tab/>
            </w:r>
            <w:r w:rsidR="00EA1F4D" w:rsidRPr="003037D2">
              <w:rPr>
                <w:webHidden/>
              </w:rPr>
              <w:fldChar w:fldCharType="begin"/>
            </w:r>
            <w:r w:rsidR="00EA1F4D" w:rsidRPr="003037D2">
              <w:rPr>
                <w:webHidden/>
              </w:rPr>
              <w:instrText xml:space="preserve"> PAGEREF _Toc3967185 \h </w:instrText>
            </w:r>
            <w:r w:rsidR="00EA1F4D" w:rsidRPr="003037D2">
              <w:rPr>
                <w:webHidden/>
              </w:rPr>
            </w:r>
            <w:r w:rsidR="00EA1F4D" w:rsidRPr="003037D2">
              <w:rPr>
                <w:webHidden/>
              </w:rPr>
              <w:fldChar w:fldCharType="separate"/>
            </w:r>
            <w:r w:rsidR="002D2E5D">
              <w:rPr>
                <w:webHidden/>
              </w:rPr>
              <w:t>143</w:t>
            </w:r>
            <w:r w:rsidR="00EA1F4D" w:rsidRPr="003037D2">
              <w:rPr>
                <w:webHidden/>
              </w:rPr>
              <w:fldChar w:fldCharType="end"/>
            </w:r>
          </w:hyperlink>
        </w:p>
        <w:p w14:paraId="14AE3FBD" w14:textId="1B5B9667" w:rsidR="00EA1F4D" w:rsidRPr="003037D2" w:rsidRDefault="00E04035">
          <w:pPr>
            <w:pStyle w:val="TOC2"/>
            <w:rPr>
              <w:rFonts w:eastAsiaTheme="minorEastAsia" w:cstheme="minorBidi"/>
              <w:lang w:eastAsia="en-GB"/>
            </w:rPr>
          </w:pPr>
          <w:hyperlink w:anchor="_Toc3967186" w:history="1">
            <w:r w:rsidR="00EA1F4D" w:rsidRPr="003037D2">
              <w:rPr>
                <w:rStyle w:val="Hyperlink"/>
                <w:rFonts w:eastAsia="Times New Roman"/>
                <w:b/>
                <w:bCs/>
              </w:rPr>
              <w:t>V.</w:t>
            </w:r>
            <w:r w:rsidR="00EA1F4D" w:rsidRPr="003037D2">
              <w:rPr>
                <w:rFonts w:eastAsiaTheme="minorEastAsia" w:cstheme="minorBidi"/>
                <w:lang w:eastAsia="en-GB"/>
              </w:rPr>
              <w:tab/>
            </w:r>
            <w:r w:rsidR="00EA1F4D" w:rsidRPr="003037D2">
              <w:rPr>
                <w:rStyle w:val="Hyperlink"/>
                <w:rFonts w:eastAsia="Times New Roman"/>
                <w:b/>
                <w:bCs/>
              </w:rPr>
              <w:t>Sacramental Bodies</w:t>
            </w:r>
            <w:r w:rsidR="00EA1F4D" w:rsidRPr="003037D2">
              <w:rPr>
                <w:webHidden/>
              </w:rPr>
              <w:tab/>
            </w:r>
            <w:r w:rsidR="00EA1F4D" w:rsidRPr="003037D2">
              <w:rPr>
                <w:webHidden/>
              </w:rPr>
              <w:fldChar w:fldCharType="begin"/>
            </w:r>
            <w:r w:rsidR="00EA1F4D" w:rsidRPr="003037D2">
              <w:rPr>
                <w:webHidden/>
              </w:rPr>
              <w:instrText xml:space="preserve"> PAGEREF _Toc3967186 \h </w:instrText>
            </w:r>
            <w:r w:rsidR="00EA1F4D" w:rsidRPr="003037D2">
              <w:rPr>
                <w:webHidden/>
              </w:rPr>
            </w:r>
            <w:r w:rsidR="00EA1F4D" w:rsidRPr="003037D2">
              <w:rPr>
                <w:webHidden/>
              </w:rPr>
              <w:fldChar w:fldCharType="separate"/>
            </w:r>
            <w:r w:rsidR="002D2E5D">
              <w:rPr>
                <w:webHidden/>
              </w:rPr>
              <w:t>152</w:t>
            </w:r>
            <w:r w:rsidR="00EA1F4D" w:rsidRPr="003037D2">
              <w:rPr>
                <w:webHidden/>
              </w:rPr>
              <w:fldChar w:fldCharType="end"/>
            </w:r>
          </w:hyperlink>
        </w:p>
        <w:p w14:paraId="7BCFF6EB" w14:textId="24C99AFA" w:rsidR="00EA1F4D" w:rsidRPr="003037D2" w:rsidRDefault="00E04035">
          <w:pPr>
            <w:pStyle w:val="TOC1"/>
            <w:tabs>
              <w:tab w:val="right" w:leader="dot" w:pos="8052"/>
            </w:tabs>
            <w:rPr>
              <w:rFonts w:ascii="Garamond" w:eastAsiaTheme="minorEastAsia" w:hAnsi="Garamond"/>
              <w:noProof/>
              <w:lang w:eastAsia="en-GB"/>
            </w:rPr>
          </w:pPr>
          <w:hyperlink w:anchor="_Toc3967187" w:history="1">
            <w:r w:rsidR="00EA1F4D" w:rsidRPr="003037D2">
              <w:rPr>
                <w:rStyle w:val="Hyperlink"/>
                <w:rFonts w:ascii="Garamond" w:hAnsi="Garamond"/>
                <w:b/>
                <w:bCs/>
                <w:noProof/>
              </w:rPr>
              <w:t>CHAPTER IV: ‘THIS SERMON MIGHT MINISTER OCCASION OF PERPETUALL REMEMBRANCE’</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_Toc3967187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159</w:t>
            </w:r>
            <w:r w:rsidR="00EA1F4D" w:rsidRPr="003037D2">
              <w:rPr>
                <w:rFonts w:ascii="Garamond" w:hAnsi="Garamond"/>
                <w:noProof/>
                <w:webHidden/>
              </w:rPr>
              <w:fldChar w:fldCharType="end"/>
            </w:r>
          </w:hyperlink>
        </w:p>
        <w:p w14:paraId="74409D96" w14:textId="100A6472" w:rsidR="00EA1F4D" w:rsidRPr="004A155C" w:rsidRDefault="00E04035">
          <w:pPr>
            <w:pStyle w:val="TOC2"/>
            <w:rPr>
              <w:rFonts w:eastAsiaTheme="minorEastAsia" w:cstheme="minorBidi"/>
              <w:b/>
              <w:bCs/>
              <w:lang w:eastAsia="en-GB"/>
            </w:rPr>
          </w:pPr>
          <w:hyperlink w:anchor="_Toc3967188" w:history="1">
            <w:r w:rsidR="00EA1F4D" w:rsidRPr="004A155C">
              <w:rPr>
                <w:rStyle w:val="Hyperlink"/>
                <w:b/>
                <w:bCs/>
                <w:iCs/>
              </w:rPr>
              <w:t>I.</w:t>
            </w:r>
            <w:r w:rsidR="00EA1F4D" w:rsidRPr="004A155C">
              <w:rPr>
                <w:rFonts w:eastAsiaTheme="minorEastAsia" w:cstheme="minorBidi"/>
                <w:b/>
                <w:bCs/>
                <w:lang w:eastAsia="en-GB"/>
              </w:rPr>
              <w:tab/>
            </w:r>
            <w:r w:rsidR="00EA1F4D" w:rsidRPr="004A155C">
              <w:rPr>
                <w:rStyle w:val="Hyperlink"/>
                <w:b/>
                <w:bCs/>
                <w:iCs/>
              </w:rPr>
              <w:t>‘A bastard brood of Sermons’: The Press and the Pulpit</w:t>
            </w:r>
            <w:r w:rsidR="00EA1F4D" w:rsidRPr="004A155C">
              <w:rPr>
                <w:b/>
                <w:bCs/>
                <w:webHidden/>
              </w:rPr>
              <w:tab/>
            </w:r>
            <w:r w:rsidR="00EA1F4D" w:rsidRPr="004A155C">
              <w:rPr>
                <w:b/>
                <w:bCs/>
                <w:webHidden/>
              </w:rPr>
              <w:fldChar w:fldCharType="begin"/>
            </w:r>
            <w:r w:rsidR="00EA1F4D" w:rsidRPr="004A155C">
              <w:rPr>
                <w:b/>
                <w:bCs/>
                <w:webHidden/>
              </w:rPr>
              <w:instrText xml:space="preserve"> PAGEREF _Toc3967188 \h </w:instrText>
            </w:r>
            <w:r w:rsidR="00EA1F4D" w:rsidRPr="004A155C">
              <w:rPr>
                <w:b/>
                <w:bCs/>
                <w:webHidden/>
              </w:rPr>
            </w:r>
            <w:r w:rsidR="00EA1F4D" w:rsidRPr="004A155C">
              <w:rPr>
                <w:b/>
                <w:bCs/>
                <w:webHidden/>
              </w:rPr>
              <w:fldChar w:fldCharType="separate"/>
            </w:r>
            <w:r w:rsidR="002D2E5D" w:rsidRPr="004A155C">
              <w:rPr>
                <w:b/>
                <w:bCs/>
                <w:webHidden/>
              </w:rPr>
              <w:t>160</w:t>
            </w:r>
            <w:r w:rsidR="00EA1F4D" w:rsidRPr="004A155C">
              <w:rPr>
                <w:b/>
                <w:bCs/>
                <w:webHidden/>
              </w:rPr>
              <w:fldChar w:fldCharType="end"/>
            </w:r>
          </w:hyperlink>
        </w:p>
        <w:p w14:paraId="6DEA8C62" w14:textId="40DE064D" w:rsidR="00EA1F4D" w:rsidRPr="003037D2" w:rsidRDefault="00E04035">
          <w:pPr>
            <w:pStyle w:val="TOC3"/>
            <w:tabs>
              <w:tab w:val="left" w:pos="880"/>
              <w:tab w:val="right" w:leader="dot" w:pos="8052"/>
            </w:tabs>
            <w:rPr>
              <w:rFonts w:ascii="Garamond" w:eastAsiaTheme="minorEastAsia" w:hAnsi="Garamond"/>
              <w:noProof/>
              <w:lang w:eastAsia="en-GB"/>
            </w:rPr>
          </w:pPr>
          <w:hyperlink w:anchor="_Toc3967189" w:history="1">
            <w:r w:rsidR="00EA1F4D" w:rsidRPr="003037D2">
              <w:rPr>
                <w:rStyle w:val="Hyperlink"/>
                <w:rFonts w:ascii="Garamond" w:hAnsi="Garamond"/>
                <w:noProof/>
              </w:rPr>
              <w:t>i.</w:t>
            </w:r>
            <w:r w:rsidR="00EA1F4D" w:rsidRPr="003037D2">
              <w:rPr>
                <w:rFonts w:ascii="Garamond" w:eastAsiaTheme="minorEastAsia" w:hAnsi="Garamond"/>
                <w:noProof/>
                <w:lang w:eastAsia="en-GB"/>
              </w:rPr>
              <w:tab/>
            </w:r>
            <w:r w:rsidR="00EA1F4D" w:rsidRPr="003037D2">
              <w:rPr>
                <w:rStyle w:val="Hyperlink"/>
                <w:rFonts w:ascii="Garamond" w:hAnsi="Garamond"/>
                <w:noProof/>
              </w:rPr>
              <w:t>Title Pages and advertising strategies</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_Toc3967189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167</w:t>
            </w:r>
            <w:r w:rsidR="00EA1F4D" w:rsidRPr="003037D2">
              <w:rPr>
                <w:rFonts w:ascii="Garamond" w:hAnsi="Garamond"/>
                <w:noProof/>
                <w:webHidden/>
              </w:rPr>
              <w:fldChar w:fldCharType="end"/>
            </w:r>
          </w:hyperlink>
        </w:p>
        <w:p w14:paraId="5A188668" w14:textId="656C1F5E" w:rsidR="00EA1F4D" w:rsidRPr="003037D2" w:rsidRDefault="00E04035">
          <w:pPr>
            <w:pStyle w:val="TOC3"/>
            <w:tabs>
              <w:tab w:val="left" w:pos="880"/>
              <w:tab w:val="right" w:leader="dot" w:pos="8052"/>
            </w:tabs>
            <w:rPr>
              <w:rFonts w:ascii="Garamond" w:eastAsiaTheme="minorEastAsia" w:hAnsi="Garamond"/>
              <w:noProof/>
              <w:lang w:eastAsia="en-GB"/>
            </w:rPr>
          </w:pPr>
          <w:hyperlink w:anchor="_Toc3967190" w:history="1">
            <w:r w:rsidR="00EA1F4D" w:rsidRPr="003037D2">
              <w:rPr>
                <w:rStyle w:val="Hyperlink"/>
                <w:rFonts w:ascii="Garamond" w:hAnsi="Garamond"/>
                <w:noProof/>
              </w:rPr>
              <w:t>ii.</w:t>
            </w:r>
            <w:r w:rsidR="00EA1F4D" w:rsidRPr="003037D2">
              <w:rPr>
                <w:rFonts w:ascii="Garamond" w:eastAsiaTheme="minorEastAsia" w:hAnsi="Garamond"/>
                <w:noProof/>
                <w:lang w:eastAsia="en-GB"/>
              </w:rPr>
              <w:tab/>
            </w:r>
            <w:r w:rsidR="00EA1F4D" w:rsidRPr="003037D2">
              <w:rPr>
                <w:rStyle w:val="Hyperlink"/>
                <w:rFonts w:ascii="Garamond" w:hAnsi="Garamond"/>
                <w:noProof/>
              </w:rPr>
              <w:t>Timing referents</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_Toc3967190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170</w:t>
            </w:r>
            <w:r w:rsidR="00EA1F4D" w:rsidRPr="003037D2">
              <w:rPr>
                <w:rFonts w:ascii="Garamond" w:hAnsi="Garamond"/>
                <w:noProof/>
                <w:webHidden/>
              </w:rPr>
              <w:fldChar w:fldCharType="end"/>
            </w:r>
          </w:hyperlink>
        </w:p>
        <w:p w14:paraId="79E938E4" w14:textId="0EC8E5B3" w:rsidR="00EA1F4D" w:rsidRPr="003037D2" w:rsidRDefault="00E04035">
          <w:pPr>
            <w:pStyle w:val="TOC3"/>
            <w:tabs>
              <w:tab w:val="left" w:pos="880"/>
              <w:tab w:val="right" w:leader="dot" w:pos="8052"/>
            </w:tabs>
            <w:rPr>
              <w:rFonts w:ascii="Garamond" w:eastAsiaTheme="minorEastAsia" w:hAnsi="Garamond"/>
              <w:noProof/>
              <w:lang w:eastAsia="en-GB"/>
            </w:rPr>
          </w:pPr>
          <w:hyperlink w:anchor="_Toc3967191" w:history="1">
            <w:r w:rsidR="00EA1F4D" w:rsidRPr="003037D2">
              <w:rPr>
                <w:rStyle w:val="Hyperlink"/>
                <w:rFonts w:ascii="Garamond" w:hAnsi="Garamond"/>
                <w:noProof/>
              </w:rPr>
              <w:t>iii.</w:t>
            </w:r>
            <w:r w:rsidR="00EA1F4D" w:rsidRPr="003037D2">
              <w:rPr>
                <w:rFonts w:ascii="Garamond" w:eastAsiaTheme="minorEastAsia" w:hAnsi="Garamond"/>
                <w:noProof/>
                <w:lang w:eastAsia="en-GB"/>
              </w:rPr>
              <w:tab/>
            </w:r>
            <w:r w:rsidR="00EA1F4D" w:rsidRPr="003037D2">
              <w:rPr>
                <w:rStyle w:val="Hyperlink"/>
                <w:rFonts w:ascii="Garamond" w:hAnsi="Garamond"/>
                <w:noProof/>
              </w:rPr>
              <w:t>‘Dead letters laid forth in sheets’: Capturing performance</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_Toc3967191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174</w:t>
            </w:r>
            <w:r w:rsidR="00EA1F4D" w:rsidRPr="003037D2">
              <w:rPr>
                <w:rFonts w:ascii="Garamond" w:hAnsi="Garamond"/>
                <w:noProof/>
                <w:webHidden/>
              </w:rPr>
              <w:fldChar w:fldCharType="end"/>
            </w:r>
          </w:hyperlink>
        </w:p>
        <w:p w14:paraId="03387F5D" w14:textId="1DB9A6B6" w:rsidR="00EA1F4D" w:rsidRPr="003037D2" w:rsidRDefault="00E04035">
          <w:pPr>
            <w:pStyle w:val="TOC2"/>
            <w:rPr>
              <w:rFonts w:eastAsiaTheme="minorEastAsia" w:cstheme="minorBidi"/>
              <w:lang w:eastAsia="en-GB"/>
            </w:rPr>
          </w:pPr>
          <w:hyperlink w:anchor="_Toc3967192" w:history="1">
            <w:r w:rsidR="00EA1F4D" w:rsidRPr="004A155C">
              <w:rPr>
                <w:rStyle w:val="Hyperlink"/>
                <w:b/>
                <w:bCs/>
                <w:iCs/>
              </w:rPr>
              <w:t>II.</w:t>
            </w:r>
            <w:r w:rsidR="00EA1F4D" w:rsidRPr="004A155C">
              <w:rPr>
                <w:rFonts w:eastAsiaTheme="minorEastAsia" w:cstheme="minorBidi"/>
                <w:b/>
                <w:bCs/>
                <w:lang w:eastAsia="en-GB"/>
              </w:rPr>
              <w:tab/>
            </w:r>
            <w:r w:rsidR="00EA1F4D" w:rsidRPr="004A155C">
              <w:rPr>
                <w:rStyle w:val="Hyperlink"/>
                <w:b/>
                <w:bCs/>
                <w:iCs/>
              </w:rPr>
              <w:t>Popular preachers</w:t>
            </w:r>
            <w:r w:rsidR="00EA1F4D" w:rsidRPr="003037D2">
              <w:rPr>
                <w:webHidden/>
              </w:rPr>
              <w:tab/>
            </w:r>
            <w:r w:rsidR="00EA1F4D" w:rsidRPr="004A155C">
              <w:rPr>
                <w:b/>
                <w:bCs/>
                <w:webHidden/>
              </w:rPr>
              <w:fldChar w:fldCharType="begin"/>
            </w:r>
            <w:r w:rsidR="00EA1F4D" w:rsidRPr="004A155C">
              <w:rPr>
                <w:b/>
                <w:bCs/>
                <w:webHidden/>
              </w:rPr>
              <w:instrText xml:space="preserve"> PAGEREF _Toc3967192 \h </w:instrText>
            </w:r>
            <w:r w:rsidR="00EA1F4D" w:rsidRPr="004A155C">
              <w:rPr>
                <w:b/>
                <w:bCs/>
                <w:webHidden/>
              </w:rPr>
            </w:r>
            <w:r w:rsidR="00EA1F4D" w:rsidRPr="004A155C">
              <w:rPr>
                <w:b/>
                <w:bCs/>
                <w:webHidden/>
              </w:rPr>
              <w:fldChar w:fldCharType="separate"/>
            </w:r>
            <w:r w:rsidR="002D2E5D" w:rsidRPr="004A155C">
              <w:rPr>
                <w:b/>
                <w:bCs/>
                <w:webHidden/>
              </w:rPr>
              <w:t>182</w:t>
            </w:r>
            <w:r w:rsidR="00EA1F4D" w:rsidRPr="004A155C">
              <w:rPr>
                <w:b/>
                <w:bCs/>
                <w:webHidden/>
              </w:rPr>
              <w:fldChar w:fldCharType="end"/>
            </w:r>
          </w:hyperlink>
        </w:p>
        <w:p w14:paraId="297AC211" w14:textId="29941103" w:rsidR="00EA1F4D" w:rsidRPr="004A155C" w:rsidRDefault="00E04035">
          <w:pPr>
            <w:pStyle w:val="TOC2"/>
            <w:rPr>
              <w:rFonts w:eastAsiaTheme="minorEastAsia" w:cstheme="minorBidi"/>
              <w:b/>
              <w:bCs/>
              <w:lang w:eastAsia="en-GB"/>
            </w:rPr>
          </w:pPr>
          <w:hyperlink w:anchor="_Toc3967193" w:history="1">
            <w:r w:rsidR="00EA1F4D" w:rsidRPr="004A155C">
              <w:rPr>
                <w:rStyle w:val="Hyperlink"/>
                <w:b/>
                <w:bCs/>
                <w:iCs/>
              </w:rPr>
              <w:t>III.</w:t>
            </w:r>
            <w:r w:rsidR="00EA1F4D" w:rsidRPr="004A155C">
              <w:rPr>
                <w:rFonts w:eastAsiaTheme="minorEastAsia" w:cstheme="minorBidi"/>
                <w:b/>
                <w:bCs/>
                <w:lang w:eastAsia="en-GB"/>
              </w:rPr>
              <w:tab/>
            </w:r>
            <w:r w:rsidR="00EA1F4D" w:rsidRPr="004A155C">
              <w:rPr>
                <w:rStyle w:val="Hyperlink"/>
                <w:b/>
                <w:bCs/>
                <w:iCs/>
              </w:rPr>
              <w:t>John Donne and Time: ‘There was never heard quarter clock to strike, never seen minute glass to turne’ (VII.139)</w:t>
            </w:r>
            <w:r w:rsidR="00EA1F4D" w:rsidRPr="004A155C">
              <w:rPr>
                <w:b/>
                <w:bCs/>
                <w:webHidden/>
              </w:rPr>
              <w:tab/>
            </w:r>
            <w:r w:rsidR="00EA1F4D" w:rsidRPr="004A155C">
              <w:rPr>
                <w:b/>
                <w:bCs/>
                <w:webHidden/>
              </w:rPr>
              <w:fldChar w:fldCharType="begin"/>
            </w:r>
            <w:r w:rsidR="00EA1F4D" w:rsidRPr="004A155C">
              <w:rPr>
                <w:b/>
                <w:bCs/>
                <w:webHidden/>
              </w:rPr>
              <w:instrText xml:space="preserve"> PAGEREF _Toc3967193 \h </w:instrText>
            </w:r>
            <w:r w:rsidR="00EA1F4D" w:rsidRPr="004A155C">
              <w:rPr>
                <w:b/>
                <w:bCs/>
                <w:webHidden/>
              </w:rPr>
            </w:r>
            <w:r w:rsidR="00EA1F4D" w:rsidRPr="004A155C">
              <w:rPr>
                <w:b/>
                <w:bCs/>
                <w:webHidden/>
              </w:rPr>
              <w:fldChar w:fldCharType="separate"/>
            </w:r>
            <w:r w:rsidR="002D2E5D" w:rsidRPr="004A155C">
              <w:rPr>
                <w:b/>
                <w:bCs/>
                <w:webHidden/>
              </w:rPr>
              <w:t>190</w:t>
            </w:r>
            <w:r w:rsidR="00EA1F4D" w:rsidRPr="004A155C">
              <w:rPr>
                <w:b/>
                <w:bCs/>
                <w:webHidden/>
              </w:rPr>
              <w:fldChar w:fldCharType="end"/>
            </w:r>
          </w:hyperlink>
        </w:p>
        <w:p w14:paraId="6573D141" w14:textId="091C1F2D" w:rsidR="00EA1F4D" w:rsidRPr="003037D2" w:rsidRDefault="00E04035">
          <w:pPr>
            <w:pStyle w:val="TOC3"/>
            <w:tabs>
              <w:tab w:val="left" w:pos="880"/>
              <w:tab w:val="right" w:leader="dot" w:pos="8052"/>
            </w:tabs>
            <w:rPr>
              <w:rFonts w:ascii="Garamond" w:eastAsiaTheme="minorEastAsia" w:hAnsi="Garamond"/>
              <w:noProof/>
              <w:lang w:eastAsia="en-GB"/>
            </w:rPr>
          </w:pPr>
          <w:hyperlink w:anchor="_Toc3967194" w:history="1">
            <w:r w:rsidR="00EA1F4D" w:rsidRPr="003037D2">
              <w:rPr>
                <w:rStyle w:val="Hyperlink"/>
                <w:rFonts w:ascii="Garamond" w:hAnsi="Garamond"/>
                <w:noProof/>
              </w:rPr>
              <w:t>i.</w:t>
            </w:r>
            <w:r w:rsidR="00EA1F4D" w:rsidRPr="003037D2">
              <w:rPr>
                <w:rFonts w:ascii="Garamond" w:eastAsiaTheme="minorEastAsia" w:hAnsi="Garamond"/>
                <w:noProof/>
                <w:lang w:eastAsia="en-GB"/>
              </w:rPr>
              <w:tab/>
            </w:r>
            <w:r w:rsidR="00EA1F4D" w:rsidRPr="003037D2">
              <w:rPr>
                <w:rStyle w:val="Hyperlink"/>
                <w:rFonts w:ascii="Garamond" w:hAnsi="Garamond"/>
                <w:noProof/>
              </w:rPr>
              <w:t>Donne’s spaces of memory</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_Toc3967194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191</w:t>
            </w:r>
            <w:r w:rsidR="00EA1F4D" w:rsidRPr="003037D2">
              <w:rPr>
                <w:rFonts w:ascii="Garamond" w:hAnsi="Garamond"/>
                <w:noProof/>
                <w:webHidden/>
              </w:rPr>
              <w:fldChar w:fldCharType="end"/>
            </w:r>
          </w:hyperlink>
        </w:p>
        <w:p w14:paraId="272F9B9B" w14:textId="604D0510" w:rsidR="00EA1F4D" w:rsidRPr="003037D2" w:rsidRDefault="00E04035">
          <w:pPr>
            <w:pStyle w:val="TOC3"/>
            <w:tabs>
              <w:tab w:val="left" w:pos="880"/>
              <w:tab w:val="right" w:leader="dot" w:pos="8052"/>
            </w:tabs>
            <w:rPr>
              <w:rFonts w:ascii="Garamond" w:eastAsiaTheme="minorEastAsia" w:hAnsi="Garamond"/>
              <w:noProof/>
              <w:lang w:eastAsia="en-GB"/>
            </w:rPr>
          </w:pPr>
          <w:hyperlink w:anchor="_Toc3967195" w:history="1">
            <w:r w:rsidR="00EA1F4D" w:rsidRPr="003037D2">
              <w:rPr>
                <w:rStyle w:val="Hyperlink"/>
                <w:rFonts w:ascii="Garamond" w:hAnsi="Garamond"/>
                <w:noProof/>
              </w:rPr>
              <w:t>ii.</w:t>
            </w:r>
            <w:r w:rsidR="00EA1F4D" w:rsidRPr="003037D2">
              <w:rPr>
                <w:rFonts w:ascii="Garamond" w:eastAsiaTheme="minorEastAsia" w:hAnsi="Garamond"/>
                <w:noProof/>
                <w:lang w:eastAsia="en-GB"/>
              </w:rPr>
              <w:tab/>
            </w:r>
            <w:r w:rsidR="00EA1F4D" w:rsidRPr="003037D2">
              <w:rPr>
                <w:rStyle w:val="Hyperlink"/>
                <w:rFonts w:ascii="Garamond" w:hAnsi="Garamond"/>
                <w:noProof/>
              </w:rPr>
              <w:t>‘For now is our salvation nearer then when we believed’: Donne’s 1619 Sermons and Shelf-Time</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_Toc3967195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200</w:t>
            </w:r>
            <w:r w:rsidR="00EA1F4D" w:rsidRPr="003037D2">
              <w:rPr>
                <w:rFonts w:ascii="Garamond" w:hAnsi="Garamond"/>
                <w:noProof/>
                <w:webHidden/>
              </w:rPr>
              <w:fldChar w:fldCharType="end"/>
            </w:r>
          </w:hyperlink>
        </w:p>
        <w:p w14:paraId="68715FD9" w14:textId="68FF93A5" w:rsidR="00EA1F4D" w:rsidRPr="003037D2" w:rsidRDefault="00E04035">
          <w:pPr>
            <w:pStyle w:val="TOC1"/>
            <w:tabs>
              <w:tab w:val="right" w:leader="dot" w:pos="8052"/>
            </w:tabs>
            <w:rPr>
              <w:rFonts w:ascii="Garamond" w:eastAsiaTheme="minorEastAsia" w:hAnsi="Garamond"/>
              <w:noProof/>
              <w:lang w:eastAsia="en-GB"/>
            </w:rPr>
          </w:pPr>
          <w:hyperlink w:anchor="_Toc3967196" w:history="1">
            <w:r w:rsidR="00EA1F4D" w:rsidRPr="003037D2">
              <w:rPr>
                <w:rStyle w:val="Hyperlink"/>
                <w:rFonts w:ascii="Garamond" w:eastAsia="SimSun" w:hAnsi="Garamond" w:cs="Times New Roman"/>
                <w:b/>
                <w:bCs/>
                <w:noProof/>
              </w:rPr>
              <w:t>CONCLUSION</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_Toc3967196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211</w:t>
            </w:r>
            <w:r w:rsidR="00EA1F4D" w:rsidRPr="003037D2">
              <w:rPr>
                <w:rFonts w:ascii="Garamond" w:hAnsi="Garamond"/>
                <w:noProof/>
                <w:webHidden/>
              </w:rPr>
              <w:fldChar w:fldCharType="end"/>
            </w:r>
          </w:hyperlink>
        </w:p>
        <w:p w14:paraId="6077002A" w14:textId="5D6F274E" w:rsidR="00EA1F4D" w:rsidRPr="003037D2" w:rsidRDefault="00E04035">
          <w:pPr>
            <w:pStyle w:val="TOC2"/>
            <w:rPr>
              <w:rFonts w:eastAsiaTheme="minorEastAsia" w:cstheme="minorBidi"/>
              <w:lang w:eastAsia="en-GB"/>
            </w:rPr>
          </w:pPr>
          <w:hyperlink w:anchor="_Toc3967197" w:history="1">
            <w:r w:rsidR="00EA1F4D" w:rsidRPr="004A155C">
              <w:rPr>
                <w:rStyle w:val="Hyperlink"/>
              </w:rPr>
              <w:t>I.</w:t>
            </w:r>
            <w:r w:rsidR="00EA1F4D" w:rsidRPr="004A155C">
              <w:rPr>
                <w:rFonts w:eastAsiaTheme="minorEastAsia" w:cstheme="minorBidi"/>
                <w:lang w:eastAsia="en-GB"/>
              </w:rPr>
              <w:tab/>
            </w:r>
            <w:r w:rsidR="00EA1F4D" w:rsidRPr="004A155C">
              <w:rPr>
                <w:rStyle w:val="Hyperlink"/>
              </w:rPr>
              <w:t>Industrious timekeeping</w:t>
            </w:r>
            <w:r w:rsidR="00EA1F4D" w:rsidRPr="003037D2">
              <w:rPr>
                <w:webHidden/>
              </w:rPr>
              <w:tab/>
            </w:r>
            <w:r w:rsidR="00EA1F4D" w:rsidRPr="003037D2">
              <w:rPr>
                <w:webHidden/>
              </w:rPr>
              <w:fldChar w:fldCharType="begin"/>
            </w:r>
            <w:r w:rsidR="00EA1F4D" w:rsidRPr="003037D2">
              <w:rPr>
                <w:webHidden/>
              </w:rPr>
              <w:instrText xml:space="preserve"> PAGEREF _Toc3967197 \h </w:instrText>
            </w:r>
            <w:r w:rsidR="00EA1F4D" w:rsidRPr="003037D2">
              <w:rPr>
                <w:webHidden/>
              </w:rPr>
            </w:r>
            <w:r w:rsidR="00EA1F4D" w:rsidRPr="003037D2">
              <w:rPr>
                <w:webHidden/>
              </w:rPr>
              <w:fldChar w:fldCharType="separate"/>
            </w:r>
            <w:r w:rsidR="002D2E5D">
              <w:rPr>
                <w:webHidden/>
              </w:rPr>
              <w:t>213</w:t>
            </w:r>
            <w:r w:rsidR="00EA1F4D" w:rsidRPr="003037D2">
              <w:rPr>
                <w:webHidden/>
              </w:rPr>
              <w:fldChar w:fldCharType="end"/>
            </w:r>
          </w:hyperlink>
        </w:p>
        <w:p w14:paraId="504E4085" w14:textId="1C39D4A5" w:rsidR="00EA1F4D" w:rsidRPr="003037D2" w:rsidRDefault="00E04035">
          <w:pPr>
            <w:pStyle w:val="TOC2"/>
            <w:rPr>
              <w:rFonts w:eastAsiaTheme="minorEastAsia" w:cstheme="minorBidi"/>
              <w:lang w:eastAsia="en-GB"/>
            </w:rPr>
          </w:pPr>
          <w:hyperlink w:anchor="_Toc3967198" w:history="1">
            <w:r w:rsidR="00EA1F4D" w:rsidRPr="004A155C">
              <w:rPr>
                <w:rStyle w:val="Hyperlink"/>
              </w:rPr>
              <w:t>II.</w:t>
            </w:r>
            <w:r w:rsidR="00EA1F4D" w:rsidRPr="004A155C">
              <w:rPr>
                <w:rFonts w:eastAsiaTheme="minorEastAsia" w:cstheme="minorBidi"/>
                <w:lang w:eastAsia="en-GB"/>
              </w:rPr>
              <w:tab/>
            </w:r>
            <w:r w:rsidR="00EA1F4D" w:rsidRPr="004A155C">
              <w:rPr>
                <w:rStyle w:val="Hyperlink"/>
              </w:rPr>
              <w:t>Reworking Objects</w:t>
            </w:r>
            <w:r w:rsidR="00EA1F4D" w:rsidRPr="003037D2">
              <w:rPr>
                <w:webHidden/>
              </w:rPr>
              <w:tab/>
            </w:r>
            <w:r w:rsidR="00EA1F4D" w:rsidRPr="003037D2">
              <w:rPr>
                <w:webHidden/>
              </w:rPr>
              <w:fldChar w:fldCharType="begin"/>
            </w:r>
            <w:r w:rsidR="00EA1F4D" w:rsidRPr="003037D2">
              <w:rPr>
                <w:webHidden/>
              </w:rPr>
              <w:instrText xml:space="preserve"> PAGEREF _Toc3967198 \h </w:instrText>
            </w:r>
            <w:r w:rsidR="00EA1F4D" w:rsidRPr="003037D2">
              <w:rPr>
                <w:webHidden/>
              </w:rPr>
            </w:r>
            <w:r w:rsidR="00EA1F4D" w:rsidRPr="003037D2">
              <w:rPr>
                <w:webHidden/>
              </w:rPr>
              <w:fldChar w:fldCharType="separate"/>
            </w:r>
            <w:r w:rsidR="002D2E5D">
              <w:rPr>
                <w:webHidden/>
              </w:rPr>
              <w:t>217</w:t>
            </w:r>
            <w:r w:rsidR="00EA1F4D" w:rsidRPr="003037D2">
              <w:rPr>
                <w:webHidden/>
              </w:rPr>
              <w:fldChar w:fldCharType="end"/>
            </w:r>
          </w:hyperlink>
        </w:p>
        <w:p w14:paraId="650E126B" w14:textId="0CC927CE" w:rsidR="00EA1F4D" w:rsidRPr="003037D2" w:rsidRDefault="00E04035">
          <w:pPr>
            <w:pStyle w:val="TOC1"/>
            <w:tabs>
              <w:tab w:val="right" w:leader="dot" w:pos="8052"/>
            </w:tabs>
            <w:rPr>
              <w:rFonts w:ascii="Garamond" w:eastAsiaTheme="minorEastAsia" w:hAnsi="Garamond"/>
              <w:noProof/>
              <w:lang w:eastAsia="en-GB"/>
            </w:rPr>
          </w:pPr>
          <w:hyperlink w:anchor="_Toc3967199" w:history="1">
            <w:r w:rsidR="00EA1F4D" w:rsidRPr="003037D2">
              <w:rPr>
                <w:rStyle w:val="Hyperlink"/>
                <w:rFonts w:ascii="Garamond" w:hAnsi="Garamond"/>
                <w:b/>
                <w:bCs/>
                <w:noProof/>
              </w:rPr>
              <w:t>Figures</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_Toc3967199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221</w:t>
            </w:r>
            <w:r w:rsidR="00EA1F4D" w:rsidRPr="003037D2">
              <w:rPr>
                <w:rFonts w:ascii="Garamond" w:hAnsi="Garamond"/>
                <w:noProof/>
                <w:webHidden/>
              </w:rPr>
              <w:fldChar w:fldCharType="end"/>
            </w:r>
          </w:hyperlink>
        </w:p>
        <w:p w14:paraId="67E5867C" w14:textId="177E6A4A" w:rsidR="00EA1F4D" w:rsidRPr="003037D2" w:rsidRDefault="00E04035">
          <w:pPr>
            <w:pStyle w:val="TOC1"/>
            <w:tabs>
              <w:tab w:val="right" w:leader="dot" w:pos="8052"/>
            </w:tabs>
            <w:rPr>
              <w:rFonts w:ascii="Garamond" w:eastAsiaTheme="minorEastAsia" w:hAnsi="Garamond"/>
              <w:noProof/>
              <w:lang w:eastAsia="en-GB"/>
            </w:rPr>
          </w:pPr>
          <w:hyperlink w:anchor="_Toc3967200" w:history="1">
            <w:r w:rsidR="00EA1F4D" w:rsidRPr="003037D2">
              <w:rPr>
                <w:rStyle w:val="Hyperlink"/>
                <w:rFonts w:ascii="Garamond" w:hAnsi="Garamond"/>
                <w:b/>
                <w:noProof/>
              </w:rPr>
              <w:t>Bibliography</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_Toc3967200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272</w:t>
            </w:r>
            <w:r w:rsidR="00EA1F4D" w:rsidRPr="003037D2">
              <w:rPr>
                <w:rFonts w:ascii="Garamond" w:hAnsi="Garamond"/>
                <w:noProof/>
                <w:webHidden/>
              </w:rPr>
              <w:fldChar w:fldCharType="end"/>
            </w:r>
          </w:hyperlink>
        </w:p>
        <w:p w14:paraId="6B65274C" w14:textId="56300340" w:rsidR="00EA1F4D" w:rsidRPr="003037D2" w:rsidRDefault="00E04035">
          <w:pPr>
            <w:pStyle w:val="TOC2"/>
            <w:rPr>
              <w:rFonts w:eastAsiaTheme="minorEastAsia" w:cstheme="minorBidi"/>
              <w:lang w:eastAsia="en-GB"/>
            </w:rPr>
          </w:pPr>
          <w:hyperlink w:anchor="_Toc3967201" w:history="1">
            <w:r w:rsidR="00EA1F4D" w:rsidRPr="003037D2">
              <w:rPr>
                <w:rStyle w:val="Hyperlink"/>
                <w:iCs/>
              </w:rPr>
              <w:t>I.</w:t>
            </w:r>
            <w:r w:rsidR="00EA1F4D" w:rsidRPr="003037D2">
              <w:rPr>
                <w:rFonts w:eastAsiaTheme="minorEastAsia" w:cstheme="minorBidi"/>
                <w:lang w:eastAsia="en-GB"/>
              </w:rPr>
              <w:tab/>
            </w:r>
            <w:r w:rsidR="00EA1F4D" w:rsidRPr="003037D2">
              <w:rPr>
                <w:rStyle w:val="Hyperlink"/>
                <w:iCs/>
              </w:rPr>
              <w:t>Primary Materials</w:t>
            </w:r>
            <w:r w:rsidR="00EA1F4D" w:rsidRPr="003037D2">
              <w:rPr>
                <w:webHidden/>
              </w:rPr>
              <w:tab/>
            </w:r>
            <w:r w:rsidR="00EA1F4D" w:rsidRPr="003037D2">
              <w:rPr>
                <w:webHidden/>
              </w:rPr>
              <w:fldChar w:fldCharType="begin"/>
            </w:r>
            <w:r w:rsidR="00EA1F4D" w:rsidRPr="003037D2">
              <w:rPr>
                <w:webHidden/>
              </w:rPr>
              <w:instrText xml:space="preserve"> PAGEREF _Toc3967201 \h </w:instrText>
            </w:r>
            <w:r w:rsidR="00EA1F4D" w:rsidRPr="003037D2">
              <w:rPr>
                <w:webHidden/>
              </w:rPr>
            </w:r>
            <w:r w:rsidR="00EA1F4D" w:rsidRPr="003037D2">
              <w:rPr>
                <w:webHidden/>
              </w:rPr>
              <w:fldChar w:fldCharType="separate"/>
            </w:r>
            <w:r w:rsidR="002D2E5D">
              <w:rPr>
                <w:webHidden/>
              </w:rPr>
              <w:t>272</w:t>
            </w:r>
            <w:r w:rsidR="00EA1F4D" w:rsidRPr="003037D2">
              <w:rPr>
                <w:webHidden/>
              </w:rPr>
              <w:fldChar w:fldCharType="end"/>
            </w:r>
          </w:hyperlink>
        </w:p>
        <w:p w14:paraId="22A1902A" w14:textId="22652657" w:rsidR="00EA1F4D" w:rsidRPr="003037D2" w:rsidRDefault="00E04035">
          <w:pPr>
            <w:pStyle w:val="TOC2"/>
            <w:rPr>
              <w:rFonts w:eastAsiaTheme="minorEastAsia" w:cstheme="minorBidi"/>
              <w:lang w:eastAsia="en-GB"/>
            </w:rPr>
          </w:pPr>
          <w:hyperlink w:anchor="_Toc3967202" w:history="1">
            <w:r w:rsidR="00EA1F4D" w:rsidRPr="003037D2">
              <w:rPr>
                <w:rStyle w:val="Hyperlink"/>
                <w:iCs/>
              </w:rPr>
              <w:t>i.</w:t>
            </w:r>
            <w:r w:rsidR="00EA1F4D" w:rsidRPr="003037D2">
              <w:rPr>
                <w:rFonts w:eastAsiaTheme="minorEastAsia" w:cstheme="minorBidi"/>
                <w:lang w:eastAsia="en-GB"/>
              </w:rPr>
              <w:tab/>
            </w:r>
            <w:r w:rsidR="00EA1F4D" w:rsidRPr="003037D2">
              <w:rPr>
                <w:rStyle w:val="Hyperlink"/>
                <w:iCs/>
              </w:rPr>
              <w:t>Bibles</w:t>
            </w:r>
            <w:r w:rsidR="00EA1F4D" w:rsidRPr="003037D2">
              <w:rPr>
                <w:webHidden/>
              </w:rPr>
              <w:tab/>
            </w:r>
            <w:r w:rsidR="00EA1F4D" w:rsidRPr="003037D2">
              <w:rPr>
                <w:webHidden/>
              </w:rPr>
              <w:fldChar w:fldCharType="begin"/>
            </w:r>
            <w:r w:rsidR="00EA1F4D" w:rsidRPr="003037D2">
              <w:rPr>
                <w:webHidden/>
              </w:rPr>
              <w:instrText xml:space="preserve"> PAGEREF _Toc3967202 \h </w:instrText>
            </w:r>
            <w:r w:rsidR="00EA1F4D" w:rsidRPr="003037D2">
              <w:rPr>
                <w:webHidden/>
              </w:rPr>
            </w:r>
            <w:r w:rsidR="00EA1F4D" w:rsidRPr="003037D2">
              <w:rPr>
                <w:webHidden/>
              </w:rPr>
              <w:fldChar w:fldCharType="separate"/>
            </w:r>
            <w:r w:rsidR="002D2E5D">
              <w:rPr>
                <w:webHidden/>
              </w:rPr>
              <w:t>272</w:t>
            </w:r>
            <w:r w:rsidR="00EA1F4D" w:rsidRPr="003037D2">
              <w:rPr>
                <w:webHidden/>
              </w:rPr>
              <w:fldChar w:fldCharType="end"/>
            </w:r>
          </w:hyperlink>
        </w:p>
        <w:p w14:paraId="2B2450FC" w14:textId="4F71A4F8" w:rsidR="00EA1F4D" w:rsidRPr="003037D2" w:rsidRDefault="00E04035">
          <w:pPr>
            <w:pStyle w:val="TOC2"/>
            <w:rPr>
              <w:rFonts w:eastAsiaTheme="minorEastAsia" w:cstheme="minorBidi"/>
              <w:lang w:eastAsia="en-GB"/>
            </w:rPr>
          </w:pPr>
          <w:hyperlink w:anchor="_Toc3967203" w:history="1">
            <w:r w:rsidR="00EA1F4D" w:rsidRPr="003037D2">
              <w:rPr>
                <w:rStyle w:val="Hyperlink"/>
                <w:iCs/>
              </w:rPr>
              <w:t>ii.</w:t>
            </w:r>
            <w:r w:rsidR="00EA1F4D" w:rsidRPr="003037D2">
              <w:rPr>
                <w:rFonts w:eastAsiaTheme="minorEastAsia" w:cstheme="minorBidi"/>
                <w:lang w:eastAsia="en-GB"/>
              </w:rPr>
              <w:tab/>
            </w:r>
            <w:r w:rsidR="00EA1F4D" w:rsidRPr="003037D2">
              <w:rPr>
                <w:rStyle w:val="Hyperlink"/>
                <w:iCs/>
              </w:rPr>
              <w:t>Books</w:t>
            </w:r>
            <w:r w:rsidR="00EA1F4D" w:rsidRPr="003037D2">
              <w:rPr>
                <w:webHidden/>
              </w:rPr>
              <w:tab/>
            </w:r>
            <w:r w:rsidR="00EA1F4D" w:rsidRPr="003037D2">
              <w:rPr>
                <w:webHidden/>
              </w:rPr>
              <w:fldChar w:fldCharType="begin"/>
            </w:r>
            <w:r w:rsidR="00EA1F4D" w:rsidRPr="003037D2">
              <w:rPr>
                <w:webHidden/>
              </w:rPr>
              <w:instrText xml:space="preserve"> PAGEREF _Toc3967203 \h </w:instrText>
            </w:r>
            <w:r w:rsidR="00EA1F4D" w:rsidRPr="003037D2">
              <w:rPr>
                <w:webHidden/>
              </w:rPr>
            </w:r>
            <w:r w:rsidR="00EA1F4D" w:rsidRPr="003037D2">
              <w:rPr>
                <w:webHidden/>
              </w:rPr>
              <w:fldChar w:fldCharType="separate"/>
            </w:r>
            <w:r w:rsidR="002D2E5D">
              <w:rPr>
                <w:webHidden/>
              </w:rPr>
              <w:t>272</w:t>
            </w:r>
            <w:r w:rsidR="00EA1F4D" w:rsidRPr="003037D2">
              <w:rPr>
                <w:webHidden/>
              </w:rPr>
              <w:fldChar w:fldCharType="end"/>
            </w:r>
          </w:hyperlink>
        </w:p>
        <w:p w14:paraId="2B439017" w14:textId="0E85562F" w:rsidR="00EA1F4D" w:rsidRPr="003037D2" w:rsidRDefault="00E04035">
          <w:pPr>
            <w:pStyle w:val="TOC2"/>
            <w:rPr>
              <w:rFonts w:eastAsiaTheme="minorEastAsia" w:cstheme="minorBidi"/>
              <w:lang w:eastAsia="en-GB"/>
            </w:rPr>
          </w:pPr>
          <w:hyperlink w:anchor="_Toc3967204" w:history="1">
            <w:r w:rsidR="00EA1F4D" w:rsidRPr="003037D2">
              <w:rPr>
                <w:rStyle w:val="Hyperlink"/>
                <w:iCs/>
              </w:rPr>
              <w:t>iii.</w:t>
            </w:r>
            <w:r w:rsidR="00EA1F4D" w:rsidRPr="003037D2">
              <w:rPr>
                <w:rFonts w:eastAsiaTheme="minorEastAsia" w:cstheme="minorBidi"/>
                <w:lang w:eastAsia="en-GB"/>
              </w:rPr>
              <w:tab/>
            </w:r>
            <w:r w:rsidR="00EA1F4D" w:rsidRPr="003037D2">
              <w:rPr>
                <w:rStyle w:val="Hyperlink"/>
                <w:iCs/>
              </w:rPr>
              <w:t>Manuscripts</w:t>
            </w:r>
            <w:r w:rsidR="00EA1F4D" w:rsidRPr="003037D2">
              <w:rPr>
                <w:webHidden/>
              </w:rPr>
              <w:tab/>
            </w:r>
            <w:r w:rsidR="00EA1F4D" w:rsidRPr="003037D2">
              <w:rPr>
                <w:webHidden/>
              </w:rPr>
              <w:fldChar w:fldCharType="begin"/>
            </w:r>
            <w:r w:rsidR="00EA1F4D" w:rsidRPr="003037D2">
              <w:rPr>
                <w:webHidden/>
              </w:rPr>
              <w:instrText xml:space="preserve"> PAGEREF _Toc3967204 \h </w:instrText>
            </w:r>
            <w:r w:rsidR="00EA1F4D" w:rsidRPr="003037D2">
              <w:rPr>
                <w:webHidden/>
              </w:rPr>
            </w:r>
            <w:r w:rsidR="00EA1F4D" w:rsidRPr="003037D2">
              <w:rPr>
                <w:webHidden/>
              </w:rPr>
              <w:fldChar w:fldCharType="separate"/>
            </w:r>
            <w:r w:rsidR="002D2E5D">
              <w:rPr>
                <w:webHidden/>
              </w:rPr>
              <w:t>277</w:t>
            </w:r>
            <w:r w:rsidR="00EA1F4D" w:rsidRPr="003037D2">
              <w:rPr>
                <w:webHidden/>
              </w:rPr>
              <w:fldChar w:fldCharType="end"/>
            </w:r>
          </w:hyperlink>
        </w:p>
        <w:p w14:paraId="59FB9334" w14:textId="629928E8" w:rsidR="00EA1F4D" w:rsidRPr="003037D2" w:rsidRDefault="00E04035">
          <w:pPr>
            <w:pStyle w:val="TOC2"/>
            <w:rPr>
              <w:rFonts w:eastAsiaTheme="minorEastAsia" w:cstheme="minorBidi"/>
              <w:lang w:eastAsia="en-GB"/>
            </w:rPr>
          </w:pPr>
          <w:hyperlink w:anchor="_Toc3967205" w:history="1">
            <w:r w:rsidR="00EA1F4D" w:rsidRPr="003037D2">
              <w:rPr>
                <w:rStyle w:val="Hyperlink"/>
                <w:iCs/>
              </w:rPr>
              <w:t>II.</w:t>
            </w:r>
            <w:r w:rsidR="00EA1F4D" w:rsidRPr="003037D2">
              <w:rPr>
                <w:rFonts w:eastAsiaTheme="minorEastAsia" w:cstheme="minorBidi"/>
                <w:lang w:eastAsia="en-GB"/>
              </w:rPr>
              <w:tab/>
            </w:r>
            <w:r w:rsidR="00EA1F4D" w:rsidRPr="003037D2">
              <w:rPr>
                <w:rStyle w:val="Hyperlink"/>
                <w:iCs/>
              </w:rPr>
              <w:t>Secondary Literature</w:t>
            </w:r>
            <w:r w:rsidR="00EA1F4D" w:rsidRPr="003037D2">
              <w:rPr>
                <w:webHidden/>
              </w:rPr>
              <w:tab/>
            </w:r>
            <w:r w:rsidR="00EA1F4D" w:rsidRPr="003037D2">
              <w:rPr>
                <w:webHidden/>
              </w:rPr>
              <w:fldChar w:fldCharType="begin"/>
            </w:r>
            <w:r w:rsidR="00EA1F4D" w:rsidRPr="003037D2">
              <w:rPr>
                <w:webHidden/>
              </w:rPr>
              <w:instrText xml:space="preserve"> PAGEREF _Toc3967205 \h </w:instrText>
            </w:r>
            <w:r w:rsidR="00EA1F4D" w:rsidRPr="003037D2">
              <w:rPr>
                <w:webHidden/>
              </w:rPr>
            </w:r>
            <w:r w:rsidR="00EA1F4D" w:rsidRPr="003037D2">
              <w:rPr>
                <w:webHidden/>
              </w:rPr>
              <w:fldChar w:fldCharType="separate"/>
            </w:r>
            <w:r w:rsidR="002D2E5D">
              <w:rPr>
                <w:webHidden/>
              </w:rPr>
              <w:t>278</w:t>
            </w:r>
            <w:r w:rsidR="00EA1F4D" w:rsidRPr="003037D2">
              <w:rPr>
                <w:webHidden/>
              </w:rPr>
              <w:fldChar w:fldCharType="end"/>
            </w:r>
          </w:hyperlink>
        </w:p>
        <w:p w14:paraId="234B0B5B" w14:textId="65C794D3" w:rsidR="00EA1F4D" w:rsidRPr="003037D2" w:rsidRDefault="00E04035">
          <w:pPr>
            <w:pStyle w:val="TOC1"/>
            <w:tabs>
              <w:tab w:val="right" w:leader="dot" w:pos="8052"/>
            </w:tabs>
            <w:rPr>
              <w:rFonts w:ascii="Garamond" w:eastAsiaTheme="minorEastAsia" w:hAnsi="Garamond"/>
              <w:noProof/>
              <w:lang w:eastAsia="en-GB"/>
            </w:rPr>
          </w:pPr>
          <w:hyperlink w:anchor="_Toc3967206" w:history="1">
            <w:r w:rsidR="00EA1F4D" w:rsidRPr="003037D2">
              <w:rPr>
                <w:rStyle w:val="Hyperlink"/>
                <w:rFonts w:ascii="Garamond" w:hAnsi="Garamond"/>
                <w:noProof/>
                <w:lang w:eastAsia="zh-CN"/>
              </w:rPr>
              <w:t>Appendix I. Annotated almanacs in the Huntington Library</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_Toc3967206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293</w:t>
            </w:r>
            <w:r w:rsidR="00EA1F4D" w:rsidRPr="003037D2">
              <w:rPr>
                <w:rFonts w:ascii="Garamond" w:hAnsi="Garamond"/>
                <w:noProof/>
                <w:webHidden/>
              </w:rPr>
              <w:fldChar w:fldCharType="end"/>
            </w:r>
          </w:hyperlink>
        </w:p>
        <w:p w14:paraId="10FF7741" w14:textId="4236BDA3" w:rsidR="00EA1F4D" w:rsidRPr="003037D2" w:rsidRDefault="00E04035">
          <w:pPr>
            <w:pStyle w:val="TOC1"/>
            <w:tabs>
              <w:tab w:val="right" w:leader="dot" w:pos="8052"/>
            </w:tabs>
            <w:rPr>
              <w:rFonts w:ascii="Garamond" w:eastAsiaTheme="minorEastAsia" w:hAnsi="Garamond"/>
              <w:noProof/>
              <w:lang w:eastAsia="en-GB"/>
            </w:rPr>
          </w:pPr>
          <w:hyperlink w:anchor="_Toc3967207" w:history="1">
            <w:r w:rsidR="00EA1F4D" w:rsidRPr="003037D2">
              <w:rPr>
                <w:rStyle w:val="Hyperlink"/>
                <w:rFonts w:ascii="Garamond" w:hAnsi="Garamond"/>
                <w:noProof/>
                <w:lang w:eastAsia="zh-CN"/>
              </w:rPr>
              <w:t>Appendix</w:t>
            </w:r>
            <w:r w:rsidR="00EA1F4D" w:rsidRPr="003037D2">
              <w:rPr>
                <w:rStyle w:val="Hyperlink"/>
                <w:rFonts w:ascii="Garamond" w:hAnsi="Garamond"/>
                <w:noProof/>
                <w:lang w:val="fr-FR" w:eastAsia="zh-CN"/>
              </w:rPr>
              <w:t xml:space="preserve"> II. Sermon Title Page Data</w:t>
            </w:r>
            <w:r w:rsidR="00EA1F4D" w:rsidRPr="003037D2">
              <w:rPr>
                <w:rFonts w:ascii="Garamond" w:hAnsi="Garamond"/>
                <w:noProof/>
                <w:webHidden/>
              </w:rPr>
              <w:tab/>
            </w:r>
            <w:r w:rsidR="00EA1F4D" w:rsidRPr="003037D2">
              <w:rPr>
                <w:rFonts w:ascii="Garamond" w:hAnsi="Garamond"/>
                <w:noProof/>
                <w:webHidden/>
              </w:rPr>
              <w:fldChar w:fldCharType="begin"/>
            </w:r>
            <w:r w:rsidR="00EA1F4D" w:rsidRPr="003037D2">
              <w:rPr>
                <w:rFonts w:ascii="Garamond" w:hAnsi="Garamond"/>
                <w:noProof/>
                <w:webHidden/>
              </w:rPr>
              <w:instrText xml:space="preserve"> PAGEREF _Toc3967207 \h </w:instrText>
            </w:r>
            <w:r w:rsidR="00EA1F4D" w:rsidRPr="003037D2">
              <w:rPr>
                <w:rFonts w:ascii="Garamond" w:hAnsi="Garamond"/>
                <w:noProof/>
                <w:webHidden/>
              </w:rPr>
            </w:r>
            <w:r w:rsidR="00EA1F4D" w:rsidRPr="003037D2">
              <w:rPr>
                <w:rFonts w:ascii="Garamond" w:hAnsi="Garamond"/>
                <w:noProof/>
                <w:webHidden/>
              </w:rPr>
              <w:fldChar w:fldCharType="separate"/>
            </w:r>
            <w:r w:rsidR="002D2E5D">
              <w:rPr>
                <w:rFonts w:ascii="Garamond" w:hAnsi="Garamond"/>
                <w:noProof/>
                <w:webHidden/>
              </w:rPr>
              <w:t>300</w:t>
            </w:r>
            <w:r w:rsidR="00EA1F4D" w:rsidRPr="003037D2">
              <w:rPr>
                <w:rFonts w:ascii="Garamond" w:hAnsi="Garamond"/>
                <w:noProof/>
                <w:webHidden/>
              </w:rPr>
              <w:fldChar w:fldCharType="end"/>
            </w:r>
          </w:hyperlink>
        </w:p>
        <w:p w14:paraId="794F11EB" w14:textId="2680E243" w:rsidR="00162224" w:rsidRPr="003037D2" w:rsidRDefault="00162224" w:rsidP="00162224">
          <w:pPr>
            <w:spacing w:line="360" w:lineRule="auto"/>
            <w:rPr>
              <w:rFonts w:ascii="Garamond" w:hAnsi="Garamond"/>
            </w:rPr>
          </w:pPr>
          <w:r w:rsidRPr="003037D2">
            <w:rPr>
              <w:rFonts w:ascii="Garamond" w:hAnsi="Garamond"/>
              <w:b/>
              <w:bCs/>
              <w:noProof/>
            </w:rPr>
            <w:fldChar w:fldCharType="end"/>
          </w:r>
        </w:p>
      </w:sdtContent>
    </w:sdt>
    <w:p w14:paraId="696F5E94" w14:textId="77777777" w:rsidR="00162224" w:rsidRPr="003037D2" w:rsidRDefault="00162224" w:rsidP="00162224">
      <w:pPr>
        <w:spacing w:line="360" w:lineRule="auto"/>
        <w:rPr>
          <w:rFonts w:ascii="Garamond" w:hAnsi="Garamond"/>
        </w:rPr>
      </w:pPr>
      <w:r w:rsidRPr="003037D2">
        <w:rPr>
          <w:rFonts w:ascii="Garamond" w:hAnsi="Garamond"/>
        </w:rPr>
        <w:br w:type="page"/>
      </w:r>
    </w:p>
    <w:p w14:paraId="708C377E" w14:textId="77777777" w:rsidR="00162224" w:rsidRPr="003037D2" w:rsidRDefault="00162224" w:rsidP="00162224">
      <w:pPr>
        <w:pStyle w:val="Heading2"/>
        <w:numPr>
          <w:ilvl w:val="0"/>
          <w:numId w:val="0"/>
        </w:numPr>
        <w:ind w:left="1080"/>
        <w:jc w:val="center"/>
        <w:rPr>
          <w:i w:val="0"/>
          <w:iCs/>
          <w:sz w:val="28"/>
        </w:rPr>
      </w:pPr>
      <w:bookmarkStart w:id="0" w:name="_Toc3967157"/>
      <w:r w:rsidRPr="003037D2">
        <w:rPr>
          <w:i w:val="0"/>
          <w:iCs/>
          <w:sz w:val="28"/>
        </w:rPr>
        <w:lastRenderedPageBreak/>
        <w:t>Table of Figures</w:t>
      </w:r>
      <w:bookmarkEnd w:id="0"/>
      <w:r w:rsidRPr="003037D2">
        <w:rPr>
          <w:i w:val="0"/>
          <w:iCs/>
          <w:sz w:val="28"/>
        </w:rPr>
        <w:t xml:space="preserve"> </w:t>
      </w:r>
    </w:p>
    <w:p w14:paraId="4E39D3E9" w14:textId="77777777" w:rsidR="00162224" w:rsidRPr="003037D2" w:rsidRDefault="00162224" w:rsidP="00162224">
      <w:pPr>
        <w:rPr>
          <w:rFonts w:ascii="Garamond" w:hAnsi="Garamond"/>
        </w:rPr>
      </w:pPr>
    </w:p>
    <w:p w14:paraId="197A1325" w14:textId="4607606A" w:rsidR="001117A3" w:rsidRPr="003037D2" w:rsidRDefault="00162224">
      <w:pPr>
        <w:pStyle w:val="TableofFigures"/>
        <w:tabs>
          <w:tab w:val="right" w:leader="dot" w:pos="8052"/>
        </w:tabs>
        <w:rPr>
          <w:rFonts w:ascii="Garamond" w:eastAsiaTheme="minorEastAsia" w:hAnsi="Garamond"/>
          <w:noProof/>
          <w:lang w:eastAsia="en-GB"/>
        </w:rPr>
      </w:pPr>
      <w:r w:rsidRPr="003037D2">
        <w:rPr>
          <w:rFonts w:ascii="Garamond" w:hAnsi="Garamond"/>
          <w:i/>
          <w:iCs/>
        </w:rPr>
        <w:fldChar w:fldCharType="begin"/>
      </w:r>
      <w:r w:rsidRPr="003037D2">
        <w:rPr>
          <w:rFonts w:ascii="Garamond" w:hAnsi="Garamond"/>
          <w:i/>
          <w:iCs/>
        </w:rPr>
        <w:instrText xml:space="preserve"> TOC \h \z \c "Figure" </w:instrText>
      </w:r>
      <w:r w:rsidRPr="003037D2">
        <w:rPr>
          <w:rFonts w:ascii="Garamond" w:hAnsi="Garamond"/>
          <w:i/>
          <w:iCs/>
        </w:rPr>
        <w:fldChar w:fldCharType="separate"/>
      </w:r>
      <w:hyperlink w:anchor="_Toc3973217" w:history="1">
        <w:r w:rsidR="001117A3" w:rsidRPr="003037D2">
          <w:rPr>
            <w:rStyle w:val="Hyperlink"/>
            <w:rFonts w:ascii="Garamond" w:hAnsi="Garamond"/>
            <w:noProof/>
          </w:rPr>
          <w:t xml:space="preserve">Figure 1 </w:t>
        </w:r>
        <w:r w:rsidR="0002406D">
          <w:rPr>
            <w:rStyle w:val="Hyperlink"/>
            <w:rFonts w:ascii="Garamond" w:hAnsi="Garamond"/>
            <w:noProof/>
          </w:rPr>
          <w:t>‘</w:t>
        </w:r>
        <w:r w:rsidR="001117A3" w:rsidRPr="003037D2">
          <w:rPr>
            <w:rStyle w:val="Hyperlink"/>
            <w:rFonts w:ascii="Garamond" w:hAnsi="Garamond"/>
            <w:noProof/>
          </w:rPr>
          <w:t>The Triumph of Time</w:t>
        </w:r>
        <w:r w:rsidR="0002406D">
          <w:rPr>
            <w:rStyle w:val="Hyperlink"/>
            <w:rFonts w:ascii="Garamond" w:hAnsi="Garamond"/>
            <w:noProof/>
          </w:rPr>
          <w:t>’</w:t>
        </w:r>
        <w:r w:rsidR="001117A3" w:rsidRPr="003037D2">
          <w:rPr>
            <w:rStyle w:val="Hyperlink"/>
            <w:rFonts w:ascii="Garamond" w:hAnsi="Garamond"/>
            <w:noProof/>
          </w:rPr>
          <w:t>, after Pieter Coecke van Aelst (1502 -1550), Southern Netherlands, Rijksmusem, Amsterdam, c. 1530 - 1540</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_Toc3973217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221</w:t>
        </w:r>
        <w:r w:rsidR="001117A3" w:rsidRPr="003037D2">
          <w:rPr>
            <w:rFonts w:ascii="Garamond" w:hAnsi="Garamond"/>
            <w:noProof/>
            <w:webHidden/>
          </w:rPr>
          <w:fldChar w:fldCharType="end"/>
        </w:r>
      </w:hyperlink>
    </w:p>
    <w:p w14:paraId="7B3D2CE2" w14:textId="486459C0" w:rsidR="001117A3" w:rsidRPr="003037D2" w:rsidRDefault="00E04035">
      <w:pPr>
        <w:pStyle w:val="TableofFigures"/>
        <w:tabs>
          <w:tab w:val="right" w:leader="dot" w:pos="8052"/>
        </w:tabs>
        <w:rPr>
          <w:rFonts w:ascii="Garamond" w:eastAsiaTheme="minorEastAsia" w:hAnsi="Garamond"/>
          <w:noProof/>
          <w:lang w:eastAsia="en-GB"/>
        </w:rPr>
      </w:pPr>
      <w:hyperlink w:anchor="_Toc3973218" w:history="1">
        <w:r w:rsidR="001117A3" w:rsidRPr="003037D2">
          <w:rPr>
            <w:rStyle w:val="Hyperlink"/>
            <w:rFonts w:ascii="Garamond" w:hAnsi="Garamond"/>
            <w:noProof/>
          </w:rPr>
          <w:t>Figure 2 Edward Pond (1641), f. 12.</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_Toc3973218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222</w:t>
        </w:r>
        <w:r w:rsidR="001117A3" w:rsidRPr="003037D2">
          <w:rPr>
            <w:rFonts w:ascii="Garamond" w:hAnsi="Garamond"/>
            <w:noProof/>
            <w:webHidden/>
          </w:rPr>
          <w:fldChar w:fldCharType="end"/>
        </w:r>
      </w:hyperlink>
    </w:p>
    <w:p w14:paraId="74EFCE03" w14:textId="7B666A7F" w:rsidR="001117A3" w:rsidRPr="003037D2" w:rsidRDefault="00E04035">
      <w:pPr>
        <w:pStyle w:val="TableofFigures"/>
        <w:tabs>
          <w:tab w:val="right" w:leader="dot" w:pos="8052"/>
        </w:tabs>
        <w:rPr>
          <w:rFonts w:ascii="Garamond" w:eastAsiaTheme="minorEastAsia" w:hAnsi="Garamond"/>
          <w:noProof/>
          <w:lang w:eastAsia="en-GB"/>
        </w:rPr>
      </w:pPr>
      <w:hyperlink w:anchor="_Toc3973219" w:history="1">
        <w:r w:rsidR="001117A3" w:rsidRPr="003037D2">
          <w:rPr>
            <w:rStyle w:val="Hyperlink"/>
            <w:rFonts w:ascii="Garamond" w:hAnsi="Garamond"/>
            <w:noProof/>
          </w:rPr>
          <w:t>Figure 3 Peregrine Rivers (1634), C4v.</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_Toc3973219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223</w:t>
        </w:r>
        <w:r w:rsidR="001117A3" w:rsidRPr="003037D2">
          <w:rPr>
            <w:rFonts w:ascii="Garamond" w:hAnsi="Garamond"/>
            <w:noProof/>
            <w:webHidden/>
          </w:rPr>
          <w:fldChar w:fldCharType="end"/>
        </w:r>
      </w:hyperlink>
    </w:p>
    <w:p w14:paraId="2EBF494B" w14:textId="4C951D8E" w:rsidR="001117A3" w:rsidRPr="003037D2" w:rsidRDefault="00E04035">
      <w:pPr>
        <w:pStyle w:val="TableofFigures"/>
        <w:tabs>
          <w:tab w:val="right" w:leader="dot" w:pos="8052"/>
        </w:tabs>
        <w:rPr>
          <w:rFonts w:ascii="Garamond" w:eastAsiaTheme="minorEastAsia" w:hAnsi="Garamond"/>
          <w:noProof/>
          <w:lang w:eastAsia="en-GB"/>
        </w:rPr>
      </w:pPr>
      <w:hyperlink w:anchor="_Toc3973220" w:history="1">
        <w:r w:rsidR="001117A3" w:rsidRPr="003037D2">
          <w:rPr>
            <w:rStyle w:val="Hyperlink"/>
            <w:rFonts w:ascii="Garamond" w:hAnsi="Garamond"/>
            <w:noProof/>
          </w:rPr>
          <w:t xml:space="preserve">Figure 4 Thomas Hill, </w:t>
        </w:r>
        <w:r w:rsidR="001117A3" w:rsidRPr="0002406D">
          <w:rPr>
            <w:rStyle w:val="Hyperlink"/>
            <w:rFonts w:ascii="Garamond" w:hAnsi="Garamond"/>
            <w:i/>
            <w:noProof/>
          </w:rPr>
          <w:t>A Booke of Memorie</w:t>
        </w:r>
        <w:r w:rsidR="001117A3" w:rsidRPr="003037D2">
          <w:rPr>
            <w:rStyle w:val="Hyperlink"/>
            <w:rFonts w:ascii="Garamond" w:hAnsi="Garamond"/>
            <w:noProof/>
          </w:rPr>
          <w:t xml:space="preserve"> (London: 1571), Title page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_Toc3973220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224</w:t>
        </w:r>
        <w:r w:rsidR="001117A3" w:rsidRPr="003037D2">
          <w:rPr>
            <w:rFonts w:ascii="Garamond" w:hAnsi="Garamond"/>
            <w:noProof/>
            <w:webHidden/>
          </w:rPr>
          <w:fldChar w:fldCharType="end"/>
        </w:r>
      </w:hyperlink>
    </w:p>
    <w:p w14:paraId="7B6B93FD" w14:textId="64896AE0" w:rsidR="001117A3" w:rsidRPr="003037D2" w:rsidRDefault="00E04035">
      <w:pPr>
        <w:pStyle w:val="TableofFigures"/>
        <w:tabs>
          <w:tab w:val="right" w:leader="dot" w:pos="8052"/>
        </w:tabs>
        <w:rPr>
          <w:rFonts w:ascii="Garamond" w:eastAsiaTheme="minorEastAsia" w:hAnsi="Garamond"/>
          <w:noProof/>
          <w:lang w:eastAsia="en-GB"/>
        </w:rPr>
      </w:pPr>
      <w:hyperlink w:anchor="_Toc3973221" w:history="1">
        <w:r w:rsidR="001117A3" w:rsidRPr="003037D2">
          <w:rPr>
            <w:rStyle w:val="Hyperlink"/>
            <w:rFonts w:ascii="Garamond" w:hAnsi="Garamond"/>
            <w:noProof/>
          </w:rPr>
          <w:t xml:space="preserve">Figure 5 Thomas Hill, ‘The Manner of watering with a pump in a tabbe’, </w:t>
        </w:r>
        <w:r w:rsidR="001117A3" w:rsidRPr="0002406D">
          <w:rPr>
            <w:rStyle w:val="Hyperlink"/>
            <w:rFonts w:ascii="Garamond" w:hAnsi="Garamond"/>
            <w:i/>
            <w:noProof/>
          </w:rPr>
          <w:t>The Gardener’s Labyrinth</w:t>
        </w:r>
        <w:r w:rsidR="001117A3" w:rsidRPr="003037D2">
          <w:rPr>
            <w:rStyle w:val="Hyperlink"/>
            <w:rFonts w:ascii="Garamond" w:hAnsi="Garamond"/>
            <w:noProof/>
          </w:rPr>
          <w:t xml:space="preserve"> (London: 1557), p. 52. (Early English Books Online)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_Toc3973221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225</w:t>
        </w:r>
        <w:r w:rsidR="001117A3" w:rsidRPr="003037D2">
          <w:rPr>
            <w:rFonts w:ascii="Garamond" w:hAnsi="Garamond"/>
            <w:noProof/>
            <w:webHidden/>
          </w:rPr>
          <w:fldChar w:fldCharType="end"/>
        </w:r>
      </w:hyperlink>
    </w:p>
    <w:p w14:paraId="691957A1" w14:textId="5C415761" w:rsidR="001117A3" w:rsidRPr="003037D2" w:rsidRDefault="00E04035">
      <w:pPr>
        <w:pStyle w:val="TableofFigures"/>
        <w:tabs>
          <w:tab w:val="right" w:leader="dot" w:pos="8052"/>
        </w:tabs>
        <w:rPr>
          <w:rFonts w:ascii="Garamond" w:eastAsiaTheme="minorEastAsia" w:hAnsi="Garamond"/>
          <w:noProof/>
          <w:lang w:eastAsia="en-GB"/>
        </w:rPr>
      </w:pPr>
      <w:hyperlink w:anchor="_Toc3973222" w:history="1">
        <w:r w:rsidR="001117A3" w:rsidRPr="003037D2">
          <w:rPr>
            <w:rStyle w:val="Hyperlink"/>
            <w:rFonts w:ascii="Garamond" w:hAnsi="Garamond"/>
            <w:noProof/>
          </w:rPr>
          <w:t>Figure 6 Nathaniel Nye (1645), f.4 (Early English Books Online)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_Toc3973222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226</w:t>
        </w:r>
        <w:r w:rsidR="001117A3" w:rsidRPr="003037D2">
          <w:rPr>
            <w:rFonts w:ascii="Garamond" w:hAnsi="Garamond"/>
            <w:noProof/>
            <w:webHidden/>
          </w:rPr>
          <w:fldChar w:fldCharType="end"/>
        </w:r>
      </w:hyperlink>
    </w:p>
    <w:p w14:paraId="0C43AC1C" w14:textId="1A9632EE" w:rsidR="001117A3" w:rsidRPr="003037D2" w:rsidRDefault="00E04035">
      <w:pPr>
        <w:pStyle w:val="TableofFigures"/>
        <w:tabs>
          <w:tab w:val="right" w:leader="dot" w:pos="8052"/>
        </w:tabs>
        <w:rPr>
          <w:rFonts w:ascii="Garamond" w:eastAsiaTheme="minorEastAsia" w:hAnsi="Garamond"/>
          <w:noProof/>
          <w:lang w:eastAsia="en-GB"/>
        </w:rPr>
      </w:pPr>
      <w:hyperlink w:anchor="_Toc3973223" w:history="1">
        <w:r w:rsidR="001117A3" w:rsidRPr="003037D2">
          <w:rPr>
            <w:rStyle w:val="Hyperlink"/>
            <w:rFonts w:ascii="Garamond" w:hAnsi="Garamond"/>
            <w:noProof/>
          </w:rPr>
          <w:t>Figure 7 Thomas Kidman (1635), f. 4.  (Early English Books Online)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_Toc3973223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227</w:t>
        </w:r>
        <w:r w:rsidR="001117A3" w:rsidRPr="003037D2">
          <w:rPr>
            <w:rFonts w:ascii="Garamond" w:hAnsi="Garamond"/>
            <w:noProof/>
            <w:webHidden/>
          </w:rPr>
          <w:fldChar w:fldCharType="end"/>
        </w:r>
      </w:hyperlink>
    </w:p>
    <w:p w14:paraId="1B2E61E0" w14:textId="3E308847" w:rsidR="001117A3" w:rsidRPr="003037D2" w:rsidRDefault="00E04035">
      <w:pPr>
        <w:pStyle w:val="TableofFigures"/>
        <w:tabs>
          <w:tab w:val="right" w:leader="dot" w:pos="8052"/>
        </w:tabs>
        <w:rPr>
          <w:rFonts w:ascii="Garamond" w:eastAsiaTheme="minorEastAsia" w:hAnsi="Garamond"/>
          <w:noProof/>
          <w:lang w:eastAsia="en-GB"/>
        </w:rPr>
      </w:pPr>
      <w:hyperlink w:anchor="_Toc3973224" w:history="1">
        <w:r w:rsidR="001117A3" w:rsidRPr="003037D2">
          <w:rPr>
            <w:rStyle w:val="Hyperlink"/>
            <w:rFonts w:ascii="Garamond" w:hAnsi="Garamond"/>
            <w:noProof/>
          </w:rPr>
          <w:t>Figure 8 John White (1635), f. 5. (Early English Books Online)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_Toc3973224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228</w:t>
        </w:r>
        <w:r w:rsidR="001117A3" w:rsidRPr="003037D2">
          <w:rPr>
            <w:rFonts w:ascii="Garamond" w:hAnsi="Garamond"/>
            <w:noProof/>
            <w:webHidden/>
          </w:rPr>
          <w:fldChar w:fldCharType="end"/>
        </w:r>
      </w:hyperlink>
    </w:p>
    <w:p w14:paraId="5D6D8E96" w14:textId="0E84F7A0" w:rsidR="001117A3" w:rsidRPr="003037D2" w:rsidRDefault="00E04035">
      <w:pPr>
        <w:pStyle w:val="TableofFigures"/>
        <w:tabs>
          <w:tab w:val="right" w:leader="dot" w:pos="8052"/>
        </w:tabs>
        <w:rPr>
          <w:rFonts w:ascii="Garamond" w:eastAsiaTheme="minorEastAsia" w:hAnsi="Garamond"/>
          <w:noProof/>
          <w:lang w:eastAsia="en-GB"/>
        </w:rPr>
      </w:pPr>
      <w:hyperlink w:anchor="_Toc3973225" w:history="1">
        <w:r w:rsidR="001117A3" w:rsidRPr="003037D2">
          <w:rPr>
            <w:rStyle w:val="Hyperlink"/>
            <w:rFonts w:ascii="Garamond" w:hAnsi="Garamond"/>
            <w:noProof/>
          </w:rPr>
          <w:t>Figure 9 Thomas Gallen (1648), f. 4.</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_Toc3973225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229</w:t>
        </w:r>
        <w:r w:rsidR="001117A3" w:rsidRPr="003037D2">
          <w:rPr>
            <w:rFonts w:ascii="Garamond" w:hAnsi="Garamond"/>
            <w:noProof/>
            <w:webHidden/>
          </w:rPr>
          <w:fldChar w:fldCharType="end"/>
        </w:r>
      </w:hyperlink>
    </w:p>
    <w:p w14:paraId="4F0403E2" w14:textId="412821AA" w:rsidR="001117A3" w:rsidRPr="003037D2" w:rsidRDefault="00E04035">
      <w:pPr>
        <w:pStyle w:val="TableofFigures"/>
        <w:tabs>
          <w:tab w:val="right" w:leader="dot" w:pos="8052"/>
        </w:tabs>
        <w:rPr>
          <w:rFonts w:ascii="Garamond" w:eastAsiaTheme="minorEastAsia" w:hAnsi="Garamond"/>
          <w:noProof/>
          <w:lang w:eastAsia="en-GB"/>
        </w:rPr>
      </w:pPr>
      <w:hyperlink w:anchor="_Toc3973226" w:history="1">
        <w:r w:rsidR="001117A3" w:rsidRPr="003037D2">
          <w:rPr>
            <w:rStyle w:val="Hyperlink"/>
            <w:rFonts w:ascii="Garamond" w:hAnsi="Garamond"/>
            <w:noProof/>
          </w:rPr>
          <w:t>Figure 10 Samuel Danforth (1648), f. 16</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_Toc3973226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230</w:t>
        </w:r>
        <w:r w:rsidR="001117A3" w:rsidRPr="003037D2">
          <w:rPr>
            <w:rFonts w:ascii="Garamond" w:hAnsi="Garamond"/>
            <w:noProof/>
            <w:webHidden/>
          </w:rPr>
          <w:fldChar w:fldCharType="end"/>
        </w:r>
      </w:hyperlink>
    </w:p>
    <w:p w14:paraId="6815C473" w14:textId="0E2D072F" w:rsidR="001117A3" w:rsidRPr="003037D2" w:rsidRDefault="00E04035">
      <w:pPr>
        <w:pStyle w:val="TableofFigures"/>
        <w:tabs>
          <w:tab w:val="right" w:leader="dot" w:pos="8052"/>
        </w:tabs>
        <w:rPr>
          <w:rFonts w:ascii="Garamond" w:eastAsiaTheme="minorEastAsia" w:hAnsi="Garamond"/>
          <w:noProof/>
          <w:lang w:eastAsia="en-GB"/>
        </w:rPr>
      </w:pPr>
      <w:hyperlink w:anchor="_Toc3973227" w:history="1">
        <w:r w:rsidR="001117A3" w:rsidRPr="003037D2">
          <w:rPr>
            <w:rStyle w:val="Hyperlink"/>
            <w:rFonts w:ascii="Garamond" w:hAnsi="Garamond"/>
            <w:noProof/>
          </w:rPr>
          <w:t>Figure 11 George Winters (1637), B2</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_Toc3973227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231</w:t>
        </w:r>
        <w:r w:rsidR="001117A3" w:rsidRPr="003037D2">
          <w:rPr>
            <w:rFonts w:ascii="Garamond" w:hAnsi="Garamond"/>
            <w:noProof/>
            <w:webHidden/>
          </w:rPr>
          <w:fldChar w:fldCharType="end"/>
        </w:r>
      </w:hyperlink>
    </w:p>
    <w:p w14:paraId="261E5755" w14:textId="773B6113" w:rsidR="001117A3" w:rsidRPr="003037D2" w:rsidRDefault="00E04035">
      <w:pPr>
        <w:pStyle w:val="TableofFigures"/>
        <w:tabs>
          <w:tab w:val="right" w:leader="dot" w:pos="8052"/>
        </w:tabs>
        <w:rPr>
          <w:rFonts w:ascii="Garamond" w:eastAsiaTheme="minorEastAsia" w:hAnsi="Garamond"/>
          <w:noProof/>
          <w:lang w:eastAsia="en-GB"/>
        </w:rPr>
      </w:pPr>
      <w:hyperlink w:anchor="_Toc3973228" w:history="1">
        <w:r w:rsidR="001117A3" w:rsidRPr="003037D2">
          <w:rPr>
            <w:rStyle w:val="Hyperlink"/>
            <w:rFonts w:ascii="Garamond" w:hAnsi="Garamond"/>
            <w:noProof/>
          </w:rPr>
          <w:t>Figure 12 George Winters (1637) C1r</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_Toc3973228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232</w:t>
        </w:r>
        <w:r w:rsidR="001117A3" w:rsidRPr="003037D2">
          <w:rPr>
            <w:rFonts w:ascii="Garamond" w:hAnsi="Garamond"/>
            <w:noProof/>
            <w:webHidden/>
          </w:rPr>
          <w:fldChar w:fldCharType="end"/>
        </w:r>
      </w:hyperlink>
    </w:p>
    <w:p w14:paraId="75090C67" w14:textId="1B1174E8" w:rsidR="001117A3" w:rsidRPr="003037D2" w:rsidRDefault="00E04035">
      <w:pPr>
        <w:pStyle w:val="TableofFigures"/>
        <w:tabs>
          <w:tab w:val="right" w:leader="dot" w:pos="8052"/>
        </w:tabs>
        <w:rPr>
          <w:rFonts w:ascii="Garamond" w:eastAsiaTheme="minorEastAsia" w:hAnsi="Garamond"/>
          <w:noProof/>
          <w:lang w:eastAsia="en-GB"/>
        </w:rPr>
      </w:pPr>
      <w:hyperlink w:anchor="_Toc3973229" w:history="1">
        <w:r w:rsidR="001117A3" w:rsidRPr="003037D2">
          <w:rPr>
            <w:rStyle w:val="Hyperlink"/>
            <w:rFonts w:ascii="Garamond" w:hAnsi="Garamond"/>
            <w:noProof/>
          </w:rPr>
          <w:t>Figure 13 Thomas Hill (1571,  f. 5r</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_Toc3973229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233</w:t>
        </w:r>
        <w:r w:rsidR="001117A3" w:rsidRPr="003037D2">
          <w:rPr>
            <w:rFonts w:ascii="Garamond" w:hAnsi="Garamond"/>
            <w:noProof/>
            <w:webHidden/>
          </w:rPr>
          <w:fldChar w:fldCharType="end"/>
        </w:r>
      </w:hyperlink>
    </w:p>
    <w:p w14:paraId="772DB1EB" w14:textId="37B4C447" w:rsidR="001117A3" w:rsidRPr="003037D2" w:rsidRDefault="00E04035">
      <w:pPr>
        <w:pStyle w:val="TableofFigures"/>
        <w:tabs>
          <w:tab w:val="right" w:leader="dot" w:pos="8052"/>
        </w:tabs>
        <w:rPr>
          <w:rFonts w:ascii="Garamond" w:eastAsiaTheme="minorEastAsia" w:hAnsi="Garamond"/>
          <w:noProof/>
          <w:lang w:eastAsia="en-GB"/>
        </w:rPr>
      </w:pPr>
      <w:hyperlink w:anchor="_Toc3973230" w:history="1">
        <w:r w:rsidR="001117A3" w:rsidRPr="003037D2">
          <w:rPr>
            <w:rStyle w:val="Hyperlink"/>
            <w:rFonts w:ascii="Garamond" w:hAnsi="Garamond"/>
            <w:noProof/>
          </w:rPr>
          <w:t>Figure 14 Nathaniel Nye (1645) f. 7r</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_Toc3973230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234</w:t>
        </w:r>
        <w:r w:rsidR="001117A3" w:rsidRPr="003037D2">
          <w:rPr>
            <w:rFonts w:ascii="Garamond" w:hAnsi="Garamond"/>
            <w:noProof/>
            <w:webHidden/>
          </w:rPr>
          <w:fldChar w:fldCharType="end"/>
        </w:r>
      </w:hyperlink>
    </w:p>
    <w:p w14:paraId="2F0F70CB" w14:textId="5AC3DDB5" w:rsidR="001117A3" w:rsidRPr="003037D2" w:rsidRDefault="00E04035">
      <w:pPr>
        <w:pStyle w:val="TableofFigures"/>
        <w:tabs>
          <w:tab w:val="right" w:leader="dot" w:pos="8052"/>
        </w:tabs>
        <w:rPr>
          <w:rFonts w:ascii="Garamond" w:eastAsiaTheme="minorEastAsia" w:hAnsi="Garamond"/>
          <w:noProof/>
          <w:lang w:eastAsia="en-GB"/>
        </w:rPr>
      </w:pPr>
      <w:hyperlink w:anchor="_Toc3973231" w:history="1">
        <w:r w:rsidR="001117A3" w:rsidRPr="003037D2">
          <w:rPr>
            <w:rStyle w:val="Hyperlink"/>
            <w:rFonts w:ascii="Garamond" w:hAnsi="Garamond"/>
            <w:noProof/>
          </w:rPr>
          <w:t>Figure 15 Pond (1650) f. 8.</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_Toc3973231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235</w:t>
        </w:r>
        <w:r w:rsidR="001117A3" w:rsidRPr="003037D2">
          <w:rPr>
            <w:rFonts w:ascii="Garamond" w:hAnsi="Garamond"/>
            <w:noProof/>
            <w:webHidden/>
          </w:rPr>
          <w:fldChar w:fldCharType="end"/>
        </w:r>
      </w:hyperlink>
    </w:p>
    <w:p w14:paraId="7E66EF4A" w14:textId="2900ADD9" w:rsidR="001117A3" w:rsidRPr="003037D2" w:rsidRDefault="00E04035">
      <w:pPr>
        <w:pStyle w:val="TableofFigures"/>
        <w:tabs>
          <w:tab w:val="right" w:leader="dot" w:pos="8052"/>
        </w:tabs>
        <w:rPr>
          <w:rFonts w:ascii="Garamond" w:eastAsiaTheme="minorEastAsia" w:hAnsi="Garamond"/>
          <w:noProof/>
          <w:lang w:eastAsia="en-GB"/>
        </w:rPr>
      </w:pPr>
      <w:hyperlink w:anchor="_Toc3973232" w:history="1">
        <w:r w:rsidR="001117A3" w:rsidRPr="003037D2">
          <w:rPr>
            <w:rStyle w:val="Hyperlink"/>
            <w:rFonts w:ascii="Garamond" w:hAnsi="Garamond"/>
            <w:noProof/>
          </w:rPr>
          <w:t>Figure 16 Thomas Gallen (1648) F.56v</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_Toc3973232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236</w:t>
        </w:r>
        <w:r w:rsidR="001117A3" w:rsidRPr="003037D2">
          <w:rPr>
            <w:rFonts w:ascii="Garamond" w:hAnsi="Garamond"/>
            <w:noProof/>
            <w:webHidden/>
          </w:rPr>
          <w:fldChar w:fldCharType="end"/>
        </w:r>
      </w:hyperlink>
    </w:p>
    <w:p w14:paraId="4DF6D807" w14:textId="79AE8079" w:rsidR="001117A3" w:rsidRPr="003037D2" w:rsidRDefault="00E04035">
      <w:pPr>
        <w:pStyle w:val="TableofFigures"/>
        <w:tabs>
          <w:tab w:val="right" w:leader="dot" w:pos="8052"/>
        </w:tabs>
        <w:rPr>
          <w:rFonts w:ascii="Garamond" w:eastAsiaTheme="minorEastAsia" w:hAnsi="Garamond"/>
          <w:noProof/>
          <w:lang w:eastAsia="en-GB"/>
        </w:rPr>
      </w:pPr>
      <w:hyperlink w:anchor="_Toc3973233" w:history="1">
        <w:r w:rsidR="001117A3" w:rsidRPr="003037D2">
          <w:rPr>
            <w:rStyle w:val="Hyperlink"/>
            <w:rFonts w:ascii="Garamond" w:hAnsi="Garamond"/>
            <w:noProof/>
          </w:rPr>
          <w:t>Figure 17 Thomas Gallen (1648), f. 55r</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_Toc3973233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236</w:t>
        </w:r>
        <w:r w:rsidR="001117A3" w:rsidRPr="003037D2">
          <w:rPr>
            <w:rFonts w:ascii="Garamond" w:hAnsi="Garamond"/>
            <w:noProof/>
            <w:webHidden/>
          </w:rPr>
          <w:fldChar w:fldCharType="end"/>
        </w:r>
      </w:hyperlink>
    </w:p>
    <w:p w14:paraId="11CA5EFC" w14:textId="733E6D39" w:rsidR="001117A3" w:rsidRPr="003037D2" w:rsidRDefault="00E04035" w:rsidP="00667CD5">
      <w:pPr>
        <w:pStyle w:val="TableofFigures"/>
        <w:tabs>
          <w:tab w:val="right" w:leader="dot" w:pos="8052"/>
        </w:tabs>
        <w:rPr>
          <w:rFonts w:ascii="Garamond" w:eastAsiaTheme="minorEastAsia" w:hAnsi="Garamond"/>
          <w:noProof/>
          <w:lang w:eastAsia="en-GB"/>
        </w:rPr>
      </w:pPr>
      <w:hyperlink w:anchor="_Toc3973234" w:history="1">
        <w:r w:rsidR="001117A3" w:rsidRPr="003037D2">
          <w:rPr>
            <w:rStyle w:val="Hyperlink"/>
            <w:rFonts w:ascii="Garamond" w:hAnsi="Garamond"/>
            <w:noProof/>
          </w:rPr>
          <w:t xml:space="preserve">Figure 18 </w:t>
        </w:r>
        <w:r w:rsidR="001117A3" w:rsidRPr="0002406D">
          <w:rPr>
            <w:rStyle w:val="Hyperlink"/>
            <w:rFonts w:ascii="Garamond" w:hAnsi="Garamond"/>
            <w:i/>
            <w:noProof/>
          </w:rPr>
          <w:t>The Bishops</w:t>
        </w:r>
        <w:r w:rsidR="00667CD5">
          <w:rPr>
            <w:rStyle w:val="Hyperlink"/>
            <w:rFonts w:ascii="Garamond" w:hAnsi="Garamond"/>
            <w:i/>
            <w:noProof/>
          </w:rPr>
          <w:t>’</w:t>
        </w:r>
        <w:r w:rsidR="001117A3" w:rsidRPr="0002406D">
          <w:rPr>
            <w:rStyle w:val="Hyperlink"/>
            <w:rFonts w:ascii="Garamond" w:hAnsi="Garamond"/>
            <w:i/>
            <w:noProof/>
          </w:rPr>
          <w:t xml:space="preserve"> Bible or The Holi Bible</w:t>
        </w:r>
        <w:r w:rsidR="001117A3" w:rsidRPr="003037D2">
          <w:rPr>
            <w:rStyle w:val="Hyperlink"/>
            <w:rFonts w:ascii="Garamond" w:hAnsi="Garamond"/>
            <w:noProof/>
          </w:rPr>
          <w:t xml:space="preserve"> (London: 1572), f. 5r (Early English Books Online)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_Toc3973234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237</w:t>
        </w:r>
        <w:r w:rsidR="001117A3" w:rsidRPr="003037D2">
          <w:rPr>
            <w:rFonts w:ascii="Garamond" w:hAnsi="Garamond"/>
            <w:noProof/>
            <w:webHidden/>
          </w:rPr>
          <w:fldChar w:fldCharType="end"/>
        </w:r>
      </w:hyperlink>
    </w:p>
    <w:p w14:paraId="1BAAA63E" w14:textId="06D3B7D0" w:rsidR="001117A3" w:rsidRPr="003037D2" w:rsidRDefault="00E04035">
      <w:pPr>
        <w:pStyle w:val="TableofFigures"/>
        <w:tabs>
          <w:tab w:val="right" w:leader="dot" w:pos="8052"/>
        </w:tabs>
        <w:rPr>
          <w:rFonts w:ascii="Garamond" w:eastAsiaTheme="minorEastAsia" w:hAnsi="Garamond"/>
          <w:noProof/>
          <w:lang w:eastAsia="en-GB"/>
        </w:rPr>
      </w:pPr>
      <w:hyperlink w:anchor="_Toc3973235" w:history="1">
        <w:r w:rsidR="001117A3" w:rsidRPr="003037D2">
          <w:rPr>
            <w:rStyle w:val="Hyperlink"/>
            <w:rFonts w:ascii="Garamond" w:hAnsi="Garamond"/>
            <w:noProof/>
          </w:rPr>
          <w:t xml:space="preserve">Figure 19 </w:t>
        </w:r>
        <w:r w:rsidR="001117A3" w:rsidRPr="0002406D">
          <w:rPr>
            <w:rStyle w:val="Hyperlink"/>
            <w:rFonts w:ascii="Garamond" w:hAnsi="Garamond"/>
            <w:i/>
            <w:noProof/>
          </w:rPr>
          <w:t>The Holie Bible</w:t>
        </w:r>
        <w:r w:rsidR="001117A3" w:rsidRPr="003037D2">
          <w:rPr>
            <w:rStyle w:val="Hyperlink"/>
            <w:rFonts w:ascii="Garamond" w:hAnsi="Garamond"/>
            <w:noProof/>
          </w:rPr>
          <w:t xml:space="preserve"> (London: 1572), f. 5v-6r (Early English Books Online)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_Toc3973235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238</w:t>
        </w:r>
        <w:r w:rsidR="001117A3" w:rsidRPr="003037D2">
          <w:rPr>
            <w:rFonts w:ascii="Garamond" w:hAnsi="Garamond"/>
            <w:noProof/>
            <w:webHidden/>
          </w:rPr>
          <w:fldChar w:fldCharType="end"/>
        </w:r>
      </w:hyperlink>
    </w:p>
    <w:p w14:paraId="7CB850F1" w14:textId="2DC4C1F5" w:rsidR="001117A3" w:rsidRPr="003037D2" w:rsidRDefault="00E04035">
      <w:pPr>
        <w:pStyle w:val="TableofFigures"/>
        <w:tabs>
          <w:tab w:val="right" w:leader="dot" w:pos="8052"/>
        </w:tabs>
        <w:rPr>
          <w:rFonts w:ascii="Garamond" w:eastAsiaTheme="minorEastAsia" w:hAnsi="Garamond"/>
          <w:noProof/>
          <w:lang w:eastAsia="en-GB"/>
        </w:rPr>
      </w:pPr>
      <w:hyperlink w:anchor="_Toc3973236" w:history="1">
        <w:r w:rsidR="001117A3" w:rsidRPr="003037D2">
          <w:rPr>
            <w:rStyle w:val="Hyperlink"/>
            <w:rFonts w:ascii="Garamond" w:hAnsi="Garamond"/>
            <w:noProof/>
          </w:rPr>
          <w:t xml:space="preserve">Figure 20 </w:t>
        </w:r>
        <w:r w:rsidR="001117A3" w:rsidRPr="0002406D">
          <w:rPr>
            <w:rStyle w:val="Hyperlink"/>
            <w:rFonts w:ascii="Garamond" w:hAnsi="Garamond"/>
            <w:i/>
            <w:noProof/>
          </w:rPr>
          <w:t>The Holie Bible</w:t>
        </w:r>
        <w:r w:rsidR="001117A3" w:rsidRPr="003037D2">
          <w:rPr>
            <w:rStyle w:val="Hyperlink"/>
            <w:rFonts w:ascii="Garamond" w:hAnsi="Garamond"/>
            <w:noProof/>
          </w:rPr>
          <w:t xml:space="preserve"> (1568) f. 2v</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_Toc3973236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239</w:t>
        </w:r>
        <w:r w:rsidR="001117A3" w:rsidRPr="003037D2">
          <w:rPr>
            <w:rFonts w:ascii="Garamond" w:hAnsi="Garamond"/>
            <w:noProof/>
            <w:webHidden/>
          </w:rPr>
          <w:fldChar w:fldCharType="end"/>
        </w:r>
      </w:hyperlink>
    </w:p>
    <w:p w14:paraId="46062523" w14:textId="0559A4BF" w:rsidR="001117A3" w:rsidRPr="003037D2" w:rsidRDefault="00E04035">
      <w:pPr>
        <w:pStyle w:val="TableofFigures"/>
        <w:tabs>
          <w:tab w:val="right" w:leader="dot" w:pos="8052"/>
        </w:tabs>
        <w:rPr>
          <w:rFonts w:ascii="Garamond" w:eastAsiaTheme="minorEastAsia" w:hAnsi="Garamond"/>
          <w:noProof/>
          <w:lang w:eastAsia="en-GB"/>
        </w:rPr>
      </w:pPr>
      <w:hyperlink w:anchor="_Toc3973237" w:history="1">
        <w:r w:rsidR="001117A3" w:rsidRPr="003037D2">
          <w:rPr>
            <w:rStyle w:val="Hyperlink"/>
            <w:rFonts w:ascii="Garamond" w:hAnsi="Garamond"/>
            <w:noProof/>
          </w:rPr>
          <w:t>Figure 21 William Perkins, The Golden Chaine (1591)</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_Toc3973237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240</w:t>
        </w:r>
        <w:r w:rsidR="001117A3" w:rsidRPr="003037D2">
          <w:rPr>
            <w:rFonts w:ascii="Garamond" w:hAnsi="Garamond"/>
            <w:noProof/>
            <w:webHidden/>
          </w:rPr>
          <w:fldChar w:fldCharType="end"/>
        </w:r>
      </w:hyperlink>
    </w:p>
    <w:p w14:paraId="74CB85A8" w14:textId="59B8739C" w:rsidR="001117A3" w:rsidRPr="003037D2" w:rsidRDefault="00E04035">
      <w:pPr>
        <w:pStyle w:val="TableofFigures"/>
        <w:tabs>
          <w:tab w:val="right" w:leader="dot" w:pos="8052"/>
        </w:tabs>
        <w:rPr>
          <w:rFonts w:ascii="Garamond" w:eastAsiaTheme="minorEastAsia" w:hAnsi="Garamond"/>
          <w:noProof/>
          <w:lang w:eastAsia="en-GB"/>
        </w:rPr>
      </w:pPr>
      <w:hyperlink w:anchor="_Toc3973238" w:history="1">
        <w:r w:rsidR="001117A3" w:rsidRPr="003037D2">
          <w:rPr>
            <w:rStyle w:val="Hyperlink"/>
            <w:rFonts w:ascii="Garamond" w:hAnsi="Garamond"/>
            <w:noProof/>
            <w:lang w:val="it-IT"/>
          </w:rPr>
          <w:t xml:space="preserve">Figure 22 </w:t>
        </w:r>
        <w:r w:rsidR="001117A3" w:rsidRPr="003037D2">
          <w:rPr>
            <w:rStyle w:val="Hyperlink"/>
            <w:rFonts w:ascii="Garamond" w:hAnsi="Garamond" w:cs="Arial"/>
            <w:noProof/>
            <w:lang w:val="it-IT"/>
          </w:rPr>
          <w:t>Girolamo Di Carpi, ‘Kairos et Metanoia’ (1541)</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_Toc3973238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241</w:t>
        </w:r>
        <w:r w:rsidR="001117A3" w:rsidRPr="003037D2">
          <w:rPr>
            <w:rFonts w:ascii="Garamond" w:hAnsi="Garamond"/>
            <w:noProof/>
            <w:webHidden/>
          </w:rPr>
          <w:fldChar w:fldCharType="end"/>
        </w:r>
      </w:hyperlink>
    </w:p>
    <w:p w14:paraId="3ED364FC" w14:textId="45E37623" w:rsidR="001117A3" w:rsidRPr="003037D2" w:rsidRDefault="00E04035">
      <w:pPr>
        <w:pStyle w:val="TableofFigures"/>
        <w:tabs>
          <w:tab w:val="right" w:leader="dot" w:pos="8052"/>
        </w:tabs>
        <w:rPr>
          <w:rFonts w:ascii="Garamond" w:eastAsiaTheme="minorEastAsia" w:hAnsi="Garamond"/>
          <w:noProof/>
          <w:lang w:eastAsia="en-GB"/>
        </w:rPr>
      </w:pPr>
      <w:hyperlink w:anchor="_Toc3973239" w:history="1">
        <w:r w:rsidR="001117A3" w:rsidRPr="003037D2">
          <w:rPr>
            <w:rStyle w:val="Hyperlink"/>
            <w:rFonts w:ascii="Garamond" w:hAnsi="Garamond"/>
            <w:iCs/>
            <w:noProof/>
            <w:lang w:eastAsia="zh-CN"/>
          </w:rPr>
          <w:t>Figure 23 George Herbert, ‘Sunday’ (Religious Tract Society: London, 1856)</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_Toc3973239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242</w:t>
        </w:r>
        <w:r w:rsidR="001117A3" w:rsidRPr="003037D2">
          <w:rPr>
            <w:rFonts w:ascii="Garamond" w:hAnsi="Garamond"/>
            <w:noProof/>
            <w:webHidden/>
          </w:rPr>
          <w:fldChar w:fldCharType="end"/>
        </w:r>
      </w:hyperlink>
    </w:p>
    <w:p w14:paraId="4ED5E133" w14:textId="05D9239B" w:rsidR="001117A3" w:rsidRPr="003037D2" w:rsidRDefault="00E04035">
      <w:pPr>
        <w:pStyle w:val="TableofFigures"/>
        <w:tabs>
          <w:tab w:val="right" w:leader="dot" w:pos="8052"/>
        </w:tabs>
        <w:rPr>
          <w:rFonts w:ascii="Garamond" w:eastAsiaTheme="minorEastAsia" w:hAnsi="Garamond"/>
          <w:noProof/>
          <w:lang w:eastAsia="en-GB"/>
        </w:rPr>
      </w:pPr>
      <w:hyperlink w:anchor="_Toc3973240" w:history="1">
        <w:r w:rsidR="001117A3" w:rsidRPr="003037D2">
          <w:rPr>
            <w:rStyle w:val="Hyperlink"/>
            <w:rFonts w:ascii="Garamond" w:hAnsi="Garamond"/>
            <w:iCs/>
            <w:noProof/>
            <w:lang w:eastAsia="zh-CN"/>
          </w:rPr>
          <w:t xml:space="preserve">Figure 24 George Herbert, ‘The Church’ </w:t>
        </w:r>
        <w:r w:rsidR="001117A3" w:rsidRPr="0002406D">
          <w:rPr>
            <w:rStyle w:val="Hyperlink"/>
            <w:rFonts w:ascii="Garamond" w:hAnsi="Garamond"/>
            <w:i/>
            <w:iCs/>
            <w:noProof/>
            <w:lang w:eastAsia="zh-CN"/>
          </w:rPr>
          <w:t>The Temple</w:t>
        </w:r>
        <w:r w:rsidR="001117A3" w:rsidRPr="003037D2">
          <w:rPr>
            <w:rStyle w:val="Hyperlink"/>
            <w:rFonts w:ascii="Garamond" w:hAnsi="Garamond"/>
            <w:iCs/>
            <w:noProof/>
            <w:lang w:eastAsia="zh-CN"/>
          </w:rPr>
          <w:t xml:space="preserve"> (Cambridge: 1633), pp. 66-7 (Early English Books Online)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_Toc3973240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243</w:t>
        </w:r>
        <w:r w:rsidR="001117A3" w:rsidRPr="003037D2">
          <w:rPr>
            <w:rFonts w:ascii="Garamond" w:hAnsi="Garamond"/>
            <w:noProof/>
            <w:webHidden/>
          </w:rPr>
          <w:fldChar w:fldCharType="end"/>
        </w:r>
      </w:hyperlink>
    </w:p>
    <w:p w14:paraId="7E2D5091" w14:textId="210C5A76" w:rsidR="001117A3" w:rsidRPr="003037D2" w:rsidRDefault="00E04035">
      <w:pPr>
        <w:pStyle w:val="TableofFigures"/>
        <w:tabs>
          <w:tab w:val="right" w:leader="dot" w:pos="8052"/>
        </w:tabs>
        <w:rPr>
          <w:rFonts w:ascii="Garamond" w:eastAsiaTheme="minorEastAsia" w:hAnsi="Garamond"/>
          <w:noProof/>
          <w:lang w:eastAsia="en-GB"/>
        </w:rPr>
      </w:pPr>
      <w:hyperlink w:anchor="_Toc3973241" w:history="1">
        <w:r w:rsidR="001117A3" w:rsidRPr="003037D2">
          <w:rPr>
            <w:rStyle w:val="Hyperlink"/>
            <w:rFonts w:ascii="Garamond" w:hAnsi="Garamond"/>
            <w:iCs/>
            <w:noProof/>
            <w:lang w:eastAsia="zh-CN"/>
          </w:rPr>
          <w:t>Figure 25 Pieter Brueghel the Elder ‘Netherlandish Proverbs’ (1559) Google Cultural Institute, Public Domain</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_Toc3973241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244</w:t>
        </w:r>
        <w:r w:rsidR="001117A3" w:rsidRPr="003037D2">
          <w:rPr>
            <w:rFonts w:ascii="Garamond" w:hAnsi="Garamond"/>
            <w:noProof/>
            <w:webHidden/>
          </w:rPr>
          <w:fldChar w:fldCharType="end"/>
        </w:r>
      </w:hyperlink>
    </w:p>
    <w:p w14:paraId="2B78D239" w14:textId="30249683" w:rsidR="001117A3" w:rsidRPr="003037D2" w:rsidRDefault="00E04035">
      <w:pPr>
        <w:pStyle w:val="TableofFigures"/>
        <w:tabs>
          <w:tab w:val="right" w:leader="dot" w:pos="8052"/>
        </w:tabs>
        <w:rPr>
          <w:rFonts w:ascii="Garamond" w:eastAsiaTheme="minorEastAsia" w:hAnsi="Garamond"/>
          <w:noProof/>
          <w:lang w:eastAsia="en-GB"/>
        </w:rPr>
      </w:pPr>
      <w:hyperlink w:anchor="_Toc3973242" w:history="1">
        <w:r w:rsidR="001117A3" w:rsidRPr="003037D2">
          <w:rPr>
            <w:rStyle w:val="Hyperlink"/>
            <w:rFonts w:ascii="Garamond" w:hAnsi="Garamond"/>
            <w:iCs/>
            <w:noProof/>
            <w:lang w:eastAsia="zh-CN"/>
          </w:rPr>
          <w:t>Figure 26 Detail from ‘Netherlandish Proverbs’ (1559)</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_Toc3973242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245</w:t>
        </w:r>
        <w:r w:rsidR="001117A3" w:rsidRPr="003037D2">
          <w:rPr>
            <w:rFonts w:ascii="Garamond" w:hAnsi="Garamond"/>
            <w:noProof/>
            <w:webHidden/>
          </w:rPr>
          <w:fldChar w:fldCharType="end"/>
        </w:r>
      </w:hyperlink>
    </w:p>
    <w:p w14:paraId="55259ECF" w14:textId="7E50E8E9" w:rsidR="001117A3" w:rsidRPr="003037D2" w:rsidRDefault="00E04035">
      <w:pPr>
        <w:pStyle w:val="TableofFigures"/>
        <w:tabs>
          <w:tab w:val="right" w:leader="dot" w:pos="8052"/>
        </w:tabs>
        <w:rPr>
          <w:rFonts w:ascii="Garamond" w:eastAsiaTheme="minorEastAsia" w:hAnsi="Garamond"/>
          <w:noProof/>
          <w:lang w:eastAsia="en-GB"/>
        </w:rPr>
      </w:pPr>
      <w:hyperlink w:anchor="_Toc3973243" w:history="1">
        <w:r w:rsidR="001117A3" w:rsidRPr="003037D2">
          <w:rPr>
            <w:rStyle w:val="Hyperlink"/>
            <w:rFonts w:ascii="Garamond" w:hAnsi="Garamond"/>
            <w:iCs/>
            <w:noProof/>
            <w:lang w:eastAsia="zh-CN"/>
          </w:rPr>
          <w:t>Figure 27 George Herbert, ‘Anagram’</w:t>
        </w:r>
        <w:r w:rsidR="0002406D">
          <w:rPr>
            <w:rStyle w:val="Hyperlink"/>
            <w:rFonts w:ascii="Garamond" w:hAnsi="Garamond"/>
            <w:iCs/>
            <w:noProof/>
            <w:lang w:eastAsia="zh-CN"/>
          </w:rPr>
          <w:t>,</w:t>
        </w:r>
        <w:r w:rsidR="001117A3" w:rsidRPr="0002406D">
          <w:rPr>
            <w:rStyle w:val="Hyperlink"/>
            <w:rFonts w:ascii="Garamond" w:hAnsi="Garamond"/>
            <w:i/>
            <w:iCs/>
            <w:noProof/>
            <w:lang w:eastAsia="zh-CN"/>
          </w:rPr>
          <w:t>The Temple</w:t>
        </w:r>
        <w:r w:rsidR="001117A3" w:rsidRPr="003037D2">
          <w:rPr>
            <w:rStyle w:val="Hyperlink"/>
            <w:rFonts w:ascii="Garamond" w:hAnsi="Garamond"/>
            <w:iCs/>
            <w:noProof/>
            <w:lang w:eastAsia="zh-CN"/>
          </w:rPr>
          <w:t xml:space="preserve"> (Cambridge: 1633), p. 69 (Early English Books Online)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_Toc3973243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245</w:t>
        </w:r>
        <w:r w:rsidR="001117A3" w:rsidRPr="003037D2">
          <w:rPr>
            <w:rFonts w:ascii="Garamond" w:hAnsi="Garamond"/>
            <w:noProof/>
            <w:webHidden/>
          </w:rPr>
          <w:fldChar w:fldCharType="end"/>
        </w:r>
      </w:hyperlink>
    </w:p>
    <w:p w14:paraId="1F4A5DB1" w14:textId="17E34ECF" w:rsidR="001117A3" w:rsidRPr="003037D2" w:rsidRDefault="00E04035">
      <w:pPr>
        <w:pStyle w:val="TableofFigures"/>
        <w:tabs>
          <w:tab w:val="right" w:leader="dot" w:pos="8052"/>
        </w:tabs>
        <w:rPr>
          <w:rFonts w:ascii="Garamond" w:eastAsiaTheme="minorEastAsia" w:hAnsi="Garamond"/>
          <w:noProof/>
          <w:lang w:eastAsia="en-GB"/>
        </w:rPr>
      </w:pPr>
      <w:hyperlink w:anchor="_Toc3973244" w:history="1">
        <w:r w:rsidR="001117A3" w:rsidRPr="003037D2">
          <w:rPr>
            <w:rStyle w:val="Hyperlink"/>
            <w:rFonts w:ascii="Garamond" w:hAnsi="Garamond"/>
            <w:iCs/>
            <w:noProof/>
            <w:lang w:eastAsia="zh-CN"/>
          </w:rPr>
          <w:t>Figure 28 London, British Library, Add MS 18044, Title Page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_Toc3973244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245</w:t>
        </w:r>
        <w:r w:rsidR="001117A3" w:rsidRPr="003037D2">
          <w:rPr>
            <w:rFonts w:ascii="Garamond" w:hAnsi="Garamond"/>
            <w:noProof/>
            <w:webHidden/>
          </w:rPr>
          <w:fldChar w:fldCharType="end"/>
        </w:r>
      </w:hyperlink>
    </w:p>
    <w:p w14:paraId="02F917C3" w14:textId="3B52C0ED" w:rsidR="001117A3" w:rsidRPr="003037D2" w:rsidRDefault="00E04035">
      <w:pPr>
        <w:pStyle w:val="TableofFigures"/>
        <w:tabs>
          <w:tab w:val="right" w:leader="dot" w:pos="8052"/>
        </w:tabs>
        <w:rPr>
          <w:rFonts w:ascii="Garamond" w:eastAsiaTheme="minorEastAsia" w:hAnsi="Garamond"/>
          <w:noProof/>
          <w:lang w:eastAsia="en-GB"/>
        </w:rPr>
      </w:pPr>
      <w:hyperlink w:anchor="_Toc3973245" w:history="1">
        <w:r w:rsidR="001117A3" w:rsidRPr="003037D2">
          <w:rPr>
            <w:rStyle w:val="Hyperlink"/>
            <w:rFonts w:ascii="Garamond" w:hAnsi="Garamond"/>
            <w:iCs/>
            <w:noProof/>
            <w:lang w:eastAsia="zh-CN"/>
          </w:rPr>
          <w:t>Figure 29 London, British Library, Add MS 18044, f. 25r</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_Toc3973245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246</w:t>
        </w:r>
        <w:r w:rsidR="001117A3" w:rsidRPr="003037D2">
          <w:rPr>
            <w:rFonts w:ascii="Garamond" w:hAnsi="Garamond"/>
            <w:noProof/>
            <w:webHidden/>
          </w:rPr>
          <w:fldChar w:fldCharType="end"/>
        </w:r>
      </w:hyperlink>
    </w:p>
    <w:p w14:paraId="291139C1" w14:textId="15FCF9BE" w:rsidR="001117A3" w:rsidRPr="003037D2" w:rsidRDefault="00E04035">
      <w:pPr>
        <w:pStyle w:val="TableofFigures"/>
        <w:tabs>
          <w:tab w:val="right" w:leader="dot" w:pos="8052"/>
        </w:tabs>
        <w:rPr>
          <w:rFonts w:ascii="Garamond" w:eastAsiaTheme="minorEastAsia" w:hAnsi="Garamond"/>
          <w:noProof/>
          <w:lang w:eastAsia="en-GB"/>
        </w:rPr>
      </w:pPr>
      <w:hyperlink w:anchor="_Toc3973246" w:history="1">
        <w:r w:rsidR="001117A3" w:rsidRPr="003037D2">
          <w:rPr>
            <w:rStyle w:val="Hyperlink"/>
            <w:rFonts w:ascii="Garamond" w:hAnsi="Garamond"/>
            <w:iCs/>
            <w:noProof/>
            <w:lang w:eastAsia="zh-CN"/>
          </w:rPr>
          <w:t>Figure 30 London, British Library,  Add MS 18044, f. 22r</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_Toc3973246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247</w:t>
        </w:r>
        <w:r w:rsidR="001117A3" w:rsidRPr="003037D2">
          <w:rPr>
            <w:rFonts w:ascii="Garamond" w:hAnsi="Garamond"/>
            <w:noProof/>
            <w:webHidden/>
          </w:rPr>
          <w:fldChar w:fldCharType="end"/>
        </w:r>
      </w:hyperlink>
    </w:p>
    <w:p w14:paraId="14E17783" w14:textId="652570C1" w:rsidR="001117A3" w:rsidRPr="003037D2" w:rsidRDefault="00E04035">
      <w:pPr>
        <w:pStyle w:val="TableofFigures"/>
        <w:tabs>
          <w:tab w:val="right" w:leader="dot" w:pos="8052"/>
        </w:tabs>
        <w:rPr>
          <w:rFonts w:ascii="Garamond" w:eastAsiaTheme="minorEastAsia" w:hAnsi="Garamond"/>
          <w:noProof/>
          <w:lang w:eastAsia="en-GB"/>
        </w:rPr>
      </w:pPr>
      <w:hyperlink w:anchor="_Toc3973247" w:history="1">
        <w:r w:rsidR="001117A3" w:rsidRPr="003037D2">
          <w:rPr>
            <w:rStyle w:val="Hyperlink"/>
            <w:rFonts w:ascii="Garamond" w:hAnsi="Garamond"/>
            <w:iCs/>
            <w:noProof/>
            <w:lang w:eastAsia="zh-CN"/>
          </w:rPr>
          <w:t>Figure 31 London, British Library, Add MS 18044, f. 175v, ‘Anagrame’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_Toc3973247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247</w:t>
        </w:r>
        <w:r w:rsidR="001117A3" w:rsidRPr="003037D2">
          <w:rPr>
            <w:rFonts w:ascii="Garamond" w:hAnsi="Garamond"/>
            <w:noProof/>
            <w:webHidden/>
          </w:rPr>
          <w:fldChar w:fldCharType="end"/>
        </w:r>
      </w:hyperlink>
    </w:p>
    <w:p w14:paraId="28B29144" w14:textId="4E937691" w:rsidR="001117A3" w:rsidRPr="003037D2" w:rsidRDefault="00E04035">
      <w:pPr>
        <w:pStyle w:val="TableofFigures"/>
        <w:tabs>
          <w:tab w:val="right" w:leader="dot" w:pos="8052"/>
        </w:tabs>
        <w:rPr>
          <w:rFonts w:ascii="Garamond" w:eastAsiaTheme="minorEastAsia" w:hAnsi="Garamond"/>
          <w:noProof/>
          <w:lang w:eastAsia="en-GB"/>
        </w:rPr>
      </w:pPr>
      <w:hyperlink w:anchor="_Toc3973248" w:history="1">
        <w:r w:rsidR="001117A3" w:rsidRPr="003037D2">
          <w:rPr>
            <w:rStyle w:val="Hyperlink"/>
            <w:rFonts w:ascii="Garamond" w:hAnsi="Garamond"/>
            <w:iCs/>
            <w:noProof/>
            <w:lang w:eastAsia="zh-CN"/>
          </w:rPr>
          <w:t>Figure 32 London, British Library,  Add MS 18044, f. 132r, ‘Paradise’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_Toc3973248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248</w:t>
        </w:r>
        <w:r w:rsidR="001117A3" w:rsidRPr="003037D2">
          <w:rPr>
            <w:rFonts w:ascii="Garamond" w:hAnsi="Garamond"/>
            <w:noProof/>
            <w:webHidden/>
          </w:rPr>
          <w:fldChar w:fldCharType="end"/>
        </w:r>
      </w:hyperlink>
    </w:p>
    <w:p w14:paraId="657BABC7" w14:textId="31858F86" w:rsidR="001117A3" w:rsidRPr="003037D2" w:rsidRDefault="00E04035">
      <w:pPr>
        <w:pStyle w:val="TableofFigures"/>
        <w:tabs>
          <w:tab w:val="right" w:leader="dot" w:pos="8052"/>
        </w:tabs>
        <w:rPr>
          <w:rFonts w:ascii="Garamond" w:eastAsiaTheme="minorEastAsia" w:hAnsi="Garamond"/>
          <w:noProof/>
          <w:lang w:eastAsia="en-GB"/>
        </w:rPr>
      </w:pPr>
      <w:hyperlink w:anchor="_Toc3973249" w:history="1">
        <w:r w:rsidR="001117A3" w:rsidRPr="003037D2">
          <w:rPr>
            <w:rStyle w:val="Hyperlink"/>
            <w:rFonts w:ascii="Garamond" w:hAnsi="Garamond"/>
            <w:iCs/>
            <w:noProof/>
            <w:lang w:eastAsia="zh-CN"/>
          </w:rPr>
          <w:t>Figure 33 The Temple (Cambridge: 1633), F3, ‘Paradise’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_Toc3973249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248</w:t>
        </w:r>
        <w:r w:rsidR="001117A3" w:rsidRPr="003037D2">
          <w:rPr>
            <w:rFonts w:ascii="Garamond" w:hAnsi="Garamond"/>
            <w:noProof/>
            <w:webHidden/>
          </w:rPr>
          <w:fldChar w:fldCharType="end"/>
        </w:r>
      </w:hyperlink>
    </w:p>
    <w:p w14:paraId="5479D579" w14:textId="061DC587" w:rsidR="001117A3" w:rsidRPr="003037D2" w:rsidRDefault="00E04035">
      <w:pPr>
        <w:pStyle w:val="TableofFigures"/>
        <w:tabs>
          <w:tab w:val="right" w:leader="dot" w:pos="8052"/>
        </w:tabs>
        <w:rPr>
          <w:rFonts w:ascii="Garamond" w:eastAsiaTheme="minorEastAsia" w:hAnsi="Garamond"/>
          <w:noProof/>
          <w:lang w:eastAsia="en-GB"/>
        </w:rPr>
      </w:pPr>
      <w:hyperlink w:anchor="_Toc3973250" w:history="1">
        <w:r w:rsidR="001117A3" w:rsidRPr="003037D2">
          <w:rPr>
            <w:rStyle w:val="Hyperlink"/>
            <w:rFonts w:ascii="Garamond" w:hAnsi="Garamond"/>
            <w:iCs/>
            <w:noProof/>
            <w:lang w:eastAsia="zh-CN"/>
          </w:rPr>
          <w:t>Figure 34 London, British Library, Add MS 18044, f. 177r ‘Colossians 3 ver 3’</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_Toc3973250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249</w:t>
        </w:r>
        <w:r w:rsidR="001117A3" w:rsidRPr="003037D2">
          <w:rPr>
            <w:rFonts w:ascii="Garamond" w:hAnsi="Garamond"/>
            <w:noProof/>
            <w:webHidden/>
          </w:rPr>
          <w:fldChar w:fldCharType="end"/>
        </w:r>
      </w:hyperlink>
    </w:p>
    <w:p w14:paraId="60FF572D" w14:textId="1CAEDDD1" w:rsidR="001117A3" w:rsidRPr="003037D2" w:rsidRDefault="00E04035">
      <w:pPr>
        <w:pStyle w:val="TableofFigures"/>
        <w:tabs>
          <w:tab w:val="right" w:leader="dot" w:pos="8052"/>
        </w:tabs>
        <w:rPr>
          <w:rFonts w:ascii="Garamond" w:eastAsiaTheme="minorEastAsia" w:hAnsi="Garamond"/>
          <w:noProof/>
          <w:lang w:eastAsia="en-GB"/>
        </w:rPr>
      </w:pPr>
      <w:hyperlink w:anchor="_Toc3973251" w:history="1">
        <w:r w:rsidR="001117A3" w:rsidRPr="003037D2">
          <w:rPr>
            <w:rStyle w:val="Hyperlink"/>
            <w:rFonts w:ascii="Garamond" w:hAnsi="Garamond"/>
            <w:iCs/>
            <w:noProof/>
            <w:lang w:eastAsia="zh-CN"/>
          </w:rPr>
          <w:t>Figure 35 London, British Library, Add MS 18044, f. 180v, ‘JESU’</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_Toc3973251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249</w:t>
        </w:r>
        <w:r w:rsidR="001117A3" w:rsidRPr="003037D2">
          <w:rPr>
            <w:rFonts w:ascii="Garamond" w:hAnsi="Garamond"/>
            <w:noProof/>
            <w:webHidden/>
          </w:rPr>
          <w:fldChar w:fldCharType="end"/>
        </w:r>
      </w:hyperlink>
    </w:p>
    <w:p w14:paraId="3EC0397B" w14:textId="08462950" w:rsidR="001117A3" w:rsidRPr="003037D2" w:rsidRDefault="00E04035">
      <w:pPr>
        <w:pStyle w:val="TableofFigures"/>
        <w:tabs>
          <w:tab w:val="right" w:leader="dot" w:pos="8052"/>
        </w:tabs>
        <w:rPr>
          <w:rFonts w:ascii="Garamond" w:eastAsiaTheme="minorEastAsia" w:hAnsi="Garamond"/>
          <w:noProof/>
          <w:lang w:eastAsia="en-GB"/>
        </w:rPr>
      </w:pPr>
      <w:hyperlink w:anchor="_Toc3973252" w:history="1">
        <w:r w:rsidR="001117A3" w:rsidRPr="003037D2">
          <w:rPr>
            <w:rStyle w:val="Hyperlink"/>
            <w:rFonts w:ascii="Garamond" w:hAnsi="Garamond"/>
            <w:iCs/>
            <w:noProof/>
            <w:lang w:eastAsia="zh-CN"/>
          </w:rPr>
          <w:t>Figure 36 London, British Library, Add MS 18044, f.181r ‘Love-Joy’</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_Toc3973252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249</w:t>
        </w:r>
        <w:r w:rsidR="001117A3" w:rsidRPr="003037D2">
          <w:rPr>
            <w:rFonts w:ascii="Garamond" w:hAnsi="Garamond"/>
            <w:noProof/>
            <w:webHidden/>
          </w:rPr>
          <w:fldChar w:fldCharType="end"/>
        </w:r>
      </w:hyperlink>
    </w:p>
    <w:p w14:paraId="6F69FF3E" w14:textId="7F5B2363" w:rsidR="001117A3" w:rsidRPr="003037D2" w:rsidRDefault="00E04035">
      <w:pPr>
        <w:pStyle w:val="TableofFigures"/>
        <w:tabs>
          <w:tab w:val="right" w:leader="dot" w:pos="8052"/>
        </w:tabs>
        <w:rPr>
          <w:rFonts w:ascii="Garamond" w:eastAsiaTheme="minorEastAsia" w:hAnsi="Garamond"/>
          <w:noProof/>
          <w:lang w:eastAsia="en-GB"/>
        </w:rPr>
      </w:pPr>
      <w:hyperlink w:anchor="_Toc3973253" w:history="1">
        <w:r w:rsidR="001117A3" w:rsidRPr="003037D2">
          <w:rPr>
            <w:rStyle w:val="Hyperlink"/>
            <w:rFonts w:ascii="Garamond" w:hAnsi="Garamond"/>
            <w:iCs/>
            <w:noProof/>
            <w:lang w:eastAsia="zh-CN"/>
          </w:rPr>
          <w:t>Figure 37 George Puttenham, The Arte of Eglish Poesie (London: 1589), pp. 76-7 (Early English Books online)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_Toc3973253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250</w:t>
        </w:r>
        <w:r w:rsidR="001117A3" w:rsidRPr="003037D2">
          <w:rPr>
            <w:rFonts w:ascii="Garamond" w:hAnsi="Garamond"/>
            <w:noProof/>
            <w:webHidden/>
          </w:rPr>
          <w:fldChar w:fldCharType="end"/>
        </w:r>
      </w:hyperlink>
    </w:p>
    <w:p w14:paraId="5071EC60" w14:textId="7B22B350" w:rsidR="001117A3" w:rsidRPr="003037D2" w:rsidRDefault="00E04035">
      <w:pPr>
        <w:pStyle w:val="TableofFigures"/>
        <w:tabs>
          <w:tab w:val="right" w:leader="dot" w:pos="8052"/>
        </w:tabs>
        <w:rPr>
          <w:rFonts w:ascii="Garamond" w:eastAsiaTheme="minorEastAsia" w:hAnsi="Garamond"/>
          <w:noProof/>
          <w:lang w:eastAsia="en-GB"/>
        </w:rPr>
      </w:pPr>
      <w:hyperlink w:anchor="_Toc3973254" w:history="1">
        <w:r w:rsidR="001117A3" w:rsidRPr="003037D2">
          <w:rPr>
            <w:rStyle w:val="Hyperlink"/>
            <w:rFonts w:ascii="Garamond" w:hAnsi="Garamond"/>
            <w:iCs/>
            <w:noProof/>
            <w:lang w:eastAsia="zh-CN"/>
          </w:rPr>
          <w:t xml:space="preserve">Figure 38 Thomas Watson, ‘A Pasquine Piller’ in </w:t>
        </w:r>
        <w:r w:rsidR="001117A3" w:rsidRPr="0002406D">
          <w:rPr>
            <w:rStyle w:val="Hyperlink"/>
            <w:rFonts w:ascii="Garamond" w:hAnsi="Garamond"/>
            <w:i/>
            <w:iCs/>
            <w:noProof/>
            <w:lang w:eastAsia="zh-CN"/>
          </w:rPr>
          <w:t>Hekatompathia</w:t>
        </w:r>
        <w:r w:rsidR="001117A3" w:rsidRPr="003037D2">
          <w:rPr>
            <w:rStyle w:val="Hyperlink"/>
            <w:rFonts w:ascii="Garamond" w:hAnsi="Garamond"/>
            <w:iCs/>
            <w:noProof/>
            <w:lang w:eastAsia="zh-CN"/>
          </w:rPr>
          <w:t xml:space="preserve"> (1582), K4v-L1r (Early English Books Online)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_Toc3973254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251</w:t>
        </w:r>
        <w:r w:rsidR="001117A3" w:rsidRPr="003037D2">
          <w:rPr>
            <w:rFonts w:ascii="Garamond" w:hAnsi="Garamond"/>
            <w:noProof/>
            <w:webHidden/>
          </w:rPr>
          <w:fldChar w:fldCharType="end"/>
        </w:r>
      </w:hyperlink>
    </w:p>
    <w:p w14:paraId="3D860CA5" w14:textId="7637A42F" w:rsidR="001117A3" w:rsidRPr="003037D2" w:rsidRDefault="00E04035">
      <w:pPr>
        <w:pStyle w:val="TableofFigures"/>
        <w:tabs>
          <w:tab w:val="right" w:leader="dot" w:pos="8052"/>
        </w:tabs>
        <w:rPr>
          <w:rFonts w:ascii="Garamond" w:eastAsiaTheme="minorEastAsia" w:hAnsi="Garamond"/>
          <w:noProof/>
          <w:lang w:eastAsia="en-GB"/>
        </w:rPr>
      </w:pPr>
      <w:hyperlink w:anchor="_Toc3973255" w:history="1">
        <w:r w:rsidR="001117A3" w:rsidRPr="003037D2">
          <w:rPr>
            <w:rStyle w:val="Hyperlink"/>
            <w:rFonts w:ascii="Garamond" w:hAnsi="Garamond"/>
            <w:iCs/>
            <w:noProof/>
            <w:lang w:eastAsia="zh-CN"/>
          </w:rPr>
          <w:t xml:space="preserve">Figure 39 Andrew Willet, </w:t>
        </w:r>
        <w:r w:rsidR="001117A3" w:rsidRPr="003037D2">
          <w:rPr>
            <w:rStyle w:val="Hyperlink"/>
            <w:rFonts w:ascii="Garamond" w:hAnsi="Garamond"/>
            <w:i/>
            <w:iCs/>
            <w:noProof/>
            <w:lang w:eastAsia="zh-CN"/>
          </w:rPr>
          <w:t xml:space="preserve">Sacrorum Emblematum </w:t>
        </w:r>
        <w:r w:rsidR="001117A3" w:rsidRPr="003037D2">
          <w:rPr>
            <w:rStyle w:val="Hyperlink"/>
            <w:rFonts w:ascii="Garamond" w:hAnsi="Garamond"/>
            <w:iCs/>
            <w:noProof/>
            <w:lang w:eastAsia="zh-CN"/>
          </w:rPr>
          <w:t>(Cambridge: 1596), Net-shaped poem on the Church as fisher of men, ‘Emblema. 25’ D4r-v (Early English Books Online)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_Toc3973255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252</w:t>
        </w:r>
        <w:r w:rsidR="001117A3" w:rsidRPr="003037D2">
          <w:rPr>
            <w:rFonts w:ascii="Garamond" w:hAnsi="Garamond"/>
            <w:noProof/>
            <w:webHidden/>
          </w:rPr>
          <w:fldChar w:fldCharType="end"/>
        </w:r>
      </w:hyperlink>
    </w:p>
    <w:p w14:paraId="5A9FF3C0" w14:textId="4FA285BA" w:rsidR="001117A3" w:rsidRPr="003037D2" w:rsidRDefault="00E04035">
      <w:pPr>
        <w:pStyle w:val="TableofFigures"/>
        <w:tabs>
          <w:tab w:val="right" w:leader="dot" w:pos="8052"/>
        </w:tabs>
        <w:rPr>
          <w:rFonts w:ascii="Garamond" w:eastAsiaTheme="minorEastAsia" w:hAnsi="Garamond"/>
          <w:noProof/>
          <w:lang w:eastAsia="en-GB"/>
        </w:rPr>
      </w:pPr>
      <w:hyperlink w:anchor="_Toc3973256" w:history="1">
        <w:r w:rsidR="001117A3" w:rsidRPr="003037D2">
          <w:rPr>
            <w:rStyle w:val="Hyperlink"/>
            <w:rFonts w:ascii="Garamond" w:hAnsi="Garamond"/>
            <w:iCs/>
            <w:noProof/>
            <w:lang w:eastAsia="zh-CN"/>
          </w:rPr>
          <w:t xml:space="preserve">Figure 40 Andrew Willet, </w:t>
        </w:r>
        <w:r w:rsidR="001117A3" w:rsidRPr="003037D2">
          <w:rPr>
            <w:rStyle w:val="Hyperlink"/>
            <w:rFonts w:ascii="Garamond" w:hAnsi="Garamond"/>
            <w:i/>
            <w:iCs/>
            <w:noProof/>
            <w:lang w:eastAsia="zh-CN"/>
          </w:rPr>
          <w:t>Sacrorum Emblematum</w:t>
        </w:r>
        <w:r w:rsidR="001117A3" w:rsidRPr="003037D2">
          <w:rPr>
            <w:rStyle w:val="Hyperlink"/>
            <w:rFonts w:ascii="Garamond" w:hAnsi="Garamond"/>
            <w:iCs/>
            <w:noProof/>
            <w:lang w:eastAsia="zh-CN"/>
          </w:rPr>
          <w:t xml:space="preserve"> (Cambridge: 1596) A4v-B1r, (Early English Books Online)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_Toc3973256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253</w:t>
        </w:r>
        <w:r w:rsidR="001117A3" w:rsidRPr="003037D2">
          <w:rPr>
            <w:rFonts w:ascii="Garamond" w:hAnsi="Garamond"/>
            <w:noProof/>
            <w:webHidden/>
          </w:rPr>
          <w:fldChar w:fldCharType="end"/>
        </w:r>
      </w:hyperlink>
    </w:p>
    <w:p w14:paraId="4556F679" w14:textId="28F104B7" w:rsidR="001117A3" w:rsidRPr="003037D2" w:rsidRDefault="00E04035">
      <w:pPr>
        <w:pStyle w:val="TableofFigures"/>
        <w:tabs>
          <w:tab w:val="right" w:leader="dot" w:pos="8052"/>
        </w:tabs>
        <w:rPr>
          <w:rFonts w:ascii="Garamond" w:eastAsiaTheme="minorEastAsia" w:hAnsi="Garamond"/>
          <w:noProof/>
          <w:lang w:eastAsia="en-GB"/>
        </w:rPr>
      </w:pPr>
      <w:hyperlink w:anchor="_Toc3973257" w:history="1">
        <w:r w:rsidR="001117A3" w:rsidRPr="003037D2">
          <w:rPr>
            <w:rStyle w:val="Hyperlink"/>
            <w:rFonts w:ascii="Garamond" w:hAnsi="Garamond"/>
            <w:iCs/>
            <w:noProof/>
            <w:lang w:eastAsia="zh-CN"/>
          </w:rPr>
          <w:t xml:space="preserve">Figure 41 John Vicars, </w:t>
        </w:r>
        <w:r w:rsidR="0002406D">
          <w:rPr>
            <w:rStyle w:val="Hyperlink"/>
            <w:rFonts w:ascii="Garamond" w:hAnsi="Garamond"/>
            <w:iCs/>
            <w:noProof/>
            <w:lang w:eastAsia="zh-CN"/>
          </w:rPr>
          <w:t>‘</w:t>
        </w:r>
        <w:r w:rsidR="001117A3" w:rsidRPr="003037D2">
          <w:rPr>
            <w:rStyle w:val="Hyperlink"/>
            <w:rFonts w:ascii="Garamond" w:hAnsi="Garamond"/>
            <w:iCs/>
            <w:noProof/>
            <w:lang w:eastAsia="zh-CN"/>
          </w:rPr>
          <w:t>God in the mount. Or, Englands Remembrancer</w:t>
        </w:r>
        <w:r w:rsidR="0002406D">
          <w:rPr>
            <w:rStyle w:val="Hyperlink"/>
            <w:rFonts w:ascii="Garamond" w:hAnsi="Garamond"/>
            <w:iCs/>
            <w:noProof/>
            <w:lang w:eastAsia="zh-CN"/>
          </w:rPr>
          <w:t>’</w:t>
        </w:r>
        <w:r w:rsidR="001117A3" w:rsidRPr="003037D2">
          <w:rPr>
            <w:rStyle w:val="Hyperlink"/>
            <w:rFonts w:ascii="Garamond" w:hAnsi="Garamond"/>
            <w:iCs/>
            <w:noProof/>
            <w:lang w:eastAsia="zh-CN"/>
          </w:rPr>
          <w:t xml:space="preserve"> (London: 1641/2) A3. Shape poem honouring the houses of parliament (Early English Books Online)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_Toc3973257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254</w:t>
        </w:r>
        <w:r w:rsidR="001117A3" w:rsidRPr="003037D2">
          <w:rPr>
            <w:rFonts w:ascii="Garamond" w:hAnsi="Garamond"/>
            <w:noProof/>
            <w:webHidden/>
          </w:rPr>
          <w:fldChar w:fldCharType="end"/>
        </w:r>
      </w:hyperlink>
    </w:p>
    <w:p w14:paraId="343A651C" w14:textId="07AC0397" w:rsidR="001117A3" w:rsidRPr="003037D2" w:rsidRDefault="00E04035">
      <w:pPr>
        <w:pStyle w:val="TableofFigures"/>
        <w:tabs>
          <w:tab w:val="right" w:leader="dot" w:pos="8052"/>
        </w:tabs>
        <w:rPr>
          <w:rFonts w:ascii="Garamond" w:eastAsiaTheme="minorEastAsia" w:hAnsi="Garamond"/>
          <w:noProof/>
          <w:lang w:eastAsia="en-GB"/>
        </w:rPr>
      </w:pPr>
      <w:hyperlink w:anchor="_Toc3973258" w:history="1">
        <w:r w:rsidR="001117A3" w:rsidRPr="003037D2">
          <w:rPr>
            <w:rStyle w:val="Hyperlink"/>
            <w:rFonts w:ascii="Garamond" w:hAnsi="Garamond"/>
            <w:iCs/>
            <w:noProof/>
            <w:lang w:eastAsia="zh-CN"/>
          </w:rPr>
          <w:t xml:space="preserve">Figure 42 John Vicars, </w:t>
        </w:r>
        <w:r w:rsidR="0002406D">
          <w:rPr>
            <w:rStyle w:val="Hyperlink"/>
            <w:rFonts w:ascii="Garamond" w:hAnsi="Garamond"/>
            <w:iCs/>
            <w:noProof/>
            <w:lang w:eastAsia="zh-CN"/>
          </w:rPr>
          <w:t>‘</w:t>
        </w:r>
        <w:r w:rsidR="001117A3" w:rsidRPr="003037D2">
          <w:rPr>
            <w:rStyle w:val="Hyperlink"/>
            <w:rFonts w:ascii="Garamond" w:hAnsi="Garamond"/>
            <w:iCs/>
            <w:noProof/>
            <w:lang w:eastAsia="zh-CN"/>
          </w:rPr>
          <w:t>God in the mount. Or, Englands Remembrancer</w:t>
        </w:r>
        <w:r w:rsidR="0002406D">
          <w:rPr>
            <w:rStyle w:val="Hyperlink"/>
            <w:rFonts w:ascii="Garamond" w:hAnsi="Garamond"/>
            <w:iCs/>
            <w:noProof/>
            <w:lang w:eastAsia="zh-CN"/>
          </w:rPr>
          <w:t>’</w:t>
        </w:r>
        <w:r w:rsidR="001117A3" w:rsidRPr="003037D2">
          <w:rPr>
            <w:rStyle w:val="Hyperlink"/>
            <w:rFonts w:ascii="Garamond" w:hAnsi="Garamond"/>
            <w:iCs/>
            <w:noProof/>
            <w:lang w:eastAsia="zh-CN"/>
          </w:rPr>
          <w:t xml:space="preserve"> (London: 1641/2) A1 (Early English Books Online)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_Toc3973258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255</w:t>
        </w:r>
        <w:r w:rsidR="001117A3" w:rsidRPr="003037D2">
          <w:rPr>
            <w:rFonts w:ascii="Garamond" w:hAnsi="Garamond"/>
            <w:noProof/>
            <w:webHidden/>
          </w:rPr>
          <w:fldChar w:fldCharType="end"/>
        </w:r>
      </w:hyperlink>
    </w:p>
    <w:p w14:paraId="3F45C541" w14:textId="76D4ABBD" w:rsidR="001117A3" w:rsidRPr="003037D2" w:rsidRDefault="00E04035">
      <w:pPr>
        <w:pStyle w:val="TableofFigures"/>
        <w:tabs>
          <w:tab w:val="right" w:leader="dot" w:pos="8052"/>
        </w:tabs>
        <w:rPr>
          <w:rFonts w:ascii="Garamond" w:eastAsiaTheme="minorEastAsia" w:hAnsi="Garamond"/>
          <w:noProof/>
          <w:lang w:eastAsia="en-GB"/>
        </w:rPr>
      </w:pPr>
      <w:hyperlink w:anchor="_Toc3973259" w:history="1">
        <w:r w:rsidR="001117A3" w:rsidRPr="003037D2">
          <w:rPr>
            <w:rStyle w:val="Hyperlink"/>
            <w:rFonts w:ascii="Garamond" w:hAnsi="Garamond"/>
            <w:iCs/>
            <w:noProof/>
            <w:lang w:eastAsia="zh-CN"/>
          </w:rPr>
          <w:t xml:space="preserve">Figure 43 John Vicars, </w:t>
        </w:r>
        <w:r w:rsidR="0002406D">
          <w:rPr>
            <w:rStyle w:val="Hyperlink"/>
            <w:rFonts w:ascii="Garamond" w:hAnsi="Garamond"/>
            <w:iCs/>
            <w:noProof/>
            <w:lang w:eastAsia="zh-CN"/>
          </w:rPr>
          <w:t>‘</w:t>
        </w:r>
        <w:r w:rsidR="001117A3" w:rsidRPr="003037D2">
          <w:rPr>
            <w:rStyle w:val="Hyperlink"/>
            <w:rFonts w:ascii="Garamond" w:hAnsi="Garamond"/>
            <w:iCs/>
            <w:noProof/>
            <w:lang w:eastAsia="zh-CN"/>
          </w:rPr>
          <w:t>God in the mount. Or, Englands Remembrancer</w:t>
        </w:r>
        <w:r w:rsidR="0002406D">
          <w:rPr>
            <w:rStyle w:val="Hyperlink"/>
            <w:rFonts w:ascii="Garamond" w:hAnsi="Garamond"/>
            <w:iCs/>
            <w:noProof/>
            <w:lang w:eastAsia="zh-CN"/>
          </w:rPr>
          <w:t>’</w:t>
        </w:r>
        <w:r w:rsidR="001117A3" w:rsidRPr="003037D2">
          <w:rPr>
            <w:rStyle w:val="Hyperlink"/>
            <w:rFonts w:ascii="Garamond" w:hAnsi="Garamond"/>
            <w:iCs/>
            <w:noProof/>
            <w:lang w:eastAsia="zh-CN"/>
          </w:rPr>
          <w:t xml:space="preserve"> (London: 1641/2) A2</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_Toc3973259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256</w:t>
        </w:r>
        <w:r w:rsidR="001117A3" w:rsidRPr="003037D2">
          <w:rPr>
            <w:rFonts w:ascii="Garamond" w:hAnsi="Garamond"/>
            <w:noProof/>
            <w:webHidden/>
          </w:rPr>
          <w:fldChar w:fldCharType="end"/>
        </w:r>
      </w:hyperlink>
    </w:p>
    <w:p w14:paraId="72AD1F88" w14:textId="7C9F1F2C" w:rsidR="001117A3" w:rsidRPr="003037D2" w:rsidRDefault="00E04035">
      <w:pPr>
        <w:pStyle w:val="TableofFigures"/>
        <w:tabs>
          <w:tab w:val="right" w:leader="dot" w:pos="8052"/>
        </w:tabs>
        <w:rPr>
          <w:rFonts w:ascii="Garamond" w:eastAsiaTheme="minorEastAsia" w:hAnsi="Garamond"/>
          <w:noProof/>
          <w:lang w:eastAsia="en-GB"/>
        </w:rPr>
      </w:pPr>
      <w:hyperlink w:anchor="_Toc3973260" w:history="1">
        <w:r w:rsidR="001117A3" w:rsidRPr="003037D2">
          <w:rPr>
            <w:rStyle w:val="Hyperlink"/>
            <w:rFonts w:ascii="Garamond" w:hAnsi="Garamond"/>
            <w:iCs/>
            <w:noProof/>
            <w:lang w:eastAsia="zh-CN"/>
          </w:rPr>
          <w:t>Figure 44 Beham Sebald, chiaroscuro print (c.1527) London, Victoria and Albert Museum</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_Toc3973260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256</w:t>
        </w:r>
        <w:r w:rsidR="001117A3" w:rsidRPr="003037D2">
          <w:rPr>
            <w:rFonts w:ascii="Garamond" w:hAnsi="Garamond"/>
            <w:noProof/>
            <w:webHidden/>
          </w:rPr>
          <w:fldChar w:fldCharType="end"/>
        </w:r>
      </w:hyperlink>
    </w:p>
    <w:p w14:paraId="769FAB33" w14:textId="4ADFD16D" w:rsidR="001117A3" w:rsidRPr="003037D2" w:rsidRDefault="00E04035">
      <w:pPr>
        <w:pStyle w:val="TableofFigures"/>
        <w:tabs>
          <w:tab w:val="right" w:leader="dot" w:pos="8052"/>
        </w:tabs>
        <w:rPr>
          <w:rFonts w:ascii="Garamond" w:eastAsiaTheme="minorEastAsia" w:hAnsi="Garamond"/>
          <w:noProof/>
          <w:lang w:eastAsia="en-GB"/>
        </w:rPr>
      </w:pPr>
      <w:hyperlink w:anchor="_Toc3973261" w:history="1">
        <w:r w:rsidR="001117A3" w:rsidRPr="003037D2">
          <w:rPr>
            <w:rStyle w:val="Hyperlink"/>
            <w:rFonts w:ascii="Garamond" w:hAnsi="Garamond"/>
            <w:iCs/>
            <w:noProof/>
            <w:lang w:eastAsia="zh-CN"/>
          </w:rPr>
          <w:t xml:space="preserve">Figure 45 Thomas Peyton, </w:t>
        </w:r>
        <w:r w:rsidR="0002406D">
          <w:rPr>
            <w:rStyle w:val="Hyperlink"/>
            <w:rFonts w:ascii="Garamond" w:hAnsi="Garamond"/>
            <w:iCs/>
            <w:noProof/>
            <w:lang w:eastAsia="zh-CN"/>
          </w:rPr>
          <w:t>‘</w:t>
        </w:r>
        <w:r w:rsidR="001117A3" w:rsidRPr="003037D2">
          <w:rPr>
            <w:rStyle w:val="Hyperlink"/>
            <w:rFonts w:ascii="Garamond" w:hAnsi="Garamond"/>
            <w:iCs/>
            <w:noProof/>
            <w:lang w:eastAsia="zh-CN"/>
          </w:rPr>
          <w:t>The Glasse of Time, in the First Age</w:t>
        </w:r>
        <w:r w:rsidR="0002406D">
          <w:rPr>
            <w:rStyle w:val="Hyperlink"/>
            <w:rFonts w:ascii="Garamond" w:hAnsi="Garamond"/>
            <w:iCs/>
            <w:noProof/>
            <w:lang w:eastAsia="zh-CN"/>
          </w:rPr>
          <w:t>’</w:t>
        </w:r>
        <w:r w:rsidR="001117A3" w:rsidRPr="003037D2">
          <w:rPr>
            <w:rStyle w:val="Hyperlink"/>
            <w:rFonts w:ascii="Garamond" w:hAnsi="Garamond"/>
            <w:iCs/>
            <w:noProof/>
            <w:lang w:eastAsia="zh-CN"/>
          </w:rPr>
          <w:t xml:space="preserve"> (London: 1620) p. 31 (Early English Books Online)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_Toc3973261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257</w:t>
        </w:r>
        <w:r w:rsidR="001117A3" w:rsidRPr="003037D2">
          <w:rPr>
            <w:rFonts w:ascii="Garamond" w:hAnsi="Garamond"/>
            <w:noProof/>
            <w:webHidden/>
          </w:rPr>
          <w:fldChar w:fldCharType="end"/>
        </w:r>
      </w:hyperlink>
    </w:p>
    <w:p w14:paraId="6677BB09" w14:textId="411E3653" w:rsidR="001117A3" w:rsidRPr="003037D2" w:rsidRDefault="00E04035">
      <w:pPr>
        <w:pStyle w:val="TableofFigures"/>
        <w:tabs>
          <w:tab w:val="right" w:leader="dot" w:pos="8052"/>
        </w:tabs>
        <w:rPr>
          <w:rFonts w:ascii="Garamond" w:eastAsiaTheme="minorEastAsia" w:hAnsi="Garamond"/>
          <w:noProof/>
          <w:lang w:eastAsia="en-GB"/>
        </w:rPr>
      </w:pPr>
      <w:hyperlink w:anchor="_Toc3973262" w:history="1">
        <w:r w:rsidR="001117A3" w:rsidRPr="003037D2">
          <w:rPr>
            <w:rStyle w:val="Hyperlink"/>
            <w:rFonts w:ascii="Garamond" w:hAnsi="Garamond"/>
            <w:iCs/>
            <w:noProof/>
            <w:lang w:eastAsia="zh-CN"/>
          </w:rPr>
          <w:t>Figure 46 London, British Library Add MS 18044, f. 182r, Index C-D</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_Toc3973262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258</w:t>
        </w:r>
        <w:r w:rsidR="001117A3" w:rsidRPr="003037D2">
          <w:rPr>
            <w:rFonts w:ascii="Garamond" w:hAnsi="Garamond"/>
            <w:noProof/>
            <w:webHidden/>
          </w:rPr>
          <w:fldChar w:fldCharType="end"/>
        </w:r>
      </w:hyperlink>
    </w:p>
    <w:p w14:paraId="1A4F3DAF" w14:textId="6AE622EE" w:rsidR="001117A3" w:rsidRPr="003037D2" w:rsidRDefault="00E04035">
      <w:pPr>
        <w:pStyle w:val="TableofFigures"/>
        <w:tabs>
          <w:tab w:val="right" w:leader="dot" w:pos="8052"/>
        </w:tabs>
        <w:rPr>
          <w:rFonts w:ascii="Garamond" w:eastAsiaTheme="minorEastAsia" w:hAnsi="Garamond"/>
          <w:noProof/>
          <w:lang w:eastAsia="en-GB"/>
        </w:rPr>
      </w:pPr>
      <w:hyperlink w:anchor="_Toc3973263" w:history="1">
        <w:r w:rsidR="001117A3" w:rsidRPr="003037D2">
          <w:rPr>
            <w:rStyle w:val="Hyperlink"/>
            <w:rFonts w:ascii="Garamond" w:hAnsi="Garamond"/>
            <w:iCs/>
            <w:noProof/>
            <w:lang w:eastAsia="zh-CN"/>
          </w:rPr>
          <w:t>Figure 47 London British Library Add MS 18044, f.174v ‘The Altar’</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_Toc3973263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259</w:t>
        </w:r>
        <w:r w:rsidR="001117A3" w:rsidRPr="003037D2">
          <w:rPr>
            <w:rFonts w:ascii="Garamond" w:hAnsi="Garamond"/>
            <w:noProof/>
            <w:webHidden/>
          </w:rPr>
          <w:fldChar w:fldCharType="end"/>
        </w:r>
      </w:hyperlink>
    </w:p>
    <w:p w14:paraId="6CFE2E40" w14:textId="648AF12A" w:rsidR="001117A3" w:rsidRPr="003037D2" w:rsidRDefault="00E04035">
      <w:pPr>
        <w:pStyle w:val="TableofFigures"/>
        <w:tabs>
          <w:tab w:val="right" w:leader="dot" w:pos="8052"/>
        </w:tabs>
        <w:rPr>
          <w:rFonts w:ascii="Garamond" w:eastAsiaTheme="minorEastAsia" w:hAnsi="Garamond"/>
          <w:noProof/>
          <w:lang w:eastAsia="en-GB"/>
        </w:rPr>
      </w:pPr>
      <w:hyperlink w:anchor="_Toc3973264" w:history="1">
        <w:r w:rsidR="001117A3" w:rsidRPr="003037D2">
          <w:rPr>
            <w:rStyle w:val="Hyperlink"/>
            <w:rFonts w:ascii="Garamond" w:hAnsi="Garamond"/>
            <w:iCs/>
            <w:noProof/>
            <w:lang w:eastAsia="zh-CN"/>
          </w:rPr>
          <w:t xml:space="preserve">Figure 48 George Herbert, ‘The Altar’ in </w:t>
        </w:r>
        <w:r w:rsidR="001117A3" w:rsidRPr="0002406D">
          <w:rPr>
            <w:rStyle w:val="Hyperlink"/>
            <w:rFonts w:ascii="Garamond" w:hAnsi="Garamond"/>
            <w:i/>
            <w:iCs/>
            <w:noProof/>
            <w:lang w:eastAsia="zh-CN"/>
          </w:rPr>
          <w:t>The Temple</w:t>
        </w:r>
        <w:r w:rsidR="001117A3" w:rsidRPr="003037D2">
          <w:rPr>
            <w:rStyle w:val="Hyperlink"/>
            <w:rFonts w:ascii="Garamond" w:hAnsi="Garamond"/>
            <w:iCs/>
            <w:noProof/>
            <w:lang w:eastAsia="zh-CN"/>
          </w:rPr>
          <w:t xml:space="preserve"> (London: 1641), p.18. Reproduction of the original in The Huntington Library (Early English Books Online)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_Toc3973264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259</w:t>
        </w:r>
        <w:r w:rsidR="001117A3" w:rsidRPr="003037D2">
          <w:rPr>
            <w:rFonts w:ascii="Garamond" w:hAnsi="Garamond"/>
            <w:noProof/>
            <w:webHidden/>
          </w:rPr>
          <w:fldChar w:fldCharType="end"/>
        </w:r>
      </w:hyperlink>
    </w:p>
    <w:p w14:paraId="6E41389F" w14:textId="1EF13EF3" w:rsidR="001117A3" w:rsidRPr="003037D2" w:rsidRDefault="00E04035">
      <w:pPr>
        <w:pStyle w:val="TableofFigures"/>
        <w:tabs>
          <w:tab w:val="right" w:leader="dot" w:pos="8052"/>
        </w:tabs>
        <w:rPr>
          <w:rFonts w:ascii="Garamond" w:eastAsiaTheme="minorEastAsia" w:hAnsi="Garamond"/>
          <w:noProof/>
          <w:lang w:eastAsia="en-GB"/>
        </w:rPr>
      </w:pPr>
      <w:hyperlink w:anchor="_Toc3973265" w:history="1">
        <w:r w:rsidR="001117A3" w:rsidRPr="003037D2">
          <w:rPr>
            <w:rStyle w:val="Hyperlink"/>
            <w:rFonts w:ascii="Garamond" w:hAnsi="Garamond"/>
            <w:iCs/>
            <w:noProof/>
            <w:lang w:eastAsia="zh-CN"/>
          </w:rPr>
          <w:t xml:space="preserve">Figure 49  </w:t>
        </w:r>
        <w:r w:rsidR="001117A3" w:rsidRPr="0002406D">
          <w:rPr>
            <w:rStyle w:val="Hyperlink"/>
            <w:rFonts w:ascii="Garamond" w:hAnsi="Garamond"/>
            <w:i/>
            <w:iCs/>
            <w:noProof/>
            <w:lang w:eastAsia="zh-CN"/>
          </w:rPr>
          <w:t xml:space="preserve">The Temple </w:t>
        </w:r>
        <w:r w:rsidR="001117A3" w:rsidRPr="003037D2">
          <w:rPr>
            <w:rStyle w:val="Hyperlink"/>
            <w:rFonts w:ascii="Garamond" w:hAnsi="Garamond"/>
            <w:iCs/>
            <w:noProof/>
            <w:lang w:eastAsia="zh-CN"/>
          </w:rPr>
          <w:t>(London: 1656) Title Page. Reproduction of original in the University of Illinois (Urbana-Champaign Campus) Library.  (Early English Books Online)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_Toc3973265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260</w:t>
        </w:r>
        <w:r w:rsidR="001117A3" w:rsidRPr="003037D2">
          <w:rPr>
            <w:rFonts w:ascii="Garamond" w:hAnsi="Garamond"/>
            <w:noProof/>
            <w:webHidden/>
          </w:rPr>
          <w:fldChar w:fldCharType="end"/>
        </w:r>
      </w:hyperlink>
    </w:p>
    <w:p w14:paraId="572610D7" w14:textId="73A099AE" w:rsidR="001117A3" w:rsidRPr="003037D2" w:rsidRDefault="00E04035">
      <w:pPr>
        <w:pStyle w:val="TableofFigures"/>
        <w:tabs>
          <w:tab w:val="right" w:leader="dot" w:pos="8052"/>
        </w:tabs>
        <w:rPr>
          <w:rFonts w:ascii="Garamond" w:eastAsiaTheme="minorEastAsia" w:hAnsi="Garamond"/>
          <w:noProof/>
          <w:lang w:eastAsia="en-GB"/>
        </w:rPr>
      </w:pPr>
      <w:hyperlink w:anchor="_Toc3973266" w:history="1">
        <w:r w:rsidR="001117A3" w:rsidRPr="003037D2">
          <w:rPr>
            <w:rStyle w:val="Hyperlink"/>
            <w:rFonts w:ascii="Garamond" w:hAnsi="Garamond"/>
            <w:iCs/>
            <w:noProof/>
            <w:lang w:eastAsia="zh-CN"/>
          </w:rPr>
          <w:t xml:space="preserve">Figure 50  George Herbert, ‘The Altar’ in </w:t>
        </w:r>
        <w:r w:rsidR="001117A3" w:rsidRPr="0002406D">
          <w:rPr>
            <w:rStyle w:val="Hyperlink"/>
            <w:rFonts w:ascii="Garamond" w:hAnsi="Garamond"/>
            <w:i/>
            <w:iCs/>
            <w:noProof/>
            <w:lang w:eastAsia="zh-CN"/>
          </w:rPr>
          <w:t>The Temple</w:t>
        </w:r>
        <w:r w:rsidR="001117A3" w:rsidRPr="003037D2">
          <w:rPr>
            <w:rStyle w:val="Hyperlink"/>
            <w:rFonts w:ascii="Garamond" w:hAnsi="Garamond"/>
            <w:iCs/>
            <w:noProof/>
            <w:lang w:eastAsia="zh-CN"/>
          </w:rPr>
          <w:t xml:space="preserve"> (London: 1656) p. 18. Reproduction of original in the University of Illinois (Urbana-Champaign Campus) Library. (Early English Books Online)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_Toc3973266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260</w:t>
        </w:r>
        <w:r w:rsidR="001117A3" w:rsidRPr="003037D2">
          <w:rPr>
            <w:rFonts w:ascii="Garamond" w:hAnsi="Garamond"/>
            <w:noProof/>
            <w:webHidden/>
          </w:rPr>
          <w:fldChar w:fldCharType="end"/>
        </w:r>
      </w:hyperlink>
    </w:p>
    <w:p w14:paraId="6A60E34A" w14:textId="4595632F" w:rsidR="001117A3" w:rsidRPr="003037D2" w:rsidRDefault="00E04035">
      <w:pPr>
        <w:pStyle w:val="TableofFigures"/>
        <w:tabs>
          <w:tab w:val="right" w:leader="dot" w:pos="8052"/>
        </w:tabs>
        <w:rPr>
          <w:rFonts w:ascii="Garamond" w:eastAsiaTheme="minorEastAsia" w:hAnsi="Garamond"/>
          <w:noProof/>
          <w:lang w:eastAsia="en-GB"/>
        </w:rPr>
      </w:pPr>
      <w:hyperlink w:anchor="_Toc3973267" w:history="1">
        <w:r w:rsidR="001117A3" w:rsidRPr="003037D2">
          <w:rPr>
            <w:rStyle w:val="Hyperlink"/>
            <w:rFonts w:ascii="Garamond" w:hAnsi="Garamond"/>
            <w:iCs/>
            <w:noProof/>
            <w:lang w:eastAsia="zh-CN"/>
          </w:rPr>
          <w:t xml:space="preserve">Figure 51 George Herbert, </w:t>
        </w:r>
        <w:r w:rsidR="001117A3" w:rsidRPr="0002406D">
          <w:rPr>
            <w:rStyle w:val="Hyperlink"/>
            <w:rFonts w:ascii="Garamond" w:hAnsi="Garamond"/>
            <w:i/>
            <w:iCs/>
            <w:noProof/>
            <w:lang w:eastAsia="zh-CN"/>
          </w:rPr>
          <w:t>The Temple</w:t>
        </w:r>
        <w:r w:rsidR="001117A3" w:rsidRPr="003037D2">
          <w:rPr>
            <w:rStyle w:val="Hyperlink"/>
            <w:rFonts w:ascii="Garamond" w:hAnsi="Garamond"/>
            <w:iCs/>
            <w:noProof/>
            <w:lang w:eastAsia="zh-CN"/>
          </w:rPr>
          <w:t xml:space="preserve"> (Cambridge[?]: 1656) Title Page. Reproduciton of the original in the Bodleian. (Early English Books Online)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_Toc3973267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261</w:t>
        </w:r>
        <w:r w:rsidR="001117A3" w:rsidRPr="003037D2">
          <w:rPr>
            <w:rFonts w:ascii="Garamond" w:hAnsi="Garamond"/>
            <w:noProof/>
            <w:webHidden/>
          </w:rPr>
          <w:fldChar w:fldCharType="end"/>
        </w:r>
      </w:hyperlink>
    </w:p>
    <w:p w14:paraId="21FC9043" w14:textId="2EE86E94" w:rsidR="001117A3" w:rsidRPr="003037D2" w:rsidRDefault="00E04035">
      <w:pPr>
        <w:pStyle w:val="TableofFigures"/>
        <w:tabs>
          <w:tab w:val="right" w:leader="dot" w:pos="8052"/>
        </w:tabs>
        <w:rPr>
          <w:rFonts w:ascii="Garamond" w:eastAsiaTheme="minorEastAsia" w:hAnsi="Garamond"/>
          <w:noProof/>
          <w:lang w:eastAsia="en-GB"/>
        </w:rPr>
      </w:pPr>
      <w:hyperlink w:anchor="_Toc3973268" w:history="1">
        <w:r w:rsidR="001117A3" w:rsidRPr="003037D2">
          <w:rPr>
            <w:rStyle w:val="Hyperlink"/>
            <w:rFonts w:ascii="Garamond" w:hAnsi="Garamond"/>
            <w:iCs/>
            <w:noProof/>
            <w:lang w:eastAsia="zh-CN"/>
          </w:rPr>
          <w:t xml:space="preserve">Figure 52 George Herbert, ‘The Altar’ in </w:t>
        </w:r>
        <w:r w:rsidR="001117A3" w:rsidRPr="0002406D">
          <w:rPr>
            <w:rStyle w:val="Hyperlink"/>
            <w:rFonts w:ascii="Garamond" w:hAnsi="Garamond"/>
            <w:i/>
            <w:iCs/>
            <w:noProof/>
            <w:u w:val="none"/>
            <w:lang w:eastAsia="zh-CN"/>
          </w:rPr>
          <w:t>The Temple</w:t>
        </w:r>
        <w:r w:rsidR="001117A3" w:rsidRPr="003037D2">
          <w:rPr>
            <w:rStyle w:val="Hyperlink"/>
            <w:rFonts w:ascii="Garamond" w:hAnsi="Garamond"/>
            <w:iCs/>
            <w:noProof/>
            <w:lang w:eastAsia="zh-CN"/>
          </w:rPr>
          <w:t xml:space="preserve"> (Cambridge[?]: 1656), p. 18. (Early English Books Online)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_Toc3973268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261</w:t>
        </w:r>
        <w:r w:rsidR="001117A3" w:rsidRPr="003037D2">
          <w:rPr>
            <w:rFonts w:ascii="Garamond" w:hAnsi="Garamond"/>
            <w:noProof/>
            <w:webHidden/>
          </w:rPr>
          <w:fldChar w:fldCharType="end"/>
        </w:r>
      </w:hyperlink>
    </w:p>
    <w:p w14:paraId="71370FE9" w14:textId="2637DC0A" w:rsidR="001117A3" w:rsidRPr="003037D2" w:rsidRDefault="00E04035">
      <w:pPr>
        <w:pStyle w:val="TableofFigures"/>
        <w:tabs>
          <w:tab w:val="right" w:leader="dot" w:pos="8052"/>
        </w:tabs>
        <w:rPr>
          <w:rFonts w:ascii="Garamond" w:eastAsiaTheme="minorEastAsia" w:hAnsi="Garamond"/>
          <w:noProof/>
          <w:lang w:eastAsia="en-GB"/>
        </w:rPr>
      </w:pPr>
      <w:hyperlink w:anchor="_Toc3973269" w:history="1">
        <w:r w:rsidR="001117A3" w:rsidRPr="003037D2">
          <w:rPr>
            <w:rStyle w:val="Hyperlink"/>
            <w:rFonts w:ascii="Garamond" w:hAnsi="Garamond"/>
            <w:iCs/>
            <w:noProof/>
            <w:lang w:eastAsia="zh-CN"/>
          </w:rPr>
          <w:t xml:space="preserve">Figure 53 </w:t>
        </w:r>
        <w:r w:rsidR="001117A3" w:rsidRPr="003037D2">
          <w:rPr>
            <w:rStyle w:val="Hyperlink"/>
            <w:rFonts w:ascii="Garamond" w:hAnsi="Garamond"/>
            <w:iCs/>
            <w:noProof/>
          </w:rPr>
          <w:t xml:space="preserve">Fragment (1 engraved leaf only) of an unidentified edition of Herbert's </w:t>
        </w:r>
        <w:r w:rsidR="001117A3" w:rsidRPr="0002406D">
          <w:rPr>
            <w:rStyle w:val="Hyperlink"/>
            <w:rFonts w:ascii="Garamond" w:hAnsi="Garamond"/>
            <w:i/>
            <w:iCs/>
            <w:noProof/>
          </w:rPr>
          <w:t>The Temple</w:t>
        </w:r>
        <w:r w:rsidR="001117A3" w:rsidRPr="003037D2">
          <w:rPr>
            <w:rStyle w:val="Hyperlink"/>
            <w:rFonts w:ascii="Garamond" w:hAnsi="Garamond"/>
            <w:iCs/>
            <w:noProof/>
            <w:lang w:eastAsia="zh-CN"/>
          </w:rPr>
          <w:t xml:space="preserve"> London, British Library Harl.5987114</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_Toc3973269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262</w:t>
        </w:r>
        <w:r w:rsidR="001117A3" w:rsidRPr="003037D2">
          <w:rPr>
            <w:rFonts w:ascii="Garamond" w:hAnsi="Garamond"/>
            <w:noProof/>
            <w:webHidden/>
          </w:rPr>
          <w:fldChar w:fldCharType="end"/>
        </w:r>
      </w:hyperlink>
    </w:p>
    <w:p w14:paraId="686A58F9" w14:textId="708BAA64" w:rsidR="001117A3" w:rsidRPr="003037D2" w:rsidRDefault="00E04035">
      <w:pPr>
        <w:pStyle w:val="TableofFigures"/>
        <w:tabs>
          <w:tab w:val="right" w:leader="dot" w:pos="8052"/>
        </w:tabs>
        <w:rPr>
          <w:rFonts w:ascii="Garamond" w:eastAsiaTheme="minorEastAsia" w:hAnsi="Garamond"/>
          <w:noProof/>
          <w:lang w:eastAsia="en-GB"/>
        </w:rPr>
      </w:pPr>
      <w:hyperlink w:anchor="_Toc3973270" w:history="1">
        <w:r w:rsidR="001117A3" w:rsidRPr="003037D2">
          <w:rPr>
            <w:rStyle w:val="Hyperlink"/>
            <w:rFonts w:ascii="Garamond" w:hAnsi="Garamond"/>
            <w:noProof/>
          </w:rPr>
          <w:t>Figure 54 Numbers of Sermon books published annually, 1620 – 1642</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_Toc3973270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263</w:t>
        </w:r>
        <w:r w:rsidR="001117A3" w:rsidRPr="003037D2">
          <w:rPr>
            <w:rFonts w:ascii="Garamond" w:hAnsi="Garamond"/>
            <w:noProof/>
            <w:webHidden/>
          </w:rPr>
          <w:fldChar w:fldCharType="end"/>
        </w:r>
      </w:hyperlink>
    </w:p>
    <w:p w14:paraId="52E4480F" w14:textId="6829A3D4" w:rsidR="001117A3" w:rsidRPr="003037D2" w:rsidRDefault="00E04035">
      <w:pPr>
        <w:pStyle w:val="TableofFigures"/>
        <w:tabs>
          <w:tab w:val="right" w:leader="dot" w:pos="8052"/>
        </w:tabs>
        <w:rPr>
          <w:rFonts w:ascii="Garamond" w:eastAsiaTheme="minorEastAsia" w:hAnsi="Garamond"/>
          <w:noProof/>
          <w:lang w:eastAsia="en-GB"/>
        </w:rPr>
      </w:pPr>
      <w:hyperlink w:anchor="_Toc3973271" w:history="1">
        <w:r w:rsidR="001117A3" w:rsidRPr="003037D2">
          <w:rPr>
            <w:rStyle w:val="Hyperlink"/>
            <w:rFonts w:ascii="Garamond" w:hAnsi="Garamond"/>
            <w:noProof/>
          </w:rPr>
          <w:t>Figure 55 Features of sermon book title pages, yearly change 1620 – 1642.</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_Toc3973271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264</w:t>
        </w:r>
        <w:r w:rsidR="001117A3" w:rsidRPr="003037D2">
          <w:rPr>
            <w:rFonts w:ascii="Garamond" w:hAnsi="Garamond"/>
            <w:noProof/>
            <w:webHidden/>
          </w:rPr>
          <w:fldChar w:fldCharType="end"/>
        </w:r>
      </w:hyperlink>
    </w:p>
    <w:p w14:paraId="1AAD4E1B" w14:textId="406E3B3C" w:rsidR="001117A3" w:rsidRPr="003037D2" w:rsidRDefault="00E04035">
      <w:pPr>
        <w:pStyle w:val="TableofFigures"/>
        <w:tabs>
          <w:tab w:val="right" w:leader="dot" w:pos="8052"/>
        </w:tabs>
        <w:rPr>
          <w:rFonts w:ascii="Garamond" w:eastAsiaTheme="minorEastAsia" w:hAnsi="Garamond"/>
          <w:noProof/>
          <w:lang w:eastAsia="en-GB"/>
        </w:rPr>
      </w:pPr>
      <w:hyperlink w:anchor="_Toc3973272" w:history="1">
        <w:r w:rsidR="001117A3" w:rsidRPr="003037D2">
          <w:rPr>
            <w:rStyle w:val="Hyperlink"/>
            <w:rFonts w:ascii="Garamond" w:hAnsi="Garamond"/>
            <w:noProof/>
          </w:rPr>
          <w:t>Figure 56 Annual figures for title page features</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_Toc3973272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265</w:t>
        </w:r>
        <w:r w:rsidR="001117A3" w:rsidRPr="003037D2">
          <w:rPr>
            <w:rFonts w:ascii="Garamond" w:hAnsi="Garamond"/>
            <w:noProof/>
            <w:webHidden/>
          </w:rPr>
          <w:fldChar w:fldCharType="end"/>
        </w:r>
      </w:hyperlink>
    </w:p>
    <w:p w14:paraId="059A0F72" w14:textId="2CBAD128" w:rsidR="001117A3" w:rsidRPr="003037D2" w:rsidRDefault="00E04035">
      <w:pPr>
        <w:pStyle w:val="TableofFigures"/>
        <w:tabs>
          <w:tab w:val="right" w:leader="dot" w:pos="8052"/>
        </w:tabs>
        <w:rPr>
          <w:rFonts w:ascii="Garamond" w:eastAsiaTheme="minorEastAsia" w:hAnsi="Garamond"/>
          <w:noProof/>
          <w:lang w:eastAsia="en-GB"/>
        </w:rPr>
      </w:pPr>
      <w:hyperlink w:anchor="_Toc3973273" w:history="1">
        <w:r w:rsidR="001117A3" w:rsidRPr="003037D2">
          <w:rPr>
            <w:rStyle w:val="Hyperlink"/>
            <w:rFonts w:ascii="Garamond" w:hAnsi="Garamond"/>
            <w:noProof/>
          </w:rPr>
          <w:t xml:space="preserve">Figure 57 </w:t>
        </w:r>
        <w:r w:rsidR="001117A3" w:rsidRPr="0002406D">
          <w:rPr>
            <w:rStyle w:val="Hyperlink"/>
            <w:rFonts w:ascii="Garamond" w:hAnsi="Garamond"/>
            <w:i/>
            <w:noProof/>
          </w:rPr>
          <w:t>The Brownists Conventicle</w:t>
        </w:r>
        <w:r w:rsidR="001117A3" w:rsidRPr="003037D2">
          <w:rPr>
            <w:rStyle w:val="Hyperlink"/>
            <w:rFonts w:ascii="Garamond" w:hAnsi="Garamond"/>
            <w:noProof/>
          </w:rPr>
          <w:t xml:space="preserve"> (London: 1641) (Early English Books Online)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_Toc3973273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266</w:t>
        </w:r>
        <w:r w:rsidR="001117A3" w:rsidRPr="003037D2">
          <w:rPr>
            <w:rFonts w:ascii="Garamond" w:hAnsi="Garamond"/>
            <w:noProof/>
            <w:webHidden/>
          </w:rPr>
          <w:fldChar w:fldCharType="end"/>
        </w:r>
      </w:hyperlink>
    </w:p>
    <w:p w14:paraId="024F2D48" w14:textId="344F9E18" w:rsidR="001117A3" w:rsidRPr="003037D2" w:rsidRDefault="00E04035">
      <w:pPr>
        <w:pStyle w:val="TableofFigures"/>
        <w:tabs>
          <w:tab w:val="right" w:leader="dot" w:pos="8052"/>
        </w:tabs>
        <w:rPr>
          <w:rFonts w:ascii="Garamond" w:eastAsiaTheme="minorEastAsia" w:hAnsi="Garamond"/>
          <w:noProof/>
          <w:lang w:eastAsia="en-GB"/>
        </w:rPr>
      </w:pPr>
      <w:hyperlink w:anchor="_Toc3973274" w:history="1">
        <w:r w:rsidR="001117A3" w:rsidRPr="003037D2">
          <w:rPr>
            <w:rStyle w:val="Hyperlink"/>
            <w:rFonts w:ascii="Garamond" w:hAnsi="Garamond"/>
            <w:noProof/>
          </w:rPr>
          <w:t>Figure 58 Dating referents used on sermon title pages, 1620 – 1642</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_Toc3973274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266</w:t>
        </w:r>
        <w:r w:rsidR="001117A3" w:rsidRPr="003037D2">
          <w:rPr>
            <w:rFonts w:ascii="Garamond" w:hAnsi="Garamond"/>
            <w:noProof/>
            <w:webHidden/>
          </w:rPr>
          <w:fldChar w:fldCharType="end"/>
        </w:r>
      </w:hyperlink>
    </w:p>
    <w:p w14:paraId="3288E4B8" w14:textId="1B3F6DFF" w:rsidR="001117A3" w:rsidRPr="003037D2" w:rsidRDefault="00E04035">
      <w:pPr>
        <w:pStyle w:val="TableofFigures"/>
        <w:tabs>
          <w:tab w:val="right" w:leader="dot" w:pos="8052"/>
        </w:tabs>
        <w:rPr>
          <w:rFonts w:ascii="Garamond" w:eastAsiaTheme="minorEastAsia" w:hAnsi="Garamond"/>
          <w:noProof/>
          <w:lang w:eastAsia="en-GB"/>
        </w:rPr>
      </w:pPr>
      <w:hyperlink w:anchor="_Toc3973275" w:history="1">
        <w:r w:rsidR="001117A3" w:rsidRPr="003037D2">
          <w:rPr>
            <w:rStyle w:val="Hyperlink"/>
            <w:rFonts w:ascii="Garamond" w:hAnsi="Garamond"/>
            <w:noProof/>
          </w:rPr>
          <w:t>Figure 59 Type of events referred to on title pages, percentages from 190 incidences, 1620 – 1642</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_Toc3973275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267</w:t>
        </w:r>
        <w:r w:rsidR="001117A3" w:rsidRPr="003037D2">
          <w:rPr>
            <w:rFonts w:ascii="Garamond" w:hAnsi="Garamond"/>
            <w:noProof/>
            <w:webHidden/>
          </w:rPr>
          <w:fldChar w:fldCharType="end"/>
        </w:r>
      </w:hyperlink>
    </w:p>
    <w:p w14:paraId="48BB3E36" w14:textId="19DEDB30" w:rsidR="001117A3" w:rsidRPr="003037D2" w:rsidRDefault="00E04035">
      <w:pPr>
        <w:pStyle w:val="TableofFigures"/>
        <w:tabs>
          <w:tab w:val="right" w:leader="dot" w:pos="8052"/>
        </w:tabs>
        <w:rPr>
          <w:rFonts w:ascii="Garamond" w:eastAsiaTheme="minorEastAsia" w:hAnsi="Garamond"/>
          <w:noProof/>
          <w:lang w:eastAsia="en-GB"/>
        </w:rPr>
      </w:pPr>
      <w:hyperlink w:anchor="_Toc3973276" w:history="1">
        <w:r w:rsidR="001117A3" w:rsidRPr="003037D2">
          <w:rPr>
            <w:rStyle w:val="Hyperlink"/>
            <w:rFonts w:ascii="Garamond" w:hAnsi="Garamond"/>
            <w:noProof/>
          </w:rPr>
          <w:t>Figure 60 Church festivals referred to on title pages, percentages from 54 incidences, 1620 – 1642</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_Toc3973276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267</w:t>
        </w:r>
        <w:r w:rsidR="001117A3" w:rsidRPr="003037D2">
          <w:rPr>
            <w:rFonts w:ascii="Garamond" w:hAnsi="Garamond"/>
            <w:noProof/>
            <w:webHidden/>
          </w:rPr>
          <w:fldChar w:fldCharType="end"/>
        </w:r>
      </w:hyperlink>
    </w:p>
    <w:p w14:paraId="524E8684" w14:textId="24408EC8" w:rsidR="001117A3" w:rsidRPr="003037D2" w:rsidRDefault="00E04035">
      <w:pPr>
        <w:pStyle w:val="TableofFigures"/>
        <w:tabs>
          <w:tab w:val="right" w:leader="dot" w:pos="8052"/>
        </w:tabs>
        <w:rPr>
          <w:rFonts w:ascii="Garamond" w:eastAsiaTheme="minorEastAsia" w:hAnsi="Garamond"/>
          <w:noProof/>
          <w:lang w:eastAsia="en-GB"/>
        </w:rPr>
      </w:pPr>
      <w:hyperlink w:anchor="_Toc3973277" w:history="1">
        <w:r w:rsidR="001117A3" w:rsidRPr="003037D2">
          <w:rPr>
            <w:rStyle w:val="Hyperlink"/>
            <w:rFonts w:ascii="Garamond" w:hAnsi="Garamond"/>
            <w:noProof/>
          </w:rPr>
          <w:t>Figure 61 Dating referents on sermon title pages, 1620 – 1642</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_Toc3973277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268</w:t>
        </w:r>
        <w:r w:rsidR="001117A3" w:rsidRPr="003037D2">
          <w:rPr>
            <w:rFonts w:ascii="Garamond" w:hAnsi="Garamond"/>
            <w:noProof/>
            <w:webHidden/>
          </w:rPr>
          <w:fldChar w:fldCharType="end"/>
        </w:r>
      </w:hyperlink>
    </w:p>
    <w:p w14:paraId="298B5B2F" w14:textId="64547958" w:rsidR="001117A3" w:rsidRPr="003037D2" w:rsidRDefault="00E04035">
      <w:pPr>
        <w:pStyle w:val="TableofFigures"/>
        <w:tabs>
          <w:tab w:val="right" w:leader="dot" w:pos="8052"/>
        </w:tabs>
        <w:rPr>
          <w:rFonts w:ascii="Garamond" w:eastAsiaTheme="minorEastAsia" w:hAnsi="Garamond"/>
          <w:noProof/>
          <w:lang w:eastAsia="en-GB"/>
        </w:rPr>
      </w:pPr>
      <w:hyperlink w:anchor="_Toc3973278" w:history="1">
        <w:r w:rsidR="001117A3" w:rsidRPr="003037D2">
          <w:rPr>
            <w:rStyle w:val="Hyperlink"/>
            <w:rFonts w:ascii="Garamond" w:hAnsi="Garamond"/>
            <w:noProof/>
          </w:rPr>
          <w:t>Figure 62 Place of preaching on sermon title pages, categorised, 1620 – 1642</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_Toc3973278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269</w:t>
        </w:r>
        <w:r w:rsidR="001117A3" w:rsidRPr="003037D2">
          <w:rPr>
            <w:rFonts w:ascii="Garamond" w:hAnsi="Garamond"/>
            <w:noProof/>
            <w:webHidden/>
          </w:rPr>
          <w:fldChar w:fldCharType="end"/>
        </w:r>
      </w:hyperlink>
    </w:p>
    <w:p w14:paraId="6235DCC2" w14:textId="3EB8792D" w:rsidR="001117A3" w:rsidRPr="003037D2" w:rsidRDefault="00E04035">
      <w:pPr>
        <w:pStyle w:val="TableofFigures"/>
        <w:tabs>
          <w:tab w:val="right" w:leader="dot" w:pos="8052"/>
        </w:tabs>
        <w:rPr>
          <w:rFonts w:ascii="Garamond" w:eastAsiaTheme="minorEastAsia" w:hAnsi="Garamond"/>
          <w:noProof/>
          <w:lang w:eastAsia="en-GB"/>
        </w:rPr>
      </w:pPr>
      <w:hyperlink w:anchor="_Toc3973279" w:history="1">
        <w:r w:rsidR="001117A3" w:rsidRPr="003037D2">
          <w:rPr>
            <w:rStyle w:val="Hyperlink"/>
            <w:rFonts w:ascii="Garamond" w:hAnsi="Garamond"/>
            <w:noProof/>
          </w:rPr>
          <w:t>Figure 63 Place of preaching specified on sermon title pages</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_Toc3973279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270</w:t>
        </w:r>
        <w:r w:rsidR="001117A3" w:rsidRPr="003037D2">
          <w:rPr>
            <w:rFonts w:ascii="Garamond" w:hAnsi="Garamond"/>
            <w:noProof/>
            <w:webHidden/>
          </w:rPr>
          <w:fldChar w:fldCharType="end"/>
        </w:r>
      </w:hyperlink>
    </w:p>
    <w:p w14:paraId="4762F1A4" w14:textId="12E2659C" w:rsidR="001117A3" w:rsidRPr="003037D2" w:rsidRDefault="00E04035">
      <w:pPr>
        <w:pStyle w:val="TableofFigures"/>
        <w:tabs>
          <w:tab w:val="right" w:leader="dot" w:pos="8052"/>
        </w:tabs>
        <w:rPr>
          <w:rFonts w:ascii="Garamond" w:eastAsiaTheme="minorEastAsia" w:hAnsi="Garamond"/>
          <w:noProof/>
          <w:lang w:eastAsia="en-GB"/>
        </w:rPr>
      </w:pPr>
      <w:hyperlink w:anchor="_Toc3973280" w:history="1">
        <w:r w:rsidR="001117A3" w:rsidRPr="003037D2">
          <w:rPr>
            <w:rStyle w:val="Hyperlink"/>
            <w:rFonts w:ascii="Garamond" w:hAnsi="Garamond"/>
            <w:noProof/>
          </w:rPr>
          <w:t>Figure 64 A Table of the equation of days (London: 1684) (Early English Books Online)</w:t>
        </w:r>
        <w:r w:rsidR="001117A3" w:rsidRPr="003037D2">
          <w:rPr>
            <w:rFonts w:ascii="Garamond" w:hAnsi="Garamond"/>
            <w:noProof/>
            <w:webHidden/>
          </w:rPr>
          <w:tab/>
        </w:r>
        <w:r w:rsidR="001117A3" w:rsidRPr="003037D2">
          <w:rPr>
            <w:rFonts w:ascii="Garamond" w:hAnsi="Garamond"/>
            <w:noProof/>
            <w:webHidden/>
          </w:rPr>
          <w:fldChar w:fldCharType="begin"/>
        </w:r>
        <w:r w:rsidR="001117A3" w:rsidRPr="003037D2">
          <w:rPr>
            <w:rFonts w:ascii="Garamond" w:hAnsi="Garamond"/>
            <w:noProof/>
            <w:webHidden/>
          </w:rPr>
          <w:instrText xml:space="preserve"> PAGEREF _Toc3973280 \h </w:instrText>
        </w:r>
        <w:r w:rsidR="001117A3" w:rsidRPr="003037D2">
          <w:rPr>
            <w:rFonts w:ascii="Garamond" w:hAnsi="Garamond"/>
            <w:noProof/>
            <w:webHidden/>
          </w:rPr>
        </w:r>
        <w:r w:rsidR="001117A3" w:rsidRPr="003037D2">
          <w:rPr>
            <w:rFonts w:ascii="Garamond" w:hAnsi="Garamond"/>
            <w:noProof/>
            <w:webHidden/>
          </w:rPr>
          <w:fldChar w:fldCharType="separate"/>
        </w:r>
        <w:r w:rsidR="009E481A">
          <w:rPr>
            <w:rFonts w:ascii="Garamond" w:hAnsi="Garamond"/>
            <w:noProof/>
            <w:webHidden/>
          </w:rPr>
          <w:t>271</w:t>
        </w:r>
        <w:r w:rsidR="001117A3" w:rsidRPr="003037D2">
          <w:rPr>
            <w:rFonts w:ascii="Garamond" w:hAnsi="Garamond"/>
            <w:noProof/>
            <w:webHidden/>
          </w:rPr>
          <w:fldChar w:fldCharType="end"/>
        </w:r>
      </w:hyperlink>
    </w:p>
    <w:p w14:paraId="58E47926" w14:textId="305C30AF" w:rsidR="00162224" w:rsidRPr="003037D2" w:rsidRDefault="00162224" w:rsidP="00162224">
      <w:pPr>
        <w:spacing w:line="360" w:lineRule="auto"/>
        <w:rPr>
          <w:rFonts w:ascii="Garamond" w:hAnsi="Garamond"/>
        </w:rPr>
      </w:pPr>
      <w:r w:rsidRPr="003037D2">
        <w:rPr>
          <w:rFonts w:ascii="Garamond" w:hAnsi="Garamond"/>
          <w:i/>
          <w:iCs/>
        </w:rPr>
        <w:fldChar w:fldCharType="end"/>
      </w:r>
    </w:p>
    <w:p w14:paraId="50088357" w14:textId="77777777" w:rsidR="00162224" w:rsidRPr="003037D2" w:rsidRDefault="00162224" w:rsidP="00162224">
      <w:pPr>
        <w:spacing w:line="360" w:lineRule="auto"/>
        <w:rPr>
          <w:rFonts w:ascii="Garamond" w:hAnsi="Garamond"/>
        </w:rPr>
      </w:pPr>
      <w:r w:rsidRPr="003037D2">
        <w:rPr>
          <w:rFonts w:ascii="Garamond" w:hAnsi="Garamond"/>
        </w:rPr>
        <w:tab/>
      </w:r>
    </w:p>
    <w:p w14:paraId="71A386F4" w14:textId="77777777" w:rsidR="00162224" w:rsidRPr="003037D2" w:rsidRDefault="00162224" w:rsidP="00162224">
      <w:pPr>
        <w:spacing w:line="360" w:lineRule="auto"/>
        <w:rPr>
          <w:rFonts w:ascii="Garamond" w:eastAsiaTheme="majorEastAsia" w:hAnsi="Garamond" w:cstheme="majorBidi"/>
          <w:color w:val="2F5496" w:themeColor="accent1" w:themeShade="BF"/>
        </w:rPr>
      </w:pPr>
    </w:p>
    <w:p w14:paraId="297D437D" w14:textId="2E58985B" w:rsidR="00162224" w:rsidRDefault="00162224" w:rsidP="00162224">
      <w:pPr>
        <w:spacing w:line="360" w:lineRule="auto"/>
        <w:rPr>
          <w:rFonts w:ascii="Garamond" w:eastAsiaTheme="majorEastAsia" w:hAnsi="Garamond" w:cstheme="majorBidi"/>
          <w:color w:val="2F5496" w:themeColor="accent1" w:themeShade="BF"/>
        </w:rPr>
      </w:pPr>
    </w:p>
    <w:p w14:paraId="17D9B546" w14:textId="160C0C95" w:rsidR="0002406D" w:rsidRDefault="0002406D" w:rsidP="00162224">
      <w:pPr>
        <w:spacing w:line="360" w:lineRule="auto"/>
        <w:rPr>
          <w:rFonts w:ascii="Garamond" w:eastAsiaTheme="majorEastAsia" w:hAnsi="Garamond" w:cstheme="majorBidi"/>
          <w:color w:val="2F5496" w:themeColor="accent1" w:themeShade="BF"/>
        </w:rPr>
      </w:pPr>
    </w:p>
    <w:p w14:paraId="674B74E9" w14:textId="1714A478" w:rsidR="0002406D" w:rsidRDefault="0002406D" w:rsidP="00162224">
      <w:pPr>
        <w:spacing w:line="360" w:lineRule="auto"/>
        <w:rPr>
          <w:rFonts w:ascii="Garamond" w:eastAsiaTheme="majorEastAsia" w:hAnsi="Garamond" w:cstheme="majorBidi"/>
          <w:color w:val="2F5496" w:themeColor="accent1" w:themeShade="BF"/>
        </w:rPr>
      </w:pPr>
    </w:p>
    <w:p w14:paraId="0DF6538F" w14:textId="77777777" w:rsidR="0002406D" w:rsidRPr="003037D2" w:rsidRDefault="0002406D" w:rsidP="00162224">
      <w:pPr>
        <w:spacing w:line="360" w:lineRule="auto"/>
        <w:rPr>
          <w:rFonts w:ascii="Garamond" w:eastAsiaTheme="majorEastAsia" w:hAnsi="Garamond" w:cstheme="majorBidi"/>
          <w:color w:val="2F5496" w:themeColor="accent1" w:themeShade="BF"/>
        </w:rPr>
      </w:pPr>
    </w:p>
    <w:p w14:paraId="4592EE33" w14:textId="690807EB" w:rsidR="00162224" w:rsidRPr="003037D2" w:rsidRDefault="00162224" w:rsidP="00162224">
      <w:pPr>
        <w:pStyle w:val="Heading1"/>
        <w:spacing w:line="360" w:lineRule="auto"/>
        <w:jc w:val="center"/>
        <w:rPr>
          <w:rFonts w:ascii="Garamond" w:hAnsi="Garamond"/>
          <w:color w:val="4472C4" w:themeColor="accent1"/>
          <w:sz w:val="22"/>
          <w:szCs w:val="22"/>
        </w:rPr>
      </w:pPr>
      <w:bookmarkStart w:id="1" w:name="_Toc3967158"/>
      <w:r w:rsidRPr="003037D2">
        <w:rPr>
          <w:rFonts w:ascii="Garamond" w:hAnsi="Garamond"/>
          <w:color w:val="4472C4" w:themeColor="accent1"/>
          <w:sz w:val="22"/>
          <w:szCs w:val="22"/>
        </w:rPr>
        <w:lastRenderedPageBreak/>
        <w:t>Textual Notes</w:t>
      </w:r>
      <w:bookmarkEnd w:id="1"/>
    </w:p>
    <w:p w14:paraId="7424B0E3" w14:textId="77777777" w:rsidR="00162224" w:rsidRPr="003037D2" w:rsidRDefault="00162224" w:rsidP="00162224">
      <w:pPr>
        <w:rPr>
          <w:rFonts w:ascii="Garamond" w:hAnsi="Garamond"/>
          <w:lang w:val="en-GB"/>
        </w:rPr>
      </w:pPr>
    </w:p>
    <w:p w14:paraId="34F06AC3" w14:textId="50C492D9" w:rsidR="00162224" w:rsidRPr="003037D2" w:rsidRDefault="00162224" w:rsidP="00162224">
      <w:pPr>
        <w:spacing w:line="360" w:lineRule="auto"/>
        <w:rPr>
          <w:rFonts w:ascii="Garamond" w:hAnsi="Garamond"/>
        </w:rPr>
      </w:pPr>
      <w:r w:rsidRPr="003037D2">
        <w:rPr>
          <w:rFonts w:ascii="Garamond" w:hAnsi="Garamond"/>
        </w:rPr>
        <w:t xml:space="preserve">For the sake of clarity and brevity, references to almanacs are made by author and date, rather than giving full publication details. These can be cross-referenced with the Bibliography and Appendix I for further details on the specific copies consulted. </w:t>
      </w:r>
    </w:p>
    <w:p w14:paraId="5AAE0513" w14:textId="77777777" w:rsidR="00162224" w:rsidRPr="003037D2" w:rsidRDefault="00162224" w:rsidP="00162224">
      <w:pPr>
        <w:spacing w:line="360" w:lineRule="auto"/>
        <w:rPr>
          <w:rFonts w:ascii="Garamond" w:hAnsi="Garamond"/>
        </w:rPr>
      </w:pPr>
    </w:p>
    <w:p w14:paraId="25820C48" w14:textId="17454B92" w:rsidR="00162224" w:rsidRPr="003037D2" w:rsidRDefault="00162224" w:rsidP="00162224">
      <w:pPr>
        <w:spacing w:line="360" w:lineRule="auto"/>
        <w:rPr>
          <w:rFonts w:ascii="Garamond" w:hAnsi="Garamond"/>
        </w:rPr>
      </w:pPr>
      <w:r w:rsidRPr="003037D2">
        <w:rPr>
          <w:rFonts w:ascii="Garamond" w:hAnsi="Garamond"/>
        </w:rPr>
        <w:t xml:space="preserve">Original spellings have been preserved when citing early modern texts, although u-v and </w:t>
      </w:r>
      <w:proofErr w:type="spellStart"/>
      <w:r w:rsidRPr="003037D2">
        <w:rPr>
          <w:rFonts w:ascii="Garamond" w:hAnsi="Garamond"/>
        </w:rPr>
        <w:t>i</w:t>
      </w:r>
      <w:proofErr w:type="spellEnd"/>
      <w:r w:rsidRPr="003037D2">
        <w:rPr>
          <w:rFonts w:ascii="Garamond" w:hAnsi="Garamond"/>
        </w:rPr>
        <w:t xml:space="preserve">-j have been corrected for clarity. Quotations from the Bible are taken from the King James Version, unless otherwise stated. </w:t>
      </w:r>
    </w:p>
    <w:p w14:paraId="5870D071" w14:textId="7AF965ED" w:rsidR="00162224" w:rsidRPr="003037D2" w:rsidRDefault="00162224" w:rsidP="00162224">
      <w:pPr>
        <w:spacing w:line="360" w:lineRule="auto"/>
        <w:rPr>
          <w:rFonts w:ascii="Garamond" w:hAnsi="Garamond"/>
        </w:rPr>
      </w:pPr>
    </w:p>
    <w:p w14:paraId="4CC81DFF" w14:textId="0F4CE5D3" w:rsidR="00162224" w:rsidRPr="003037D2" w:rsidRDefault="00162224" w:rsidP="00162224">
      <w:pPr>
        <w:spacing w:line="360" w:lineRule="auto"/>
        <w:rPr>
          <w:rFonts w:ascii="Garamond" w:hAnsi="Garamond"/>
        </w:rPr>
      </w:pPr>
      <w:r w:rsidRPr="003037D2">
        <w:rPr>
          <w:rFonts w:ascii="Garamond" w:hAnsi="Garamond"/>
        </w:rPr>
        <w:t>Images are either author</w:t>
      </w:r>
      <w:r w:rsidR="00673797" w:rsidRPr="003037D2">
        <w:rPr>
          <w:rFonts w:ascii="Garamond" w:hAnsi="Garamond"/>
        </w:rPr>
        <w:t>’</w:t>
      </w:r>
      <w:r w:rsidRPr="003037D2">
        <w:rPr>
          <w:rFonts w:ascii="Garamond" w:hAnsi="Garamond"/>
        </w:rPr>
        <w:t xml:space="preserve">s own or reproduced with permission, under the fair usage policy. </w:t>
      </w:r>
    </w:p>
    <w:p w14:paraId="091DFE20" w14:textId="77777777" w:rsidR="00162224" w:rsidRPr="003037D2" w:rsidRDefault="00162224" w:rsidP="00162224">
      <w:pPr>
        <w:spacing w:line="360" w:lineRule="auto"/>
        <w:rPr>
          <w:rFonts w:ascii="Garamond" w:hAnsi="Garamond"/>
        </w:rPr>
      </w:pPr>
      <w:r w:rsidRPr="003037D2">
        <w:rPr>
          <w:rFonts w:ascii="Garamond" w:hAnsi="Garamond"/>
        </w:rPr>
        <w:br w:type="page"/>
      </w:r>
    </w:p>
    <w:p w14:paraId="5EAACE8A" w14:textId="77777777" w:rsidR="00162224" w:rsidRPr="003037D2" w:rsidRDefault="00162224" w:rsidP="00162224">
      <w:pPr>
        <w:pStyle w:val="Heading1"/>
        <w:spacing w:line="360" w:lineRule="auto"/>
        <w:rPr>
          <w:rFonts w:ascii="Garamond" w:hAnsi="Garamond"/>
          <w:b/>
          <w:bCs/>
          <w:sz w:val="28"/>
          <w:szCs w:val="28"/>
        </w:rPr>
      </w:pPr>
      <w:bookmarkStart w:id="2" w:name="_Toc3967159"/>
      <w:r w:rsidRPr="003037D2">
        <w:rPr>
          <w:rFonts w:ascii="Garamond" w:hAnsi="Garamond"/>
          <w:b/>
          <w:bCs/>
          <w:sz w:val="28"/>
          <w:szCs w:val="28"/>
        </w:rPr>
        <w:lastRenderedPageBreak/>
        <w:t>INTRODUCTION</w:t>
      </w:r>
      <w:bookmarkEnd w:id="2"/>
    </w:p>
    <w:p w14:paraId="59C277D2" w14:textId="77777777" w:rsidR="00162224" w:rsidRPr="003037D2" w:rsidRDefault="00E04035" w:rsidP="00162224">
      <w:pPr>
        <w:spacing w:line="360" w:lineRule="auto"/>
        <w:rPr>
          <w:rFonts w:ascii="Garamond" w:hAnsi="Garamond"/>
        </w:rPr>
      </w:pPr>
      <w:r>
        <w:rPr>
          <w:rFonts w:ascii="Garamond" w:hAnsi="Garamond"/>
        </w:rPr>
        <w:pict w14:anchorId="4FDBD7D4">
          <v:rect id="_x0000_i1025" style="width:0;height:1.5pt" o:hralign="center" o:hrstd="t" o:hr="t" fillcolor="#a0a0a0" stroked="f"/>
        </w:pict>
      </w:r>
    </w:p>
    <w:p w14:paraId="2FF291EF" w14:textId="77777777" w:rsidR="00162224" w:rsidRPr="003037D2" w:rsidRDefault="00162224" w:rsidP="00162224">
      <w:pPr>
        <w:spacing w:line="360" w:lineRule="auto"/>
        <w:ind w:firstLine="567"/>
        <w:rPr>
          <w:rFonts w:ascii="Garamond" w:hAnsi="Garamond"/>
        </w:rPr>
      </w:pPr>
    </w:p>
    <w:p w14:paraId="147B9E84" w14:textId="0C321360" w:rsidR="00162224" w:rsidRPr="003037D2" w:rsidRDefault="00162224" w:rsidP="00162224">
      <w:pPr>
        <w:spacing w:line="360" w:lineRule="auto"/>
        <w:ind w:firstLine="567"/>
        <w:rPr>
          <w:rFonts w:ascii="Garamond" w:hAnsi="Garamond"/>
        </w:rPr>
      </w:pPr>
      <w:r w:rsidRPr="003037D2">
        <w:rPr>
          <w:rFonts w:ascii="Garamond" w:hAnsi="Garamond"/>
        </w:rPr>
        <w:t xml:space="preserve">Around a year before Queen Elizabeth’s death, she completed her last progress, which took her to the </w:t>
      </w:r>
      <w:proofErr w:type="spellStart"/>
      <w:r w:rsidRPr="003037D2">
        <w:rPr>
          <w:rFonts w:ascii="Garamond" w:hAnsi="Garamond"/>
        </w:rPr>
        <w:t>Egerton</w:t>
      </w:r>
      <w:r w:rsidR="00747C8B" w:rsidRPr="003037D2">
        <w:rPr>
          <w:rFonts w:ascii="Garamond" w:hAnsi="Garamond"/>
        </w:rPr>
        <w:t>s</w:t>
      </w:r>
      <w:proofErr w:type="spellEnd"/>
      <w:r w:rsidRPr="003037D2">
        <w:rPr>
          <w:rFonts w:ascii="Garamond" w:hAnsi="Garamond"/>
        </w:rPr>
        <w:t>’ newly purchased Harefield Palace in Middlesex. The entertainment the Egerton family arranged for her was one of the most expensive of the period, with food and drink alone costing more that £2,000.</w:t>
      </w:r>
      <w:r w:rsidRPr="003037D2">
        <w:rPr>
          <w:rStyle w:val="FootnoteReference"/>
          <w:rFonts w:ascii="Garamond" w:hAnsi="Garamond"/>
        </w:rPr>
        <w:footnoteReference w:id="1"/>
      </w:r>
      <w:r w:rsidRPr="003037D2">
        <w:rPr>
          <w:rFonts w:ascii="Garamond" w:hAnsi="Garamond"/>
        </w:rPr>
        <w:t xml:space="preserve"> The </w:t>
      </w:r>
      <w:bookmarkStart w:id="3" w:name="_Hlk523686618"/>
      <w:r w:rsidRPr="003037D2">
        <w:rPr>
          <w:rFonts w:ascii="Garamond" w:hAnsi="Garamond"/>
        </w:rPr>
        <w:t xml:space="preserve">Queen was presented with a crystal heart made from ‘a diamond without a </w:t>
      </w:r>
      <w:proofErr w:type="spellStart"/>
      <w:r w:rsidRPr="003037D2">
        <w:rPr>
          <w:rFonts w:ascii="Garamond" w:hAnsi="Garamond"/>
        </w:rPr>
        <w:t>foyle</w:t>
      </w:r>
      <w:proofErr w:type="spellEnd"/>
      <w:r w:rsidRPr="003037D2">
        <w:rPr>
          <w:rFonts w:ascii="Garamond" w:hAnsi="Garamond"/>
        </w:rPr>
        <w:t xml:space="preserve">’ costing £300, a feather shaped jewel valued at £600, a rainbow gown that cost £340, a </w:t>
      </w:r>
      <w:proofErr w:type="spellStart"/>
      <w:r w:rsidRPr="003037D2">
        <w:rPr>
          <w:rFonts w:ascii="Garamond" w:hAnsi="Garamond"/>
        </w:rPr>
        <w:t>bejewelled</w:t>
      </w:r>
      <w:proofErr w:type="spellEnd"/>
      <w:r w:rsidRPr="003037D2">
        <w:rPr>
          <w:rFonts w:ascii="Garamond" w:hAnsi="Garamond"/>
        </w:rPr>
        <w:t xml:space="preserve"> anchor worth 100 marks and more jewels in the shape of a spade and fork.</w:t>
      </w:r>
      <w:r w:rsidRPr="003037D2">
        <w:rPr>
          <w:rStyle w:val="FootnoteReference"/>
          <w:rFonts w:ascii="Garamond" w:hAnsi="Garamond"/>
        </w:rPr>
        <w:footnoteReference w:id="2"/>
      </w:r>
      <w:r w:rsidRPr="003037D2">
        <w:rPr>
          <w:rFonts w:ascii="Garamond" w:hAnsi="Garamond"/>
        </w:rPr>
        <w:t xml:space="preserve"> In the ‘Harefield Entertainment’, written by </w:t>
      </w:r>
      <w:bookmarkEnd w:id="3"/>
      <w:r w:rsidRPr="003037D2">
        <w:rPr>
          <w:rFonts w:ascii="Garamond" w:hAnsi="Garamond"/>
        </w:rPr>
        <w:t>John Davies and widely circulated in manuscript, Time and Place meet and debate which of them is best suited to pay homage to the Queen. The directions for costuming reflect the differences between the two characters: ‘</w:t>
      </w:r>
      <w:r w:rsidRPr="003037D2">
        <w:rPr>
          <w:rFonts w:ascii="Garamond" w:hAnsi="Garamond"/>
          <w:i/>
        </w:rPr>
        <w:t xml:space="preserve">Place </w:t>
      </w:r>
      <w:r w:rsidRPr="003037D2">
        <w:rPr>
          <w:rFonts w:ascii="Garamond" w:hAnsi="Garamond"/>
        </w:rPr>
        <w:t xml:space="preserve">in a </w:t>
      </w:r>
      <w:proofErr w:type="spellStart"/>
      <w:r w:rsidRPr="003037D2">
        <w:rPr>
          <w:rFonts w:ascii="Garamond" w:hAnsi="Garamond"/>
        </w:rPr>
        <w:t>partie-coloured</w:t>
      </w:r>
      <w:proofErr w:type="spellEnd"/>
      <w:r w:rsidRPr="003037D2">
        <w:rPr>
          <w:rFonts w:ascii="Garamond" w:hAnsi="Garamond"/>
        </w:rPr>
        <w:t xml:space="preserve"> robe, like the brick house. </w:t>
      </w:r>
      <w:r w:rsidRPr="003037D2">
        <w:rPr>
          <w:rFonts w:ascii="Garamond" w:hAnsi="Garamond"/>
          <w:i/>
        </w:rPr>
        <w:t>Time</w:t>
      </w:r>
      <w:r w:rsidRPr="003037D2">
        <w:rPr>
          <w:rFonts w:ascii="Garamond" w:hAnsi="Garamond"/>
        </w:rPr>
        <w:t xml:space="preserve"> with yellow </w:t>
      </w:r>
      <w:proofErr w:type="spellStart"/>
      <w:r w:rsidRPr="003037D2">
        <w:rPr>
          <w:rFonts w:ascii="Garamond" w:hAnsi="Garamond"/>
        </w:rPr>
        <w:t>haire</w:t>
      </w:r>
      <w:proofErr w:type="spellEnd"/>
      <w:r w:rsidRPr="003037D2">
        <w:rPr>
          <w:rFonts w:ascii="Garamond" w:hAnsi="Garamond"/>
        </w:rPr>
        <w:t xml:space="preserve">, and in a green robe, with a </w:t>
      </w:r>
      <w:proofErr w:type="spellStart"/>
      <w:r w:rsidRPr="003037D2">
        <w:rPr>
          <w:rFonts w:ascii="Garamond" w:hAnsi="Garamond"/>
        </w:rPr>
        <w:t>hower</w:t>
      </w:r>
      <w:proofErr w:type="spellEnd"/>
      <w:r w:rsidRPr="003037D2">
        <w:rPr>
          <w:rFonts w:ascii="Garamond" w:hAnsi="Garamond"/>
        </w:rPr>
        <w:t xml:space="preserve"> </w:t>
      </w:r>
      <w:proofErr w:type="spellStart"/>
      <w:r w:rsidRPr="003037D2">
        <w:rPr>
          <w:rFonts w:ascii="Garamond" w:hAnsi="Garamond"/>
        </w:rPr>
        <w:t>glasse</w:t>
      </w:r>
      <w:proofErr w:type="spellEnd"/>
      <w:r w:rsidRPr="003037D2">
        <w:rPr>
          <w:rFonts w:ascii="Garamond" w:hAnsi="Garamond"/>
        </w:rPr>
        <w:t>, stopped, not running’.</w:t>
      </w:r>
      <w:r w:rsidRPr="003037D2">
        <w:rPr>
          <w:rStyle w:val="FootnoteReference"/>
          <w:rFonts w:ascii="Garamond" w:hAnsi="Garamond"/>
        </w:rPr>
        <w:footnoteReference w:id="3"/>
      </w:r>
      <w:r w:rsidRPr="003037D2">
        <w:rPr>
          <w:rFonts w:ascii="Garamond" w:hAnsi="Garamond"/>
        </w:rPr>
        <w:t xml:space="preserve"> Whilst Place is dressed to reflect the actual location of the entertainment, Harefield Palace, the visual imagery of Time is drawn from a wider emblematic tradition. The hourglass was, and indeed continues to be, one of the most common visual symbols of the passing of time: featured in </w:t>
      </w:r>
      <w:r w:rsidRPr="003037D2">
        <w:rPr>
          <w:rFonts w:ascii="Garamond" w:hAnsi="Garamond"/>
          <w:i/>
          <w:iCs/>
        </w:rPr>
        <w:t xml:space="preserve">vanitas </w:t>
      </w:r>
      <w:r w:rsidRPr="003037D2">
        <w:rPr>
          <w:rFonts w:ascii="Garamond" w:hAnsi="Garamond"/>
        </w:rPr>
        <w:t xml:space="preserve">paintings, on tombstones, in the hands of Death in emblems, and as a prop for preachers keeping their time in the pulpit. Simon Cohen has discussed how from the 1450s onwards, hourglasses, and other ‘symbols that expressed the nature and effects of time in relation to human existence’ began to appear regularly in art. The </w:t>
      </w:r>
      <w:proofErr w:type="gramStart"/>
      <w:r w:rsidRPr="003037D2">
        <w:rPr>
          <w:rFonts w:ascii="Garamond" w:hAnsi="Garamond"/>
        </w:rPr>
        <w:t>hourglass in particular, expressed</w:t>
      </w:r>
      <w:proofErr w:type="gramEnd"/>
      <w:r w:rsidRPr="003037D2">
        <w:rPr>
          <w:rFonts w:ascii="Garamond" w:hAnsi="Garamond"/>
        </w:rPr>
        <w:t xml:space="preserve"> the ‘brevity of human life… the sense of value that men attached to the brief time allotted them’.</w:t>
      </w:r>
      <w:r w:rsidRPr="003037D2">
        <w:rPr>
          <w:rStyle w:val="FootnoteReference"/>
          <w:rFonts w:ascii="Garamond" w:hAnsi="Garamond"/>
        </w:rPr>
        <w:t xml:space="preserve"> </w:t>
      </w:r>
      <w:r w:rsidRPr="003037D2">
        <w:rPr>
          <w:rStyle w:val="FootnoteReference"/>
          <w:rFonts w:ascii="Garamond" w:hAnsi="Garamond"/>
        </w:rPr>
        <w:footnoteReference w:id="4"/>
      </w:r>
    </w:p>
    <w:p w14:paraId="657CDEA8" w14:textId="77777777" w:rsidR="00162224" w:rsidRPr="003037D2" w:rsidRDefault="00162224" w:rsidP="00162224">
      <w:pPr>
        <w:spacing w:line="360" w:lineRule="auto"/>
        <w:ind w:firstLine="567"/>
        <w:rPr>
          <w:rFonts w:ascii="Garamond" w:hAnsi="Garamond"/>
          <w:i/>
          <w:iCs/>
        </w:rPr>
      </w:pPr>
    </w:p>
    <w:p w14:paraId="0276AF6C" w14:textId="46B2E417" w:rsidR="00162224" w:rsidRPr="003037D2" w:rsidRDefault="00162224" w:rsidP="00162224">
      <w:pPr>
        <w:spacing w:line="360" w:lineRule="auto"/>
        <w:ind w:firstLine="567"/>
        <w:rPr>
          <w:rFonts w:ascii="Garamond" w:hAnsi="Garamond"/>
        </w:rPr>
      </w:pPr>
      <w:r w:rsidRPr="003037D2">
        <w:rPr>
          <w:rFonts w:ascii="Garamond" w:hAnsi="Garamond"/>
        </w:rPr>
        <w:lastRenderedPageBreak/>
        <w:t xml:space="preserve">The debate between the two allegorical characters plays with ideas of how to visually and theatrically represent Time, something which should forever be on the move. Place asks, ‘Farewell, goodbye, </w:t>
      </w:r>
      <w:r w:rsidRPr="003037D2">
        <w:rPr>
          <w:rFonts w:ascii="Garamond" w:hAnsi="Garamond"/>
          <w:i/>
        </w:rPr>
        <w:t xml:space="preserve">Time; </w:t>
      </w:r>
      <w:r w:rsidRPr="003037D2">
        <w:rPr>
          <w:rFonts w:ascii="Garamond" w:hAnsi="Garamond"/>
        </w:rPr>
        <w:t xml:space="preserve">are you not gone? </w:t>
      </w:r>
      <w:proofErr w:type="spellStart"/>
      <w:r w:rsidRPr="003037D2">
        <w:rPr>
          <w:rFonts w:ascii="Garamond" w:hAnsi="Garamond"/>
        </w:rPr>
        <w:t>Doe</w:t>
      </w:r>
      <w:proofErr w:type="spellEnd"/>
      <w:r w:rsidRPr="003037D2">
        <w:rPr>
          <w:rFonts w:ascii="Garamond" w:hAnsi="Garamond"/>
        </w:rPr>
        <w:t xml:space="preserve"> you stay </w:t>
      </w:r>
      <w:proofErr w:type="gramStart"/>
      <w:r w:rsidRPr="003037D2">
        <w:rPr>
          <w:rFonts w:ascii="Garamond" w:hAnsi="Garamond"/>
        </w:rPr>
        <w:t>here?</w:t>
      </w:r>
      <w:proofErr w:type="gramEnd"/>
      <w:r w:rsidRPr="003037D2">
        <w:rPr>
          <w:rFonts w:ascii="Garamond" w:hAnsi="Garamond"/>
        </w:rPr>
        <w:t xml:space="preserve"> I wonder that </w:t>
      </w:r>
      <w:r w:rsidRPr="003037D2">
        <w:rPr>
          <w:rFonts w:ascii="Garamond" w:hAnsi="Garamond"/>
          <w:i/>
        </w:rPr>
        <w:t xml:space="preserve">Time </w:t>
      </w:r>
      <w:r w:rsidRPr="003037D2">
        <w:rPr>
          <w:rFonts w:ascii="Garamond" w:hAnsi="Garamond"/>
        </w:rPr>
        <w:t xml:space="preserve">should stay </w:t>
      </w:r>
      <w:proofErr w:type="spellStart"/>
      <w:r w:rsidRPr="003037D2">
        <w:rPr>
          <w:rFonts w:ascii="Garamond" w:hAnsi="Garamond"/>
        </w:rPr>
        <w:t>any where</w:t>
      </w:r>
      <w:proofErr w:type="spellEnd"/>
      <w:r w:rsidRPr="003037D2">
        <w:rPr>
          <w:rFonts w:ascii="Garamond" w:hAnsi="Garamond"/>
        </w:rPr>
        <w:t>’.</w:t>
      </w:r>
      <w:r w:rsidRPr="003037D2">
        <w:rPr>
          <w:rStyle w:val="FootnoteReference"/>
          <w:rFonts w:ascii="Garamond" w:hAnsi="Garamond"/>
        </w:rPr>
        <w:footnoteReference w:id="5"/>
      </w:r>
      <w:r w:rsidRPr="003037D2">
        <w:rPr>
          <w:rFonts w:ascii="Garamond" w:hAnsi="Garamond"/>
        </w:rPr>
        <w:t xml:space="preserve"> Place is presuming that this Time is fleeting, in the tradition of </w:t>
      </w:r>
      <w:r w:rsidRPr="003037D2">
        <w:rPr>
          <w:rFonts w:ascii="Garamond" w:hAnsi="Garamond"/>
          <w:i/>
        </w:rPr>
        <w:t>Kairos</w:t>
      </w:r>
      <w:r w:rsidRPr="003037D2">
        <w:rPr>
          <w:rFonts w:ascii="Garamond" w:hAnsi="Garamond"/>
        </w:rPr>
        <w:t xml:space="preserve">, the opportune moment, who in emblems is often pictured running off with her hair shaved into a forelock to prevent capture. Time swiftly subverts this, countering ‘I stay to </w:t>
      </w:r>
      <w:proofErr w:type="spellStart"/>
      <w:r w:rsidRPr="003037D2">
        <w:rPr>
          <w:rFonts w:ascii="Garamond" w:hAnsi="Garamond"/>
        </w:rPr>
        <w:t>entertaine</w:t>
      </w:r>
      <w:proofErr w:type="spellEnd"/>
      <w:r w:rsidRPr="003037D2">
        <w:rPr>
          <w:rFonts w:ascii="Garamond" w:hAnsi="Garamond"/>
        </w:rPr>
        <w:t xml:space="preserve"> the wonder of this time, wherein I would pray thee to </w:t>
      </w:r>
      <w:proofErr w:type="spellStart"/>
      <w:r w:rsidRPr="003037D2">
        <w:rPr>
          <w:rFonts w:ascii="Garamond" w:hAnsi="Garamond"/>
        </w:rPr>
        <w:t>joyne</w:t>
      </w:r>
      <w:proofErr w:type="spellEnd"/>
      <w:r w:rsidRPr="003037D2">
        <w:rPr>
          <w:rFonts w:ascii="Garamond" w:hAnsi="Garamond"/>
        </w:rPr>
        <w:t xml:space="preserve"> </w:t>
      </w:r>
      <w:proofErr w:type="spellStart"/>
      <w:r w:rsidRPr="003037D2">
        <w:rPr>
          <w:rFonts w:ascii="Garamond" w:hAnsi="Garamond"/>
        </w:rPr>
        <w:t>mee</w:t>
      </w:r>
      <w:proofErr w:type="spellEnd"/>
      <w:r w:rsidRPr="003037D2">
        <w:rPr>
          <w:rFonts w:ascii="Garamond" w:hAnsi="Garamond"/>
        </w:rPr>
        <w:t xml:space="preserve">, if thou were not too little for her greatness; for it </w:t>
      </w:r>
      <w:proofErr w:type="spellStart"/>
      <w:r w:rsidRPr="003037D2">
        <w:rPr>
          <w:rFonts w:ascii="Garamond" w:hAnsi="Garamond"/>
        </w:rPr>
        <w:t>weare</w:t>
      </w:r>
      <w:proofErr w:type="spellEnd"/>
      <w:r w:rsidRPr="003037D2">
        <w:rPr>
          <w:rFonts w:ascii="Garamond" w:hAnsi="Garamond"/>
        </w:rPr>
        <w:t xml:space="preserve"> as great a miracle for thee to receive her as to see the ocean shut up in a little </w:t>
      </w:r>
      <w:proofErr w:type="spellStart"/>
      <w:r w:rsidRPr="003037D2">
        <w:rPr>
          <w:rFonts w:ascii="Garamond" w:hAnsi="Garamond"/>
        </w:rPr>
        <w:t>creeke</w:t>
      </w:r>
      <w:proofErr w:type="spellEnd"/>
      <w:r w:rsidRPr="003037D2">
        <w:rPr>
          <w:rFonts w:ascii="Garamond" w:hAnsi="Garamond"/>
        </w:rPr>
        <w:t xml:space="preserve">, or the circumference shrink unto the point of the </w:t>
      </w:r>
      <w:proofErr w:type="spellStart"/>
      <w:r w:rsidRPr="003037D2">
        <w:rPr>
          <w:rFonts w:ascii="Garamond" w:hAnsi="Garamond"/>
        </w:rPr>
        <w:t>centre</w:t>
      </w:r>
      <w:proofErr w:type="spellEnd"/>
      <w:r w:rsidRPr="003037D2">
        <w:rPr>
          <w:rFonts w:ascii="Garamond" w:hAnsi="Garamond"/>
        </w:rPr>
        <w:t>’.</w:t>
      </w:r>
      <w:r w:rsidRPr="003037D2">
        <w:rPr>
          <w:rStyle w:val="FootnoteReference"/>
          <w:rFonts w:ascii="Garamond" w:hAnsi="Garamond"/>
        </w:rPr>
        <w:footnoteReference w:id="6"/>
      </w:r>
      <w:r w:rsidRPr="003037D2">
        <w:rPr>
          <w:rFonts w:ascii="Garamond" w:hAnsi="Garamond"/>
        </w:rPr>
        <w:t xml:space="preserve"> ‘This time’ is collectively experienced public time, more expansive than restrictive space. Time can expand around the central point of the Queen, whilst for space to ‘receive’ her would necessitate a shrinking. However, Place scoffs at this presentation of communal time, retorting ‘you are so </w:t>
      </w:r>
      <w:proofErr w:type="spellStart"/>
      <w:r w:rsidRPr="003037D2">
        <w:rPr>
          <w:rFonts w:ascii="Garamond" w:hAnsi="Garamond"/>
        </w:rPr>
        <w:t>gaye</w:t>
      </w:r>
      <w:proofErr w:type="spellEnd"/>
      <w:r w:rsidRPr="003037D2">
        <w:rPr>
          <w:rFonts w:ascii="Garamond" w:hAnsi="Garamond"/>
        </w:rPr>
        <w:t xml:space="preserve">, fresh, and cheerful. You are the present </w:t>
      </w:r>
      <w:r w:rsidRPr="003037D2">
        <w:rPr>
          <w:rFonts w:ascii="Garamond" w:hAnsi="Garamond"/>
          <w:i/>
        </w:rPr>
        <w:t xml:space="preserve">Time, </w:t>
      </w:r>
      <w:r w:rsidRPr="003037D2">
        <w:rPr>
          <w:rFonts w:ascii="Garamond" w:hAnsi="Garamond"/>
        </w:rPr>
        <w:t xml:space="preserve">are you not? Then what </w:t>
      </w:r>
      <w:proofErr w:type="spellStart"/>
      <w:r w:rsidRPr="003037D2">
        <w:rPr>
          <w:rFonts w:ascii="Garamond" w:hAnsi="Garamond"/>
        </w:rPr>
        <w:t>neede</w:t>
      </w:r>
      <w:proofErr w:type="spellEnd"/>
      <w:r w:rsidRPr="003037D2">
        <w:rPr>
          <w:rFonts w:ascii="Garamond" w:hAnsi="Garamond"/>
        </w:rPr>
        <w:t xml:space="preserve"> you make such haste? Let me see, your wings are </w:t>
      </w:r>
      <w:proofErr w:type="spellStart"/>
      <w:r w:rsidRPr="003037D2">
        <w:rPr>
          <w:rFonts w:ascii="Garamond" w:hAnsi="Garamond"/>
        </w:rPr>
        <w:t>clipt</w:t>
      </w:r>
      <w:proofErr w:type="spellEnd"/>
      <w:r w:rsidRPr="003037D2">
        <w:rPr>
          <w:rFonts w:ascii="Garamond" w:hAnsi="Garamond"/>
        </w:rPr>
        <w:t xml:space="preserve">, and, for ought I see, your </w:t>
      </w:r>
      <w:proofErr w:type="spellStart"/>
      <w:r w:rsidRPr="003037D2">
        <w:rPr>
          <w:rFonts w:ascii="Garamond" w:hAnsi="Garamond"/>
        </w:rPr>
        <w:t>hower-glasse</w:t>
      </w:r>
      <w:proofErr w:type="spellEnd"/>
      <w:r w:rsidRPr="003037D2">
        <w:rPr>
          <w:rFonts w:ascii="Garamond" w:hAnsi="Garamond"/>
        </w:rPr>
        <w:t xml:space="preserve"> </w:t>
      </w:r>
      <w:proofErr w:type="spellStart"/>
      <w:r w:rsidRPr="003037D2">
        <w:rPr>
          <w:rFonts w:ascii="Garamond" w:hAnsi="Garamond"/>
        </w:rPr>
        <w:t>runnes</w:t>
      </w:r>
      <w:proofErr w:type="spellEnd"/>
      <w:r w:rsidRPr="003037D2">
        <w:rPr>
          <w:rFonts w:ascii="Garamond" w:hAnsi="Garamond"/>
        </w:rPr>
        <w:t xml:space="preserve"> not’.</w:t>
      </w:r>
      <w:r w:rsidRPr="003037D2">
        <w:rPr>
          <w:rStyle w:val="FootnoteReference"/>
          <w:rFonts w:ascii="Garamond" w:hAnsi="Garamond"/>
        </w:rPr>
        <w:footnoteReference w:id="7"/>
      </w:r>
      <w:r w:rsidRPr="003037D2">
        <w:rPr>
          <w:rFonts w:ascii="Garamond" w:hAnsi="Garamond"/>
        </w:rPr>
        <w:t xml:space="preserve"> In Place’s assessment</w:t>
      </w:r>
      <w:r w:rsidR="00EA1F4D" w:rsidRPr="003037D2">
        <w:rPr>
          <w:rFonts w:ascii="Garamond" w:hAnsi="Garamond"/>
        </w:rPr>
        <w:t>,</w:t>
      </w:r>
      <w:r w:rsidRPr="003037D2">
        <w:rPr>
          <w:rFonts w:ascii="Garamond" w:hAnsi="Garamond"/>
        </w:rPr>
        <w:t xml:space="preserve"> present Time is powerless due to his immobility.</w:t>
      </w:r>
      <w:r w:rsidR="00C03F06" w:rsidRPr="003037D2">
        <w:rPr>
          <w:rFonts w:ascii="Garamond" w:hAnsi="Garamond"/>
        </w:rPr>
        <w:t xml:space="preserve"> </w:t>
      </w:r>
      <w:r w:rsidR="00EA1F4D" w:rsidRPr="003037D2">
        <w:rPr>
          <w:rFonts w:ascii="Garamond" w:hAnsi="Garamond"/>
        </w:rPr>
        <w:t>Time counters this attack by</w:t>
      </w:r>
      <w:r w:rsidRPr="003037D2">
        <w:rPr>
          <w:rFonts w:ascii="Garamond" w:hAnsi="Garamond"/>
        </w:rPr>
        <w:t xml:space="preserve"> recourse to the highest power, that of the Queen:</w:t>
      </w:r>
    </w:p>
    <w:p w14:paraId="1E34744A" w14:textId="1C7554FB" w:rsidR="00162224" w:rsidRPr="003037D2" w:rsidRDefault="00162224" w:rsidP="00162224">
      <w:pPr>
        <w:ind w:left="567" w:right="567"/>
        <w:rPr>
          <w:rFonts w:ascii="Garamond" w:hAnsi="Garamond"/>
        </w:rPr>
      </w:pPr>
      <w:r w:rsidRPr="003037D2">
        <w:rPr>
          <w:rFonts w:ascii="Garamond" w:hAnsi="Garamond"/>
        </w:rPr>
        <w:t xml:space="preserve">My wings are </w:t>
      </w:r>
      <w:proofErr w:type="spellStart"/>
      <w:r w:rsidRPr="003037D2">
        <w:rPr>
          <w:rFonts w:ascii="Garamond" w:hAnsi="Garamond"/>
        </w:rPr>
        <w:t>clipt</w:t>
      </w:r>
      <w:proofErr w:type="spellEnd"/>
      <w:r w:rsidRPr="003037D2">
        <w:rPr>
          <w:rFonts w:ascii="Garamond" w:hAnsi="Garamond"/>
        </w:rPr>
        <w:t xml:space="preserve"> indeed, and it is her hands hath </w:t>
      </w:r>
      <w:proofErr w:type="spellStart"/>
      <w:r w:rsidRPr="003037D2">
        <w:rPr>
          <w:rFonts w:ascii="Garamond" w:hAnsi="Garamond"/>
        </w:rPr>
        <w:t>clipt</w:t>
      </w:r>
      <w:proofErr w:type="spellEnd"/>
      <w:r w:rsidRPr="003037D2">
        <w:rPr>
          <w:rFonts w:ascii="Garamond" w:hAnsi="Garamond"/>
        </w:rPr>
        <w:t xml:space="preserve"> them: and, tis true, my </w:t>
      </w:r>
      <w:proofErr w:type="spellStart"/>
      <w:r w:rsidRPr="003037D2">
        <w:rPr>
          <w:rFonts w:ascii="Garamond" w:hAnsi="Garamond"/>
        </w:rPr>
        <w:t>glasse</w:t>
      </w:r>
      <w:proofErr w:type="spellEnd"/>
      <w:r w:rsidRPr="003037D2">
        <w:rPr>
          <w:rFonts w:ascii="Garamond" w:hAnsi="Garamond"/>
        </w:rPr>
        <w:t xml:space="preserve"> runs not, indeed it hath bine </w:t>
      </w:r>
      <w:proofErr w:type="spellStart"/>
      <w:r w:rsidRPr="003037D2">
        <w:rPr>
          <w:rFonts w:ascii="Garamond" w:hAnsi="Garamond"/>
        </w:rPr>
        <w:t>stopt</w:t>
      </w:r>
      <w:proofErr w:type="spellEnd"/>
      <w:r w:rsidRPr="003037D2">
        <w:rPr>
          <w:rFonts w:ascii="Garamond" w:hAnsi="Garamond"/>
        </w:rPr>
        <w:t xml:space="preserve"> a </w:t>
      </w:r>
      <w:proofErr w:type="spellStart"/>
      <w:r w:rsidRPr="003037D2">
        <w:rPr>
          <w:rFonts w:ascii="Garamond" w:hAnsi="Garamond"/>
        </w:rPr>
        <w:t>longe</w:t>
      </w:r>
      <w:proofErr w:type="spellEnd"/>
      <w:r w:rsidRPr="003037D2">
        <w:rPr>
          <w:rFonts w:ascii="Garamond" w:hAnsi="Garamond"/>
        </w:rPr>
        <w:t xml:space="preserve"> time, it can never </w:t>
      </w:r>
      <w:proofErr w:type="spellStart"/>
      <w:r w:rsidRPr="003037D2">
        <w:rPr>
          <w:rFonts w:ascii="Garamond" w:hAnsi="Garamond"/>
        </w:rPr>
        <w:t>rune</w:t>
      </w:r>
      <w:proofErr w:type="spellEnd"/>
      <w:r w:rsidRPr="003037D2">
        <w:rPr>
          <w:rFonts w:ascii="Garamond" w:hAnsi="Garamond"/>
        </w:rPr>
        <w:t xml:space="preserve"> </w:t>
      </w:r>
      <w:proofErr w:type="gramStart"/>
      <w:r w:rsidRPr="003037D2">
        <w:rPr>
          <w:rFonts w:ascii="Garamond" w:hAnsi="Garamond"/>
        </w:rPr>
        <w:t>as long as</w:t>
      </w:r>
      <w:proofErr w:type="gramEnd"/>
      <w:r w:rsidRPr="003037D2">
        <w:rPr>
          <w:rFonts w:ascii="Garamond" w:hAnsi="Garamond"/>
        </w:rPr>
        <w:t xml:space="preserve"> I </w:t>
      </w:r>
      <w:proofErr w:type="spellStart"/>
      <w:r w:rsidRPr="003037D2">
        <w:rPr>
          <w:rFonts w:ascii="Garamond" w:hAnsi="Garamond"/>
        </w:rPr>
        <w:t>waite</w:t>
      </w:r>
      <w:proofErr w:type="spellEnd"/>
      <w:r w:rsidRPr="003037D2">
        <w:rPr>
          <w:rFonts w:ascii="Garamond" w:hAnsi="Garamond"/>
        </w:rPr>
        <w:t xml:space="preserve"> upon this M[</w:t>
      </w:r>
      <w:proofErr w:type="spellStart"/>
      <w:r w:rsidRPr="003037D2">
        <w:rPr>
          <w:rFonts w:ascii="Garamond" w:hAnsi="Garamond"/>
        </w:rPr>
        <w:t>istress</w:t>
      </w:r>
      <w:proofErr w:type="spellEnd"/>
      <w:r w:rsidRPr="003037D2">
        <w:rPr>
          <w:rFonts w:ascii="Garamond" w:hAnsi="Garamond"/>
        </w:rPr>
        <w:t xml:space="preserve">]. I [am] her </w:t>
      </w:r>
      <w:r w:rsidRPr="003037D2">
        <w:rPr>
          <w:rFonts w:ascii="Garamond" w:hAnsi="Garamond"/>
          <w:i/>
        </w:rPr>
        <w:t xml:space="preserve">Time; </w:t>
      </w:r>
      <w:r w:rsidRPr="003037D2">
        <w:rPr>
          <w:rFonts w:ascii="Garamond" w:hAnsi="Garamond"/>
        </w:rPr>
        <w:t xml:space="preserve">and </w:t>
      </w:r>
      <w:r w:rsidRPr="003037D2">
        <w:rPr>
          <w:rFonts w:ascii="Garamond" w:hAnsi="Garamond"/>
          <w:i/>
        </w:rPr>
        <w:t xml:space="preserve">time </w:t>
      </w:r>
      <w:proofErr w:type="spellStart"/>
      <w:r w:rsidRPr="003037D2">
        <w:rPr>
          <w:rFonts w:ascii="Garamond" w:hAnsi="Garamond"/>
        </w:rPr>
        <w:t>weare</w:t>
      </w:r>
      <w:proofErr w:type="spellEnd"/>
      <w:r w:rsidRPr="003037D2">
        <w:rPr>
          <w:rFonts w:ascii="Garamond" w:hAnsi="Garamond"/>
        </w:rPr>
        <w:t xml:space="preserve"> very </w:t>
      </w:r>
      <w:proofErr w:type="spellStart"/>
      <w:r w:rsidRPr="003037D2">
        <w:rPr>
          <w:rFonts w:ascii="Garamond" w:hAnsi="Garamond"/>
        </w:rPr>
        <w:t>ungratefull</w:t>
      </w:r>
      <w:proofErr w:type="spellEnd"/>
      <w:r w:rsidRPr="003037D2">
        <w:rPr>
          <w:rFonts w:ascii="Garamond" w:hAnsi="Garamond"/>
        </w:rPr>
        <w:t xml:space="preserve">, if it should not ever stand still, to serve and protect and cherish and delight her, that is the glory of her time, and makes the </w:t>
      </w:r>
      <w:r w:rsidRPr="003037D2">
        <w:rPr>
          <w:rFonts w:ascii="Garamond" w:hAnsi="Garamond"/>
          <w:i/>
        </w:rPr>
        <w:t xml:space="preserve">Time </w:t>
      </w:r>
      <w:r w:rsidRPr="003037D2">
        <w:rPr>
          <w:rFonts w:ascii="Garamond" w:hAnsi="Garamond"/>
        </w:rPr>
        <w:t xml:space="preserve">happy where she </w:t>
      </w:r>
      <w:proofErr w:type="spellStart"/>
      <w:r w:rsidRPr="003037D2">
        <w:rPr>
          <w:rFonts w:ascii="Garamond" w:hAnsi="Garamond"/>
        </w:rPr>
        <w:t>liveth</w:t>
      </w:r>
      <w:proofErr w:type="spellEnd"/>
      <w:r w:rsidR="00995EAF" w:rsidRPr="003037D2">
        <w:rPr>
          <w:rFonts w:ascii="Garamond" w:hAnsi="Garamond"/>
        </w:rPr>
        <w:t>.</w:t>
      </w:r>
      <w:r w:rsidRPr="003037D2">
        <w:rPr>
          <w:rStyle w:val="FootnoteReference"/>
          <w:rFonts w:ascii="Garamond" w:hAnsi="Garamond"/>
        </w:rPr>
        <w:footnoteReference w:id="8"/>
      </w:r>
      <w:r w:rsidRPr="003037D2">
        <w:rPr>
          <w:rFonts w:ascii="Garamond" w:hAnsi="Garamond"/>
        </w:rPr>
        <w:t xml:space="preserve"> </w:t>
      </w:r>
    </w:p>
    <w:p w14:paraId="5D5DFB3F" w14:textId="3EA51AC7" w:rsidR="00162224" w:rsidRPr="003037D2" w:rsidRDefault="00162224" w:rsidP="00162224">
      <w:pPr>
        <w:spacing w:line="360" w:lineRule="auto"/>
        <w:rPr>
          <w:rFonts w:ascii="Garamond" w:hAnsi="Garamond"/>
        </w:rPr>
      </w:pPr>
      <w:r w:rsidRPr="003037D2">
        <w:rPr>
          <w:rFonts w:ascii="Garamond" w:hAnsi="Garamond"/>
        </w:rPr>
        <w:t xml:space="preserve">A </w:t>
      </w:r>
      <w:proofErr w:type="spellStart"/>
      <w:r w:rsidRPr="003037D2">
        <w:rPr>
          <w:rFonts w:ascii="Garamond" w:hAnsi="Garamond"/>
        </w:rPr>
        <w:t>personalised</w:t>
      </w:r>
      <w:proofErr w:type="spellEnd"/>
      <w:r w:rsidRPr="003037D2">
        <w:rPr>
          <w:rFonts w:ascii="Garamond" w:hAnsi="Garamond"/>
        </w:rPr>
        <w:t xml:space="preserve"> view of time is proffered, one which is shaped to the Queen’s desires. Time </w:t>
      </w:r>
      <w:r w:rsidR="00EA1F4D" w:rsidRPr="003037D2">
        <w:rPr>
          <w:rFonts w:ascii="Garamond" w:hAnsi="Garamond"/>
        </w:rPr>
        <w:t xml:space="preserve">is </w:t>
      </w:r>
      <w:r w:rsidRPr="003037D2">
        <w:rPr>
          <w:rFonts w:ascii="Garamond" w:hAnsi="Garamond"/>
        </w:rPr>
        <w:t xml:space="preserve">acting as her servant, a literal </w:t>
      </w:r>
      <w:r w:rsidRPr="003037D2">
        <w:rPr>
          <w:rFonts w:ascii="Garamond" w:hAnsi="Garamond"/>
          <w:i/>
        </w:rPr>
        <w:t>waiting</w:t>
      </w:r>
      <w:r w:rsidRPr="003037D2">
        <w:rPr>
          <w:rFonts w:ascii="Garamond" w:hAnsi="Garamond"/>
        </w:rPr>
        <w:t xml:space="preserve"> man. Place himself reinforces this sense of personal time later in the entertainment. When the Queen came to leave, Place, ‘</w:t>
      </w:r>
      <w:proofErr w:type="spellStart"/>
      <w:r w:rsidRPr="003037D2">
        <w:rPr>
          <w:rFonts w:ascii="Garamond" w:hAnsi="Garamond"/>
        </w:rPr>
        <w:t>attyred</w:t>
      </w:r>
      <w:proofErr w:type="spellEnd"/>
      <w:r w:rsidRPr="003037D2">
        <w:rPr>
          <w:rFonts w:ascii="Garamond" w:hAnsi="Garamond"/>
        </w:rPr>
        <w:t xml:space="preserve"> in black mourning </w:t>
      </w:r>
      <w:proofErr w:type="spellStart"/>
      <w:r w:rsidRPr="003037D2">
        <w:rPr>
          <w:rFonts w:ascii="Garamond" w:hAnsi="Garamond"/>
        </w:rPr>
        <w:t>aparell</w:t>
      </w:r>
      <w:proofErr w:type="spellEnd"/>
      <w:r w:rsidRPr="003037D2">
        <w:rPr>
          <w:rFonts w:ascii="Garamond" w:hAnsi="Garamond"/>
        </w:rPr>
        <w:t xml:space="preserve">’, bemoans the fact that while ‘the present cheerful </w:t>
      </w:r>
      <w:r w:rsidRPr="003037D2">
        <w:rPr>
          <w:rFonts w:ascii="Garamond" w:hAnsi="Garamond"/>
          <w:i/>
        </w:rPr>
        <w:t>Time</w:t>
      </w:r>
      <w:r w:rsidRPr="003037D2">
        <w:rPr>
          <w:rFonts w:ascii="Garamond" w:hAnsi="Garamond"/>
        </w:rPr>
        <w:t xml:space="preserve">’ can ‘depart with you; and, blessed as he is, must ever fly before you… I have no wings as </w:t>
      </w:r>
      <w:r w:rsidRPr="003037D2">
        <w:rPr>
          <w:rFonts w:ascii="Garamond" w:hAnsi="Garamond"/>
          <w:i/>
        </w:rPr>
        <w:t xml:space="preserve">Time </w:t>
      </w:r>
      <w:r w:rsidRPr="003037D2">
        <w:rPr>
          <w:rFonts w:ascii="Garamond" w:hAnsi="Garamond"/>
        </w:rPr>
        <w:t>hath’</w:t>
      </w:r>
      <w:r w:rsidR="00C03F06" w:rsidRPr="003037D2">
        <w:rPr>
          <w:rFonts w:ascii="Garamond" w:hAnsi="Garamond"/>
        </w:rPr>
        <w:t>.</w:t>
      </w:r>
      <w:r w:rsidRPr="003037D2">
        <w:rPr>
          <w:rStyle w:val="FootnoteReference"/>
          <w:rFonts w:ascii="Garamond" w:hAnsi="Garamond"/>
        </w:rPr>
        <w:footnoteReference w:id="9"/>
      </w:r>
      <w:r w:rsidRPr="003037D2">
        <w:rPr>
          <w:rFonts w:ascii="Garamond" w:hAnsi="Garamond"/>
        </w:rPr>
        <w:t xml:space="preserve"> This idea of a </w:t>
      </w:r>
      <w:proofErr w:type="spellStart"/>
      <w:r w:rsidRPr="003037D2">
        <w:rPr>
          <w:rFonts w:ascii="Garamond" w:hAnsi="Garamond"/>
        </w:rPr>
        <w:t>personalised</w:t>
      </w:r>
      <w:proofErr w:type="spellEnd"/>
      <w:r w:rsidRPr="003037D2">
        <w:rPr>
          <w:rFonts w:ascii="Garamond" w:hAnsi="Garamond"/>
        </w:rPr>
        <w:t xml:space="preserve"> present time is an intriguing one. Many texts depict man as the stooge of time, as in Hasting’s statement that ‘we are </w:t>
      </w:r>
      <w:r w:rsidRPr="003037D2">
        <w:rPr>
          <w:rFonts w:ascii="Garamond" w:hAnsi="Garamond"/>
        </w:rPr>
        <w:lastRenderedPageBreak/>
        <w:t xml:space="preserve">Time’s subject, and Time bids begone’ in </w:t>
      </w:r>
      <w:r w:rsidRPr="003037D2">
        <w:rPr>
          <w:rFonts w:ascii="Garamond" w:hAnsi="Garamond"/>
          <w:i/>
        </w:rPr>
        <w:t>Henry IV, part II</w:t>
      </w:r>
      <w:r w:rsidRPr="003037D2">
        <w:rPr>
          <w:rFonts w:ascii="Garamond" w:hAnsi="Garamond"/>
        </w:rPr>
        <w:t>.</w:t>
      </w:r>
      <w:r w:rsidRPr="003037D2">
        <w:rPr>
          <w:rStyle w:val="FootnoteReference"/>
          <w:rFonts w:ascii="Garamond" w:hAnsi="Garamond"/>
        </w:rPr>
        <w:footnoteReference w:id="10"/>
      </w:r>
      <w:r w:rsidRPr="003037D2">
        <w:rPr>
          <w:rFonts w:ascii="Garamond" w:hAnsi="Garamond"/>
        </w:rPr>
        <w:t xml:space="preserve"> However, in the Harefield entertainment this subjectivity is altered. It is the Queen who is being addressed, for whom this spectacle is prepared, the one person who cannot be subject, even to time. </w:t>
      </w:r>
    </w:p>
    <w:p w14:paraId="797C91D9" w14:textId="77777777" w:rsidR="00162224" w:rsidRPr="003037D2" w:rsidRDefault="00162224" w:rsidP="00162224">
      <w:pPr>
        <w:spacing w:line="360" w:lineRule="auto"/>
        <w:rPr>
          <w:rFonts w:ascii="Garamond" w:hAnsi="Garamond"/>
        </w:rPr>
      </w:pPr>
    </w:p>
    <w:p w14:paraId="3AF43C9A" w14:textId="1A351D44" w:rsidR="00162224" w:rsidRPr="003037D2" w:rsidRDefault="00162224" w:rsidP="00162224">
      <w:pPr>
        <w:spacing w:line="360" w:lineRule="auto"/>
        <w:ind w:firstLine="720"/>
        <w:rPr>
          <w:rFonts w:ascii="Garamond" w:hAnsi="Garamond"/>
        </w:rPr>
      </w:pPr>
      <w:r w:rsidRPr="003037D2">
        <w:rPr>
          <w:rFonts w:ascii="Garamond" w:hAnsi="Garamond"/>
        </w:rPr>
        <w:t xml:space="preserve">There are several strands to this depiction of Time that deserve to be picked out: Place’s initial invocation of </w:t>
      </w:r>
      <w:r w:rsidRPr="003037D2">
        <w:rPr>
          <w:rFonts w:ascii="Garamond" w:hAnsi="Garamond"/>
          <w:i/>
        </w:rPr>
        <w:t xml:space="preserve">Kairos, </w:t>
      </w:r>
      <w:r w:rsidRPr="003037D2">
        <w:rPr>
          <w:rFonts w:ascii="Garamond" w:hAnsi="Garamond"/>
        </w:rPr>
        <w:t xml:space="preserve">moving, shifting time; ‘the present cheerful </w:t>
      </w:r>
      <w:r w:rsidRPr="003037D2">
        <w:rPr>
          <w:rFonts w:ascii="Garamond" w:hAnsi="Garamond"/>
          <w:i/>
        </w:rPr>
        <w:t>Time’</w:t>
      </w:r>
      <w:r w:rsidRPr="003037D2">
        <w:rPr>
          <w:rFonts w:ascii="Garamond" w:hAnsi="Garamond"/>
        </w:rPr>
        <w:t xml:space="preserve">; historical or public time (‘the glory of her time’); and </w:t>
      </w:r>
      <w:proofErr w:type="spellStart"/>
      <w:r w:rsidRPr="003037D2">
        <w:rPr>
          <w:rFonts w:ascii="Garamond" w:hAnsi="Garamond"/>
        </w:rPr>
        <w:t>personalised</w:t>
      </w:r>
      <w:proofErr w:type="spellEnd"/>
      <w:r w:rsidRPr="003037D2">
        <w:rPr>
          <w:rFonts w:ascii="Garamond" w:hAnsi="Garamond"/>
        </w:rPr>
        <w:t>, controlled time. The presentation of Time, as ‘</w:t>
      </w:r>
      <w:proofErr w:type="spellStart"/>
      <w:r w:rsidRPr="003037D2">
        <w:rPr>
          <w:rFonts w:ascii="Garamond" w:hAnsi="Garamond"/>
        </w:rPr>
        <w:t>gaye</w:t>
      </w:r>
      <w:proofErr w:type="spellEnd"/>
      <w:r w:rsidRPr="003037D2">
        <w:rPr>
          <w:rFonts w:ascii="Garamond" w:hAnsi="Garamond"/>
        </w:rPr>
        <w:t>, fresh, and cheerful’, with ‘</w:t>
      </w:r>
      <w:proofErr w:type="spellStart"/>
      <w:r w:rsidRPr="003037D2">
        <w:rPr>
          <w:rFonts w:ascii="Garamond" w:hAnsi="Garamond"/>
        </w:rPr>
        <w:t>clip’t</w:t>
      </w:r>
      <w:proofErr w:type="spellEnd"/>
      <w:r w:rsidRPr="003037D2">
        <w:rPr>
          <w:rFonts w:ascii="Garamond" w:hAnsi="Garamond"/>
        </w:rPr>
        <w:t xml:space="preserve"> wings’ and a stopped hourglass is an unusual one. Time was more commonly pictured winged and fleeting, as ‘Time walks and flies but never stands still’.</w:t>
      </w:r>
      <w:r w:rsidRPr="003037D2">
        <w:rPr>
          <w:rStyle w:val="FootnoteReference"/>
          <w:rFonts w:ascii="Garamond" w:hAnsi="Garamond"/>
        </w:rPr>
        <w:footnoteReference w:id="11"/>
      </w:r>
      <w:r w:rsidRPr="003037D2">
        <w:rPr>
          <w:rFonts w:ascii="Garamond" w:hAnsi="Garamond"/>
        </w:rPr>
        <w:t xml:space="preserve"> Medieval paintings often depicted Time as an old man, with both wings and a stick, and this imagery continued to be prominent well into the seventeenth century. A painted window</w:t>
      </w:r>
      <w:r w:rsidR="00995EAF" w:rsidRPr="003037D2">
        <w:rPr>
          <w:rFonts w:ascii="Garamond" w:hAnsi="Garamond"/>
        </w:rPr>
        <w:t xml:space="preserve"> after Pieter </w:t>
      </w:r>
      <w:proofErr w:type="spellStart"/>
      <w:r w:rsidR="00995EAF" w:rsidRPr="003037D2">
        <w:rPr>
          <w:rFonts w:ascii="Garamond" w:hAnsi="Garamond"/>
        </w:rPr>
        <w:t>Coeke</w:t>
      </w:r>
      <w:proofErr w:type="spellEnd"/>
      <w:r w:rsidR="00995EAF" w:rsidRPr="003037D2">
        <w:rPr>
          <w:rFonts w:ascii="Garamond" w:hAnsi="Garamond"/>
        </w:rPr>
        <w:t xml:space="preserve"> van </w:t>
      </w:r>
      <w:proofErr w:type="spellStart"/>
      <w:r w:rsidR="00995EAF" w:rsidRPr="003037D2">
        <w:rPr>
          <w:rFonts w:ascii="Garamond" w:hAnsi="Garamond"/>
        </w:rPr>
        <w:t>Acht</w:t>
      </w:r>
      <w:proofErr w:type="spellEnd"/>
      <w:r w:rsidRPr="003037D2">
        <w:rPr>
          <w:rFonts w:ascii="Garamond" w:hAnsi="Garamond"/>
        </w:rPr>
        <w:t xml:space="preserve">, now held in the Rijksmuseum, Amsterdam, shows the ‘Triumph of Time’, a winged old man biting into the belly of a baby and brandishing a walking stick as he rides off on a cart. (See </w:t>
      </w:r>
      <w:r w:rsidRPr="003037D2">
        <w:rPr>
          <w:rFonts w:ascii="Garamond" w:hAnsi="Garamond"/>
        </w:rPr>
        <w:fldChar w:fldCharType="begin"/>
      </w:r>
      <w:r w:rsidRPr="003037D2">
        <w:rPr>
          <w:rFonts w:ascii="Garamond" w:hAnsi="Garamond"/>
        </w:rPr>
        <w:instrText xml:space="preserve"> REF _Ref532894570 \h  \* MERGEFORMAT </w:instrText>
      </w:r>
      <w:r w:rsidRPr="003037D2">
        <w:rPr>
          <w:rFonts w:ascii="Garamond" w:hAnsi="Garamond"/>
        </w:rPr>
      </w:r>
      <w:r w:rsidRPr="003037D2">
        <w:rPr>
          <w:rFonts w:ascii="Garamond" w:hAnsi="Garamond"/>
        </w:rPr>
        <w:fldChar w:fldCharType="separate"/>
      </w:r>
      <w:r w:rsidR="001117A3" w:rsidRPr="003037D2">
        <w:rPr>
          <w:rFonts w:ascii="Garamond" w:hAnsi="Garamond"/>
          <w:sz w:val="21"/>
          <w:szCs w:val="21"/>
        </w:rPr>
        <w:t xml:space="preserve">Figure </w:t>
      </w:r>
      <w:r w:rsidR="001117A3" w:rsidRPr="003037D2">
        <w:rPr>
          <w:rFonts w:ascii="Garamond" w:hAnsi="Garamond"/>
          <w:noProof/>
          <w:sz w:val="20"/>
          <w:szCs w:val="20"/>
        </w:rPr>
        <w:t>1</w:t>
      </w:r>
      <w:r w:rsidRPr="003037D2">
        <w:rPr>
          <w:rFonts w:ascii="Garamond" w:hAnsi="Garamond"/>
        </w:rPr>
        <w:fldChar w:fldCharType="end"/>
      </w:r>
      <w:r w:rsidR="00ED0F4C">
        <w:rPr>
          <w:rFonts w:ascii="Garamond" w:hAnsi="Garamond"/>
        </w:rPr>
        <w:t>.</w:t>
      </w:r>
      <w:r w:rsidRPr="003037D2">
        <w:rPr>
          <w:rFonts w:ascii="Garamond" w:hAnsi="Garamond"/>
        </w:rPr>
        <w:t>) As Cohen has written, the seeming ‘inherent contradiction between wings and crutch was not meant to express ambiguity’ but ‘was the means for symbolically describing cause and effect as interrelated concepts’.</w:t>
      </w:r>
      <w:r w:rsidRPr="003037D2">
        <w:rPr>
          <w:rStyle w:val="FootnoteReference"/>
          <w:rFonts w:ascii="Garamond" w:hAnsi="Garamond"/>
        </w:rPr>
        <w:footnoteReference w:id="12"/>
      </w:r>
      <w:r w:rsidRPr="003037D2">
        <w:rPr>
          <w:rFonts w:ascii="Garamond" w:hAnsi="Garamond"/>
        </w:rPr>
        <w:t xml:space="preserve"> It is the fact that time moves so swiftly that makes it so deadly and damaging. Davies’ Time, by contrast seems to be eternally youthful. However, what is most pertinent for this study is how Davies’ script brings together Time and Place. Entertainments, even more so than masques, are </w:t>
      </w:r>
      <w:r w:rsidRPr="003037D2">
        <w:rPr>
          <w:rFonts w:ascii="Garamond" w:hAnsi="Garamond"/>
          <w:i/>
        </w:rPr>
        <w:t xml:space="preserve">events </w:t>
      </w:r>
      <w:r w:rsidRPr="003037D2">
        <w:rPr>
          <w:rFonts w:ascii="Garamond" w:hAnsi="Garamond"/>
        </w:rPr>
        <w:t xml:space="preserve">first and foremost, drama second. This thesis examines how time (and Time) </w:t>
      </w:r>
      <w:proofErr w:type="spellStart"/>
      <w:r w:rsidRPr="003037D2">
        <w:rPr>
          <w:rFonts w:ascii="Garamond" w:hAnsi="Garamond"/>
        </w:rPr>
        <w:t>materialises</w:t>
      </w:r>
      <w:proofErr w:type="spellEnd"/>
      <w:r w:rsidRPr="003037D2">
        <w:rPr>
          <w:rFonts w:ascii="Garamond" w:hAnsi="Garamond"/>
        </w:rPr>
        <w:t xml:space="preserve"> not in allegorical personages, or the figures of actors, but in the material forms of texts, specifically almanacs, psalm translations, poetry and sermons. I </w:t>
      </w:r>
      <w:proofErr w:type="spellStart"/>
      <w:r w:rsidRPr="003037D2">
        <w:rPr>
          <w:rFonts w:ascii="Garamond" w:hAnsi="Garamond"/>
        </w:rPr>
        <w:t>conceptualise</w:t>
      </w:r>
      <w:proofErr w:type="spellEnd"/>
      <w:r w:rsidRPr="003037D2">
        <w:rPr>
          <w:rFonts w:ascii="Garamond" w:hAnsi="Garamond"/>
        </w:rPr>
        <w:t xml:space="preserve"> ‘Place’ as the material form and space of these texts. This becomes particularly important when examining the hieroglyphic and pattern poetry of George Herbert, and in the relationship of sermon texts to the sermon as performed. </w:t>
      </w:r>
    </w:p>
    <w:p w14:paraId="46C5A2B5" w14:textId="1A5F3B15" w:rsidR="00162224" w:rsidRPr="003037D2" w:rsidRDefault="00162224" w:rsidP="00162224">
      <w:pPr>
        <w:spacing w:line="360" w:lineRule="auto"/>
        <w:ind w:firstLine="720"/>
        <w:rPr>
          <w:rFonts w:ascii="Garamond" w:hAnsi="Garamond"/>
        </w:rPr>
      </w:pPr>
    </w:p>
    <w:p w14:paraId="526A4CC0" w14:textId="6D18EEB4" w:rsidR="00A721D6" w:rsidRPr="003037D2" w:rsidRDefault="00A721D6" w:rsidP="00162224">
      <w:pPr>
        <w:spacing w:line="360" w:lineRule="auto"/>
        <w:ind w:firstLine="720"/>
        <w:rPr>
          <w:rFonts w:ascii="Garamond" w:hAnsi="Garamond"/>
        </w:rPr>
      </w:pPr>
    </w:p>
    <w:p w14:paraId="708A5032" w14:textId="77777777" w:rsidR="00A721D6" w:rsidRPr="003037D2" w:rsidRDefault="00A721D6" w:rsidP="00162224">
      <w:pPr>
        <w:spacing w:line="360" w:lineRule="auto"/>
        <w:ind w:firstLine="720"/>
        <w:rPr>
          <w:rFonts w:ascii="Garamond" w:hAnsi="Garamond"/>
        </w:rPr>
      </w:pPr>
    </w:p>
    <w:p w14:paraId="26FFCD87" w14:textId="77777777" w:rsidR="00162224" w:rsidRPr="003037D2" w:rsidRDefault="00162224" w:rsidP="00162224">
      <w:pPr>
        <w:pStyle w:val="Heading2"/>
        <w:numPr>
          <w:ilvl w:val="0"/>
          <w:numId w:val="28"/>
        </w:numPr>
        <w:rPr>
          <w:i w:val="0"/>
          <w:iCs/>
          <w:sz w:val="28"/>
          <w:szCs w:val="28"/>
        </w:rPr>
      </w:pPr>
      <w:bookmarkStart w:id="6" w:name="_Toc3967160"/>
      <w:r w:rsidRPr="003037D2">
        <w:rPr>
          <w:i w:val="0"/>
          <w:iCs/>
          <w:sz w:val="28"/>
          <w:szCs w:val="28"/>
        </w:rPr>
        <w:lastRenderedPageBreak/>
        <w:t>Writing the history of Time</w:t>
      </w:r>
      <w:bookmarkEnd w:id="6"/>
      <w:r w:rsidRPr="003037D2">
        <w:rPr>
          <w:i w:val="0"/>
          <w:iCs/>
          <w:sz w:val="28"/>
          <w:szCs w:val="28"/>
        </w:rPr>
        <w:t xml:space="preserve"> </w:t>
      </w:r>
    </w:p>
    <w:p w14:paraId="3E7C6A5E" w14:textId="77777777" w:rsidR="00162224" w:rsidRPr="003037D2" w:rsidRDefault="00162224" w:rsidP="00162224">
      <w:pPr>
        <w:spacing w:line="360" w:lineRule="auto"/>
        <w:rPr>
          <w:rFonts w:ascii="Garamond" w:hAnsi="Garamond"/>
        </w:rPr>
      </w:pPr>
    </w:p>
    <w:p w14:paraId="46096613" w14:textId="0BD95D99" w:rsidR="00162224" w:rsidRPr="003037D2" w:rsidRDefault="00162224" w:rsidP="00162224">
      <w:pPr>
        <w:spacing w:line="360" w:lineRule="auto"/>
        <w:ind w:firstLine="720"/>
        <w:rPr>
          <w:rFonts w:ascii="Garamond" w:hAnsi="Garamond"/>
        </w:rPr>
      </w:pPr>
      <w:r w:rsidRPr="003037D2">
        <w:rPr>
          <w:rFonts w:ascii="Garamond" w:hAnsi="Garamond"/>
        </w:rPr>
        <w:t xml:space="preserve">Many critics have argued that the sixteenth and seventeenth centuries saw a sea-change in the way that time was </w:t>
      </w:r>
      <w:proofErr w:type="spellStart"/>
      <w:r w:rsidRPr="003037D2">
        <w:rPr>
          <w:rFonts w:ascii="Garamond" w:hAnsi="Garamond"/>
        </w:rPr>
        <w:t>conceptualised</w:t>
      </w:r>
      <w:proofErr w:type="spellEnd"/>
      <w:r w:rsidRPr="003037D2">
        <w:rPr>
          <w:rFonts w:ascii="Garamond" w:hAnsi="Garamond"/>
        </w:rPr>
        <w:t xml:space="preserve">. Indeed, both terms we commonly use to discuss this period today, the early modern and the Renaissance, carry with them temporal connotations: be that the beginning of a new epoch, or a flowering forth from the past. Ricardo J. Quinones argues that from the late Middle Ages there was a ‘new and aroused sense of time’, and that by the beginning of the fourteenth century ‘the Renaissance concept of time began to appear’. Quinones sees this as </w:t>
      </w:r>
      <w:proofErr w:type="spellStart"/>
      <w:r w:rsidRPr="003037D2">
        <w:rPr>
          <w:rFonts w:ascii="Garamond" w:hAnsi="Garamond"/>
        </w:rPr>
        <w:t>characterised</w:t>
      </w:r>
      <w:proofErr w:type="spellEnd"/>
      <w:r w:rsidRPr="003037D2">
        <w:rPr>
          <w:rFonts w:ascii="Garamond" w:hAnsi="Garamond"/>
        </w:rPr>
        <w:t xml:space="preserve"> by an urgent, almost desperate awareness of the passing of time.</w:t>
      </w:r>
      <w:r w:rsidRPr="003037D2">
        <w:rPr>
          <w:rStyle w:val="FootnoteReference"/>
          <w:rFonts w:ascii="Garamond" w:hAnsi="Garamond"/>
        </w:rPr>
        <w:footnoteReference w:id="13"/>
      </w:r>
      <w:r w:rsidRPr="003037D2">
        <w:rPr>
          <w:rFonts w:ascii="Garamond" w:hAnsi="Garamond"/>
        </w:rPr>
        <w:t xml:space="preserve"> Indeed, much of the most well-known poetry from the period toys with this worry. Shakespeare in</w:t>
      </w:r>
      <w:r w:rsidR="00995EAF" w:rsidRPr="003037D2">
        <w:rPr>
          <w:rFonts w:ascii="Garamond" w:hAnsi="Garamond"/>
        </w:rPr>
        <w:t xml:space="preserve"> Sonnet 15</w:t>
      </w:r>
      <w:r w:rsidRPr="003037D2">
        <w:rPr>
          <w:rFonts w:ascii="Garamond" w:hAnsi="Garamond"/>
        </w:rPr>
        <w:t xml:space="preserve"> describes how ‘wasteful Time </w:t>
      </w:r>
      <w:proofErr w:type="spellStart"/>
      <w:r w:rsidRPr="003037D2">
        <w:rPr>
          <w:rFonts w:ascii="Garamond" w:hAnsi="Garamond"/>
        </w:rPr>
        <w:t>debateth</w:t>
      </w:r>
      <w:proofErr w:type="spellEnd"/>
      <w:r w:rsidRPr="003037D2">
        <w:rPr>
          <w:rFonts w:ascii="Garamond" w:hAnsi="Garamond"/>
        </w:rPr>
        <w:t xml:space="preserve"> with decay/ To change… youth to sullied night’. The poet is intractably ‘all in war with Time’, attempting to preserve the mutable beauty of their love, and by extension any temporal pleasure.</w:t>
      </w:r>
      <w:r w:rsidRPr="003037D2">
        <w:rPr>
          <w:rStyle w:val="FootnoteReference"/>
          <w:rFonts w:ascii="Garamond" w:hAnsi="Garamond"/>
        </w:rPr>
        <w:footnoteReference w:id="14"/>
      </w:r>
      <w:r w:rsidRPr="003037D2">
        <w:rPr>
          <w:rFonts w:ascii="Garamond" w:hAnsi="Garamond"/>
        </w:rPr>
        <w:t xml:space="preserve"> </w:t>
      </w:r>
      <w:r w:rsidRPr="003037D2">
        <w:rPr>
          <w:rFonts w:ascii="Garamond" w:hAnsi="Garamond"/>
          <w:i/>
        </w:rPr>
        <w:t xml:space="preserve">Chronos </w:t>
      </w:r>
      <w:r w:rsidRPr="003037D2">
        <w:rPr>
          <w:rFonts w:ascii="Garamond" w:hAnsi="Garamond"/>
          <w:iCs/>
        </w:rPr>
        <w:t xml:space="preserve">(sequential time) </w:t>
      </w:r>
      <w:r w:rsidRPr="003037D2">
        <w:rPr>
          <w:rFonts w:ascii="Garamond" w:hAnsi="Garamond"/>
        </w:rPr>
        <w:t xml:space="preserve">had been mistakenly associated with Saturn, </w:t>
      </w:r>
      <w:r w:rsidRPr="003037D2">
        <w:rPr>
          <w:rFonts w:ascii="Garamond" w:hAnsi="Garamond"/>
          <w:i/>
        </w:rPr>
        <w:t xml:space="preserve">Kronos, </w:t>
      </w:r>
      <w:r w:rsidRPr="003037D2">
        <w:rPr>
          <w:rFonts w:ascii="Garamond" w:hAnsi="Garamond"/>
        </w:rPr>
        <w:t>the God of war, and as such was no ‘longer a genial presence in which mankind was comfortably placed… but rather a challenging, deceiving, deadly force against which it is incumbent upon the individual to make some response’.</w:t>
      </w:r>
      <w:r w:rsidRPr="003037D2">
        <w:rPr>
          <w:rStyle w:val="FootnoteReference"/>
          <w:rFonts w:ascii="Garamond" w:hAnsi="Garamond"/>
        </w:rPr>
        <w:footnoteReference w:id="15"/>
      </w:r>
      <w:r w:rsidRPr="003037D2">
        <w:rPr>
          <w:rFonts w:ascii="Garamond" w:hAnsi="Garamond"/>
        </w:rPr>
        <w:t xml:space="preserve"> </w:t>
      </w:r>
    </w:p>
    <w:p w14:paraId="719DBD24" w14:textId="77777777" w:rsidR="00162224" w:rsidRPr="003037D2" w:rsidRDefault="00162224" w:rsidP="00162224">
      <w:pPr>
        <w:spacing w:line="360" w:lineRule="auto"/>
        <w:ind w:firstLine="720"/>
        <w:rPr>
          <w:rFonts w:ascii="Garamond" w:hAnsi="Garamond"/>
        </w:rPr>
      </w:pPr>
    </w:p>
    <w:p w14:paraId="4B6E10E7" w14:textId="086500CE" w:rsidR="00162224" w:rsidRPr="003037D2" w:rsidRDefault="00162224" w:rsidP="00162224">
      <w:pPr>
        <w:spacing w:line="360" w:lineRule="auto"/>
        <w:ind w:firstLine="720"/>
        <w:rPr>
          <w:rFonts w:ascii="Garamond" w:hAnsi="Garamond"/>
        </w:rPr>
      </w:pPr>
      <w:r w:rsidRPr="003037D2">
        <w:rPr>
          <w:rFonts w:ascii="Garamond" w:hAnsi="Garamond"/>
        </w:rPr>
        <w:t xml:space="preserve">Scholars including E.B. </w:t>
      </w:r>
      <w:proofErr w:type="spellStart"/>
      <w:r w:rsidRPr="003037D2">
        <w:rPr>
          <w:rFonts w:ascii="Garamond" w:hAnsi="Garamond"/>
        </w:rPr>
        <w:t>Fryde</w:t>
      </w:r>
      <w:proofErr w:type="spellEnd"/>
      <w:r w:rsidRPr="003037D2">
        <w:rPr>
          <w:rFonts w:ascii="Garamond" w:hAnsi="Garamond"/>
        </w:rPr>
        <w:t xml:space="preserve"> have painted a link between the rise in humanism and corresponding rise in historiography, although whether this is causation or correlation remains an area of debate.</w:t>
      </w:r>
      <w:r w:rsidRPr="003037D2">
        <w:rPr>
          <w:rStyle w:val="FootnoteReference"/>
          <w:rFonts w:ascii="Garamond" w:hAnsi="Garamond"/>
        </w:rPr>
        <w:footnoteReference w:id="16"/>
      </w:r>
      <w:r w:rsidRPr="003037D2">
        <w:rPr>
          <w:rFonts w:ascii="Garamond" w:hAnsi="Garamond"/>
        </w:rPr>
        <w:t xml:space="preserve"> More recently, Ernst </w:t>
      </w:r>
      <w:proofErr w:type="spellStart"/>
      <w:r w:rsidRPr="003037D2">
        <w:rPr>
          <w:rFonts w:ascii="Garamond" w:hAnsi="Garamond"/>
        </w:rPr>
        <w:t>Breisach</w:t>
      </w:r>
      <w:proofErr w:type="spellEnd"/>
      <w:r w:rsidRPr="003037D2">
        <w:rPr>
          <w:rFonts w:ascii="Garamond" w:hAnsi="Garamond"/>
        </w:rPr>
        <w:t xml:space="preserve"> has suggested that ‘the wave of translations and printed editions of ancient historians enhanced the new historical awareness sweeping over England and the continent’ throughout the sixteenth century, pointing at translations such as Henry Saville’s </w:t>
      </w:r>
      <w:r w:rsidRPr="003037D2">
        <w:rPr>
          <w:rFonts w:ascii="Garamond" w:hAnsi="Garamond"/>
          <w:i/>
        </w:rPr>
        <w:t xml:space="preserve">Tacitus </w:t>
      </w:r>
      <w:r w:rsidRPr="003037D2">
        <w:rPr>
          <w:rFonts w:ascii="Garamond" w:hAnsi="Garamond"/>
          <w:iCs/>
        </w:rPr>
        <w:t xml:space="preserve">(1605) </w:t>
      </w:r>
      <w:r w:rsidRPr="003037D2">
        <w:rPr>
          <w:rFonts w:ascii="Garamond" w:hAnsi="Garamond"/>
        </w:rPr>
        <w:t>and</w:t>
      </w:r>
      <w:r w:rsidRPr="003037D2">
        <w:rPr>
          <w:rFonts w:ascii="Garamond" w:hAnsi="Garamond"/>
          <w:i/>
        </w:rPr>
        <w:t xml:space="preserve"> </w:t>
      </w:r>
      <w:r w:rsidRPr="003037D2">
        <w:rPr>
          <w:rFonts w:ascii="Garamond" w:hAnsi="Garamond"/>
        </w:rPr>
        <w:t xml:space="preserve">Philemon Holland’s </w:t>
      </w:r>
      <w:r w:rsidRPr="003037D2">
        <w:rPr>
          <w:rFonts w:ascii="Garamond" w:hAnsi="Garamond"/>
          <w:iCs/>
        </w:rPr>
        <w:t xml:space="preserve">translation of Livy in </w:t>
      </w:r>
      <w:r w:rsidRPr="003037D2">
        <w:rPr>
          <w:rFonts w:ascii="Garamond" w:hAnsi="Garamond"/>
          <w:i/>
        </w:rPr>
        <w:t xml:space="preserve">The </w:t>
      </w:r>
      <w:proofErr w:type="spellStart"/>
      <w:r w:rsidRPr="003037D2">
        <w:rPr>
          <w:rFonts w:ascii="Garamond" w:hAnsi="Garamond"/>
          <w:i/>
        </w:rPr>
        <w:t>Romane</w:t>
      </w:r>
      <w:proofErr w:type="spellEnd"/>
      <w:r w:rsidRPr="003037D2">
        <w:rPr>
          <w:rFonts w:ascii="Garamond" w:hAnsi="Garamond"/>
          <w:i/>
        </w:rPr>
        <w:t xml:space="preserve"> </w:t>
      </w:r>
      <w:proofErr w:type="spellStart"/>
      <w:r w:rsidRPr="003037D2">
        <w:rPr>
          <w:rFonts w:ascii="Garamond" w:hAnsi="Garamond"/>
          <w:i/>
        </w:rPr>
        <w:t>Historie</w:t>
      </w:r>
      <w:proofErr w:type="spellEnd"/>
      <w:r w:rsidRPr="003037D2">
        <w:rPr>
          <w:rFonts w:ascii="Garamond" w:hAnsi="Garamond"/>
          <w:i/>
        </w:rPr>
        <w:t xml:space="preserve"> </w:t>
      </w:r>
      <w:r w:rsidRPr="003037D2">
        <w:rPr>
          <w:rFonts w:ascii="Garamond" w:hAnsi="Garamond"/>
          <w:iCs/>
        </w:rPr>
        <w:t>(1600).</w:t>
      </w:r>
      <w:r w:rsidRPr="003037D2">
        <w:rPr>
          <w:rFonts w:ascii="Garamond" w:hAnsi="Garamond"/>
        </w:rPr>
        <w:t xml:space="preserve"> </w:t>
      </w:r>
      <w:proofErr w:type="spellStart"/>
      <w:r w:rsidRPr="003037D2">
        <w:rPr>
          <w:rFonts w:ascii="Garamond" w:hAnsi="Garamond"/>
        </w:rPr>
        <w:t>Breisach</w:t>
      </w:r>
      <w:proofErr w:type="spellEnd"/>
      <w:r w:rsidRPr="003037D2">
        <w:rPr>
          <w:rFonts w:ascii="Garamond" w:hAnsi="Garamond"/>
        </w:rPr>
        <w:t xml:space="preserve"> </w:t>
      </w:r>
      <w:proofErr w:type="spellStart"/>
      <w:r w:rsidRPr="003037D2">
        <w:rPr>
          <w:rFonts w:ascii="Garamond" w:hAnsi="Garamond"/>
        </w:rPr>
        <w:t>characterises</w:t>
      </w:r>
      <w:proofErr w:type="spellEnd"/>
      <w:r w:rsidRPr="003037D2">
        <w:rPr>
          <w:rFonts w:ascii="Garamond" w:hAnsi="Garamond"/>
        </w:rPr>
        <w:t xml:space="preserve"> the ‘Elizabethan age’ as having a ‘peculiar mixture of tradition, innovation, and national pride’. He argues that this led to an increased interest in antiquarianism, particularly urgent following the dissolution of the monasteries. </w:t>
      </w:r>
      <w:r w:rsidR="00995EAF" w:rsidRPr="003037D2">
        <w:rPr>
          <w:rFonts w:ascii="Garamond" w:hAnsi="Garamond"/>
        </w:rPr>
        <w:lastRenderedPageBreak/>
        <w:t>Antiquarians including</w:t>
      </w:r>
      <w:r w:rsidRPr="003037D2">
        <w:rPr>
          <w:rFonts w:ascii="Garamond" w:hAnsi="Garamond"/>
        </w:rPr>
        <w:t xml:space="preserve"> John Bale and Matthew Parker gathered together records and manuscripts from the scattered archives of the monasteries, making use of their networks of powerful friends to collect these vulnerable documents, and protect them from the ravages of time.</w:t>
      </w:r>
      <w:r w:rsidRPr="003037D2">
        <w:rPr>
          <w:rStyle w:val="FootnoteReference"/>
          <w:rFonts w:ascii="Garamond" w:hAnsi="Garamond"/>
        </w:rPr>
        <w:t xml:space="preserve"> </w:t>
      </w:r>
      <w:r w:rsidRPr="003037D2">
        <w:rPr>
          <w:rStyle w:val="FootnoteReference"/>
          <w:rFonts w:ascii="Garamond" w:hAnsi="Garamond"/>
        </w:rPr>
        <w:footnoteReference w:id="17"/>
      </w:r>
      <w:r w:rsidRPr="003037D2">
        <w:rPr>
          <w:rFonts w:ascii="Garamond" w:hAnsi="Garamond"/>
        </w:rPr>
        <w:t xml:space="preserve"> It was felt that native English histories had been ‘mutilated, perverted and cut into pieces’ by the Catholic church (in Thomas </w:t>
      </w:r>
      <w:proofErr w:type="spellStart"/>
      <w:r w:rsidRPr="003037D2">
        <w:rPr>
          <w:rFonts w:ascii="Garamond" w:hAnsi="Garamond"/>
        </w:rPr>
        <w:t>Walsingham’s</w:t>
      </w:r>
      <w:proofErr w:type="spellEnd"/>
      <w:r w:rsidRPr="003037D2">
        <w:rPr>
          <w:rFonts w:ascii="Garamond" w:hAnsi="Garamond"/>
        </w:rPr>
        <w:t xml:space="preserve"> words), but that these mutilated stories could not be discarded as they were all that remained.</w:t>
      </w:r>
      <w:r w:rsidRPr="003037D2">
        <w:rPr>
          <w:rStyle w:val="FootnoteReference"/>
          <w:rFonts w:ascii="Garamond" w:hAnsi="Garamond"/>
        </w:rPr>
        <w:footnoteReference w:id="18"/>
      </w:r>
      <w:r w:rsidRPr="003037D2">
        <w:rPr>
          <w:rFonts w:ascii="Garamond" w:hAnsi="Garamond"/>
        </w:rPr>
        <w:t xml:space="preserve"> Following the break from Rome, Protestant reformers argued that a definitive new era had been ushered in, and history could be recovered or remade. For John Foxe, this took the form of ‘a negative history, a history of martyrdom’, whilst for Parker this involved strenuous historical and textual </w:t>
      </w:r>
      <w:proofErr w:type="spellStart"/>
      <w:r w:rsidRPr="003037D2">
        <w:rPr>
          <w:rFonts w:ascii="Garamond" w:hAnsi="Garamond"/>
        </w:rPr>
        <w:t>labour</w:t>
      </w:r>
      <w:proofErr w:type="spellEnd"/>
      <w:r w:rsidRPr="003037D2">
        <w:rPr>
          <w:rFonts w:ascii="Garamond" w:hAnsi="Garamond"/>
        </w:rPr>
        <w:t>, reforming the history of the church out of corrupted fragments left behind.</w:t>
      </w:r>
      <w:r w:rsidRPr="003037D2">
        <w:rPr>
          <w:rStyle w:val="FootnoteReference"/>
          <w:rFonts w:ascii="Garamond" w:hAnsi="Garamond"/>
        </w:rPr>
        <w:footnoteReference w:id="19"/>
      </w:r>
      <w:r w:rsidRPr="003037D2">
        <w:rPr>
          <w:rFonts w:ascii="Garamond" w:hAnsi="Garamond"/>
        </w:rPr>
        <w:t xml:space="preserve"> Daniel Woolf’s recent monograph </w:t>
      </w:r>
      <w:r w:rsidRPr="003037D2">
        <w:rPr>
          <w:rFonts w:ascii="Garamond" w:hAnsi="Garamond"/>
          <w:i/>
        </w:rPr>
        <w:t xml:space="preserve">The Social Circulation of the Past: English Historical Culture 1500-1730 </w:t>
      </w:r>
      <w:r w:rsidRPr="003037D2">
        <w:rPr>
          <w:rFonts w:ascii="Garamond" w:hAnsi="Garamond"/>
        </w:rPr>
        <w:t xml:space="preserve">takes as its basic premise the idea that during the early modern era the English developed a ‘more or less coherent… historical sense of a </w:t>
      </w:r>
      <w:r w:rsidRPr="003037D2">
        <w:rPr>
          <w:rFonts w:ascii="Garamond" w:hAnsi="Garamond"/>
          <w:i/>
        </w:rPr>
        <w:t xml:space="preserve">national </w:t>
      </w:r>
      <w:r w:rsidRPr="003037D2">
        <w:rPr>
          <w:rFonts w:ascii="Garamond" w:hAnsi="Garamond"/>
        </w:rPr>
        <w:t>past’.</w:t>
      </w:r>
      <w:r w:rsidRPr="003037D2">
        <w:rPr>
          <w:rStyle w:val="FootnoteReference"/>
          <w:rFonts w:ascii="Garamond" w:hAnsi="Garamond"/>
        </w:rPr>
        <w:footnoteReference w:id="20"/>
      </w:r>
      <w:r w:rsidRPr="003037D2">
        <w:rPr>
          <w:rFonts w:ascii="Garamond" w:hAnsi="Garamond"/>
        </w:rPr>
        <w:t xml:space="preserve"> With a sense of the past comes a more rigid sense of the present: how it differs from and has been created by the ages that have come before. </w:t>
      </w:r>
    </w:p>
    <w:p w14:paraId="588B4D73" w14:textId="77777777" w:rsidR="00162224" w:rsidRPr="003037D2" w:rsidRDefault="00162224" w:rsidP="00162224">
      <w:pPr>
        <w:spacing w:line="360" w:lineRule="auto"/>
        <w:ind w:firstLine="720"/>
        <w:rPr>
          <w:rFonts w:ascii="Garamond" w:hAnsi="Garamond"/>
        </w:rPr>
      </w:pPr>
    </w:p>
    <w:p w14:paraId="73272551" w14:textId="67485530" w:rsidR="00162224" w:rsidRPr="003037D2" w:rsidRDefault="00162224" w:rsidP="00162224">
      <w:pPr>
        <w:spacing w:line="360" w:lineRule="auto"/>
        <w:ind w:firstLine="720"/>
        <w:rPr>
          <w:rFonts w:ascii="Garamond" w:hAnsi="Garamond"/>
        </w:rPr>
      </w:pPr>
      <w:r w:rsidRPr="003037D2">
        <w:rPr>
          <w:rFonts w:ascii="Garamond" w:hAnsi="Garamond"/>
        </w:rPr>
        <w:t xml:space="preserve">There is a generally accepted sense that the seismic religious changes which swept Europe, combined with scientific advances and changes to the economic composition of the country led to a rise in a proto-capitalist understanding of time. Max Weber and E.P. Thompson both influentially argue that the move away from feudalism resulted in time being seen as something that could be bought and sold, through payment for </w:t>
      </w:r>
      <w:proofErr w:type="spellStart"/>
      <w:r w:rsidRPr="003037D2">
        <w:rPr>
          <w:rFonts w:ascii="Garamond" w:hAnsi="Garamond"/>
        </w:rPr>
        <w:t>labour</w:t>
      </w:r>
      <w:proofErr w:type="spellEnd"/>
      <w:r w:rsidRPr="003037D2">
        <w:rPr>
          <w:rFonts w:ascii="Garamond" w:hAnsi="Garamond"/>
        </w:rPr>
        <w:t>.</w:t>
      </w:r>
      <w:r w:rsidRPr="003037D2">
        <w:rPr>
          <w:rStyle w:val="FootnoteReference"/>
          <w:rFonts w:ascii="Garamond" w:hAnsi="Garamond"/>
        </w:rPr>
        <w:footnoteReference w:id="21"/>
      </w:r>
      <w:r w:rsidRPr="003037D2">
        <w:rPr>
          <w:rFonts w:ascii="Garamond" w:hAnsi="Garamond"/>
        </w:rPr>
        <w:t xml:space="preserve"> The history of the clock itself has been imbedded within this argument.</w:t>
      </w:r>
      <w:r w:rsidRPr="003037D2">
        <w:rPr>
          <w:rStyle w:val="FootnoteReference"/>
          <w:rFonts w:ascii="Garamond" w:hAnsi="Garamond"/>
        </w:rPr>
        <w:footnoteReference w:id="22"/>
      </w:r>
      <w:r w:rsidRPr="003037D2">
        <w:rPr>
          <w:rFonts w:ascii="Garamond" w:hAnsi="Garamond"/>
        </w:rPr>
        <w:t xml:space="preserve"> By the early fourteenth century the mechanical clock had </w:t>
      </w:r>
      <w:r w:rsidRPr="003037D2">
        <w:rPr>
          <w:rFonts w:ascii="Garamond" w:hAnsi="Garamond"/>
        </w:rPr>
        <w:lastRenderedPageBreak/>
        <w:t xml:space="preserve">become well-known throughout Europe and England. The technology developed quickly, with complex mechanism such as the </w:t>
      </w:r>
      <w:proofErr w:type="spellStart"/>
      <w:r w:rsidRPr="003037D2">
        <w:rPr>
          <w:rFonts w:ascii="Garamond" w:hAnsi="Garamond"/>
        </w:rPr>
        <w:t>Dondi</w:t>
      </w:r>
      <w:proofErr w:type="spellEnd"/>
      <w:r w:rsidRPr="003037D2">
        <w:rPr>
          <w:rFonts w:ascii="Garamond" w:hAnsi="Garamond"/>
        </w:rPr>
        <w:t xml:space="preserve"> and Wallingford clocks being created. Public clocks began to be equipped with dials (early models only chimed the hour rather than showing it on a face) as well as automata such as </w:t>
      </w:r>
      <w:proofErr w:type="spellStart"/>
      <w:r w:rsidRPr="003037D2">
        <w:rPr>
          <w:rFonts w:ascii="Garamond" w:hAnsi="Garamond"/>
          <w:i/>
          <w:iCs/>
        </w:rPr>
        <w:t>jaquemarts</w:t>
      </w:r>
      <w:proofErr w:type="spellEnd"/>
      <w:r w:rsidRPr="003037D2">
        <w:rPr>
          <w:rFonts w:ascii="Garamond" w:hAnsi="Garamond"/>
          <w:i/>
          <w:iCs/>
        </w:rPr>
        <w:t xml:space="preserve">, </w:t>
      </w:r>
      <w:r w:rsidRPr="003037D2">
        <w:rPr>
          <w:rFonts w:ascii="Garamond" w:hAnsi="Garamond"/>
        </w:rPr>
        <w:t xml:space="preserve">or Jack </w:t>
      </w:r>
      <w:proofErr w:type="spellStart"/>
      <w:r w:rsidRPr="003037D2">
        <w:rPr>
          <w:rFonts w:ascii="Garamond" w:hAnsi="Garamond"/>
        </w:rPr>
        <w:t>o’clocks</w:t>
      </w:r>
      <w:proofErr w:type="spellEnd"/>
      <w:r w:rsidRPr="003037D2">
        <w:rPr>
          <w:rFonts w:ascii="Garamond" w:hAnsi="Garamond"/>
        </w:rPr>
        <w:t xml:space="preserve">, who would strike the hour on the bell with a hammer.  Throughout the sixteenth century, smaller, domestic timepieces were created. However, as Silvio A. </w:t>
      </w:r>
      <w:proofErr w:type="spellStart"/>
      <w:r w:rsidRPr="003037D2">
        <w:rPr>
          <w:rFonts w:ascii="Garamond" w:hAnsi="Garamond"/>
        </w:rPr>
        <w:t>Bedini</w:t>
      </w:r>
      <w:proofErr w:type="spellEnd"/>
      <w:r w:rsidRPr="003037D2">
        <w:rPr>
          <w:rFonts w:ascii="Garamond" w:hAnsi="Garamond"/>
        </w:rPr>
        <w:t xml:space="preserve"> has discussed, the accuracy of these clocks and watches was a secondary concern. They were intended as ‘conversation pieces, ranging from models of the universe demonstrating astronomical phenomena to pocket pieces wrought in precious metals in unusual forms to delight the collector’.</w:t>
      </w:r>
      <w:r w:rsidRPr="003037D2">
        <w:rPr>
          <w:rStyle w:val="FootnoteReference"/>
          <w:rFonts w:ascii="Garamond" w:hAnsi="Garamond"/>
        </w:rPr>
        <w:footnoteReference w:id="23"/>
      </w:r>
      <w:r w:rsidRPr="003037D2">
        <w:rPr>
          <w:rFonts w:ascii="Garamond" w:hAnsi="Garamond"/>
        </w:rPr>
        <w:t xml:space="preserve"> As the seventeenth century began, time-keeping technology continued to advance. Galileo Galilei had studied the properties of pendulums after noticing the swinging motion of a chandelier in Pisa Cathedral.</w:t>
      </w:r>
      <w:r w:rsidRPr="003037D2">
        <w:rPr>
          <w:rStyle w:val="FootnoteReference"/>
          <w:rFonts w:ascii="Garamond" w:hAnsi="Garamond"/>
        </w:rPr>
        <w:footnoteReference w:id="24"/>
      </w:r>
      <w:r w:rsidRPr="003037D2">
        <w:rPr>
          <w:rFonts w:ascii="Garamond" w:hAnsi="Garamond"/>
        </w:rPr>
        <w:t xml:space="preserve"> In November 1602 Galileo sent a letter to Guido Ubaldo outlining his discovery of the pendulum’s isochronism: that the pendulum’s period (the time taken to swing from left to right) is independent of the width of the swing, and the mass of the bob, and proportional to the square root of the length of the swing.</w:t>
      </w:r>
      <w:r w:rsidRPr="003037D2">
        <w:rPr>
          <w:rStyle w:val="FootnoteReference"/>
          <w:rFonts w:ascii="Garamond" w:hAnsi="Garamond"/>
        </w:rPr>
        <w:footnoteReference w:id="25"/>
      </w:r>
      <w:r w:rsidRPr="003037D2">
        <w:rPr>
          <w:rFonts w:ascii="Garamond" w:hAnsi="Garamond"/>
        </w:rPr>
        <w:t xml:space="preserve"> Galileo had long preached the importance of scientific observations, writing in </w:t>
      </w:r>
      <w:r w:rsidRPr="003037D2">
        <w:rPr>
          <w:rFonts w:ascii="Garamond" w:hAnsi="Garamond"/>
          <w:i/>
          <w:iCs/>
        </w:rPr>
        <w:t xml:space="preserve">The Starry Messenger, </w:t>
      </w:r>
      <w:r w:rsidRPr="003037D2">
        <w:rPr>
          <w:rFonts w:ascii="Garamond" w:hAnsi="Garamond"/>
        </w:rPr>
        <w:t>‘why should I employ mere plausible arguments, when I may prove my conclusion absolutely[?]’</w:t>
      </w:r>
      <w:r w:rsidRPr="003037D2">
        <w:rPr>
          <w:rStyle w:val="FootnoteReference"/>
          <w:rFonts w:ascii="Garamond" w:hAnsi="Garamond"/>
        </w:rPr>
        <w:footnoteReference w:id="26"/>
      </w:r>
      <w:r w:rsidRPr="003037D2">
        <w:rPr>
          <w:rFonts w:ascii="Garamond" w:hAnsi="Garamond"/>
        </w:rPr>
        <w:t xml:space="preserve"> He therefore naturally turned his hand to </w:t>
      </w:r>
      <w:proofErr w:type="spellStart"/>
      <w:r w:rsidRPr="003037D2">
        <w:rPr>
          <w:rFonts w:ascii="Garamond" w:hAnsi="Garamond"/>
        </w:rPr>
        <w:t>utilising</w:t>
      </w:r>
      <w:proofErr w:type="spellEnd"/>
      <w:r w:rsidRPr="003037D2">
        <w:rPr>
          <w:rFonts w:ascii="Garamond" w:hAnsi="Garamond"/>
        </w:rPr>
        <w:t xml:space="preserve"> pendulums in timing applications. In the year before his death, 1614, he confided in his son Vincenzo Galilei a concept for a timepiece regulated by pendulum. After Vincenzo’s death his model found its way to </w:t>
      </w:r>
      <w:proofErr w:type="spellStart"/>
      <w:r w:rsidRPr="003037D2">
        <w:rPr>
          <w:rFonts w:ascii="Garamond" w:hAnsi="Garamond"/>
        </w:rPr>
        <w:t>Christain</w:t>
      </w:r>
      <w:proofErr w:type="spellEnd"/>
      <w:r w:rsidRPr="003037D2">
        <w:rPr>
          <w:rFonts w:ascii="Garamond" w:hAnsi="Garamond"/>
        </w:rPr>
        <w:t xml:space="preserve"> </w:t>
      </w:r>
      <w:proofErr w:type="spellStart"/>
      <w:r w:rsidRPr="003037D2">
        <w:rPr>
          <w:rFonts w:ascii="Garamond" w:hAnsi="Garamond"/>
        </w:rPr>
        <w:t>Huyens</w:t>
      </w:r>
      <w:proofErr w:type="spellEnd"/>
      <w:r w:rsidRPr="003037D2">
        <w:rPr>
          <w:rFonts w:ascii="Garamond" w:hAnsi="Garamond"/>
        </w:rPr>
        <w:t xml:space="preserve"> in the Netherlands, who in 1658 was granted a patent for pendulum clockwork. Improvements to the design would go on to be made by Robert Hooke and Joseph </w:t>
      </w:r>
      <w:proofErr w:type="spellStart"/>
      <w:r w:rsidRPr="003037D2">
        <w:rPr>
          <w:rFonts w:ascii="Garamond" w:hAnsi="Garamond"/>
        </w:rPr>
        <w:t>Knibb</w:t>
      </w:r>
      <w:proofErr w:type="spellEnd"/>
      <w:r w:rsidRPr="003037D2">
        <w:rPr>
          <w:rFonts w:ascii="Garamond" w:hAnsi="Garamond"/>
        </w:rPr>
        <w:t xml:space="preserve">, and by the middle of the seventeenth </w:t>
      </w:r>
      <w:r w:rsidRPr="003037D2">
        <w:rPr>
          <w:rFonts w:ascii="Garamond" w:hAnsi="Garamond"/>
        </w:rPr>
        <w:lastRenderedPageBreak/>
        <w:t>century English clockmaking had ‘assumed supremacy over that of other countries’.</w:t>
      </w:r>
      <w:r w:rsidRPr="003037D2">
        <w:rPr>
          <w:rStyle w:val="FootnoteReference"/>
          <w:rFonts w:ascii="Garamond" w:hAnsi="Garamond"/>
        </w:rPr>
        <w:footnoteReference w:id="27"/>
      </w:r>
      <w:r w:rsidRPr="003037D2">
        <w:rPr>
          <w:rFonts w:ascii="Garamond" w:hAnsi="Garamond"/>
        </w:rPr>
        <w:t xml:space="preserve"> However, until watches were universally available at a reasonable price point, precision time keeping was of minimal use in everyday life.  With the scientific revolution of the seventeenth century, the clock was enlisted as a useful tool in the laboratory, and as such needed to become increasingly precise. Ownership of a watch or clock was a symbol of status and wealth, as demonstrated by their customary inclusion in portraits of wealthy men and women.</w:t>
      </w:r>
      <w:r w:rsidRPr="003037D2">
        <w:rPr>
          <w:rStyle w:val="FootnoteReference"/>
          <w:rFonts w:ascii="Garamond" w:hAnsi="Garamond"/>
        </w:rPr>
        <w:footnoteReference w:id="28"/>
      </w:r>
      <w:r w:rsidRPr="003037D2">
        <w:rPr>
          <w:rFonts w:ascii="Garamond" w:hAnsi="Garamond"/>
        </w:rPr>
        <w:t xml:space="preserve"> It could also indicate an interest in the passing of time or a keen awareness of it, as seen in Andrew </w:t>
      </w:r>
      <w:proofErr w:type="spellStart"/>
      <w:r w:rsidRPr="003037D2">
        <w:rPr>
          <w:rFonts w:ascii="Garamond" w:hAnsi="Garamond"/>
        </w:rPr>
        <w:t>Gurr’s</w:t>
      </w:r>
      <w:proofErr w:type="spellEnd"/>
      <w:r w:rsidRPr="003037D2">
        <w:rPr>
          <w:rFonts w:ascii="Garamond" w:hAnsi="Garamond"/>
        </w:rPr>
        <w:t xml:space="preserve"> argument that Ben Jonson’s (likely) ownership of a watch informed his impressively precise sense of comic timing.</w:t>
      </w:r>
      <w:r w:rsidRPr="003037D2">
        <w:rPr>
          <w:rStyle w:val="FootnoteReference"/>
          <w:rFonts w:ascii="Garamond" w:hAnsi="Garamond"/>
        </w:rPr>
        <w:footnoteReference w:id="29"/>
      </w:r>
      <w:r w:rsidRPr="003037D2">
        <w:rPr>
          <w:rFonts w:ascii="Garamond" w:hAnsi="Garamond"/>
        </w:rPr>
        <w:t xml:space="preserve"> </w:t>
      </w:r>
    </w:p>
    <w:p w14:paraId="3FCF8DE3" w14:textId="77777777" w:rsidR="00162224" w:rsidRPr="003037D2" w:rsidRDefault="00162224" w:rsidP="00162224">
      <w:pPr>
        <w:spacing w:line="360" w:lineRule="auto"/>
        <w:ind w:firstLine="720"/>
        <w:rPr>
          <w:rFonts w:ascii="Garamond" w:hAnsi="Garamond"/>
        </w:rPr>
      </w:pPr>
    </w:p>
    <w:p w14:paraId="188301E1" w14:textId="3ED4B22E" w:rsidR="00162224" w:rsidRPr="003037D2" w:rsidRDefault="00162224" w:rsidP="002F1250">
      <w:pPr>
        <w:spacing w:line="360" w:lineRule="auto"/>
        <w:ind w:firstLine="720"/>
        <w:rPr>
          <w:rFonts w:ascii="Garamond" w:hAnsi="Garamond"/>
        </w:rPr>
      </w:pPr>
      <w:r w:rsidRPr="003037D2">
        <w:rPr>
          <w:rFonts w:ascii="Garamond" w:hAnsi="Garamond"/>
        </w:rPr>
        <w:t xml:space="preserve">The history of time has been written in terms of a history of timepieces: how else are we to understand this most transient of things? If time is ever fleeing, the object of clock or calendar is needed to </w:t>
      </w:r>
      <w:proofErr w:type="spellStart"/>
      <w:r w:rsidRPr="003037D2">
        <w:rPr>
          <w:rFonts w:ascii="Garamond" w:hAnsi="Garamond"/>
        </w:rPr>
        <w:t>materialise</w:t>
      </w:r>
      <w:proofErr w:type="spellEnd"/>
      <w:r w:rsidRPr="003037D2">
        <w:rPr>
          <w:rFonts w:ascii="Garamond" w:hAnsi="Garamond"/>
        </w:rPr>
        <w:t xml:space="preserve"> it. W.J.T. Mitchell states ‘[t]he fact is that the spatial form is the perceptual basis of our notion of t</w:t>
      </w:r>
      <w:r w:rsidR="002F1250">
        <w:rPr>
          <w:rFonts w:ascii="Garamond" w:hAnsi="Garamond"/>
        </w:rPr>
        <w:t>ime, that we can literally not “</w:t>
      </w:r>
      <w:r w:rsidRPr="003037D2">
        <w:rPr>
          <w:rFonts w:ascii="Garamond" w:hAnsi="Garamond"/>
        </w:rPr>
        <w:t>tell time</w:t>
      </w:r>
      <w:r w:rsidR="002F1250">
        <w:rPr>
          <w:rFonts w:ascii="Garamond" w:hAnsi="Garamond"/>
        </w:rPr>
        <w:t>”</w:t>
      </w:r>
      <w:r w:rsidRPr="003037D2">
        <w:rPr>
          <w:rFonts w:ascii="Garamond" w:hAnsi="Garamond"/>
        </w:rPr>
        <w:t xml:space="preserve"> without the mediation of space’.</w:t>
      </w:r>
      <w:r w:rsidRPr="003037D2">
        <w:rPr>
          <w:rFonts w:ascii="Garamond" w:hAnsi="Garamond"/>
          <w:vertAlign w:val="superscript"/>
        </w:rPr>
        <w:footnoteReference w:id="30"/>
      </w:r>
      <w:r w:rsidRPr="003037D2">
        <w:rPr>
          <w:rFonts w:ascii="Garamond" w:hAnsi="Garamond"/>
        </w:rPr>
        <w:t xml:space="preserve"> Perhaps counter-intuitively, this has led to a split in criticism that examines material markers of time and work that deals with the intellectual problems that defining a concept of time throws up. In an introduction to a special issue of </w:t>
      </w:r>
      <w:r w:rsidRPr="003037D2">
        <w:rPr>
          <w:rFonts w:ascii="Garamond" w:hAnsi="Garamond"/>
          <w:i/>
        </w:rPr>
        <w:t xml:space="preserve">Early Modern Culture </w:t>
      </w:r>
      <w:r w:rsidRPr="003037D2">
        <w:rPr>
          <w:rFonts w:ascii="Garamond" w:hAnsi="Garamond"/>
        </w:rPr>
        <w:t xml:space="preserve">in 2007, ‘Timely Meditations’, Jonathan Gil Harris reviewed the place of time in early modern studies. He argues that in the 1960s and 70s, ‘time was all the rage in Shakespeare scholarship’, only to be displaced in the 1980s and 90s with a focus upon sites and geographies. He suggests that whilst the turning of the millennium saw many re-theorizations of temporality, they have thus far had ‘very little impact on the mainstream of early modern studies… doubtless partly because of the vice-like grip that a certain kind of historicism continues to have on scholarship’. In Gil Harris’s rendering, historicist practice relies on the strict ordering of temporal differences, separating the ‘now’ from ‘then’. This comes into conflict with ‘the new theorists of temporality’ as they attempt to question ‘our allegiance to absolute temporal difference -- between past and present, but also </w:t>
      </w:r>
      <w:r w:rsidRPr="003037D2">
        <w:rPr>
          <w:rFonts w:ascii="Garamond" w:hAnsi="Garamond"/>
        </w:rPr>
        <w:lastRenderedPageBreak/>
        <w:t>between knowledge systems, cultural formations, or sexual identities -- as the organizing principle of history’.</w:t>
      </w:r>
      <w:r w:rsidRPr="003037D2">
        <w:rPr>
          <w:rStyle w:val="FootnoteReference"/>
          <w:rFonts w:ascii="Garamond" w:hAnsi="Garamond"/>
        </w:rPr>
        <w:footnoteReference w:id="31"/>
      </w:r>
      <w:r w:rsidRPr="003037D2">
        <w:rPr>
          <w:rFonts w:ascii="Garamond" w:hAnsi="Garamond"/>
        </w:rPr>
        <w:t xml:space="preserve"> Since Gil Harris penned this challenge, there have been a number of works engaging with time in early modern culture, most recently Sarah Lewis’ forthcoming book on prodigality on the early modern stage, J.K. Barrett’s work on delay in the </w:t>
      </w:r>
      <w:r w:rsidRPr="003037D2">
        <w:rPr>
          <w:rFonts w:ascii="Garamond" w:hAnsi="Garamond"/>
          <w:i/>
        </w:rPr>
        <w:t>Faerie Queen,</w:t>
      </w:r>
      <w:r w:rsidRPr="003037D2">
        <w:rPr>
          <w:rFonts w:ascii="Garamond" w:hAnsi="Garamond"/>
        </w:rPr>
        <w:t xml:space="preserve"> Gil Harris’s on Ludgate time in </w:t>
      </w:r>
      <w:r w:rsidRPr="003037D2">
        <w:rPr>
          <w:rFonts w:ascii="Garamond" w:hAnsi="Garamond"/>
          <w:i/>
        </w:rPr>
        <w:t xml:space="preserve">The Shoemaker’s Holiday, </w:t>
      </w:r>
      <w:r w:rsidRPr="003037D2">
        <w:rPr>
          <w:rFonts w:ascii="Garamond" w:hAnsi="Garamond"/>
        </w:rPr>
        <w:t xml:space="preserve">Zoe Gibbons’ article on time as object in </w:t>
      </w:r>
      <w:r w:rsidRPr="003037D2">
        <w:rPr>
          <w:rFonts w:ascii="Garamond" w:hAnsi="Garamond"/>
          <w:i/>
        </w:rPr>
        <w:t xml:space="preserve">The Antiquary </w:t>
      </w:r>
      <w:r w:rsidRPr="003037D2">
        <w:rPr>
          <w:rFonts w:ascii="Garamond" w:hAnsi="Garamond"/>
        </w:rPr>
        <w:t xml:space="preserve">and Tina </w:t>
      </w:r>
      <w:proofErr w:type="spellStart"/>
      <w:r w:rsidRPr="003037D2">
        <w:rPr>
          <w:rFonts w:ascii="Garamond" w:hAnsi="Garamond"/>
        </w:rPr>
        <w:t>Skouen’s</w:t>
      </w:r>
      <w:proofErr w:type="spellEnd"/>
      <w:r w:rsidRPr="003037D2">
        <w:rPr>
          <w:rFonts w:ascii="Garamond" w:hAnsi="Garamond"/>
        </w:rPr>
        <w:t xml:space="preserve"> monograph </w:t>
      </w:r>
      <w:r w:rsidRPr="003037D2">
        <w:rPr>
          <w:rFonts w:ascii="Garamond" w:hAnsi="Garamond"/>
          <w:i/>
        </w:rPr>
        <w:t>The Value of Time in Early Modern English Literature</w:t>
      </w:r>
      <w:r w:rsidRPr="003037D2">
        <w:rPr>
          <w:rFonts w:ascii="Garamond" w:hAnsi="Garamond"/>
          <w:iCs/>
        </w:rPr>
        <w:t>.</w:t>
      </w:r>
      <w:r w:rsidRPr="003037D2">
        <w:rPr>
          <w:rStyle w:val="FootnoteReference"/>
          <w:rFonts w:ascii="Garamond" w:hAnsi="Garamond"/>
        </w:rPr>
        <w:footnoteReference w:id="32"/>
      </w:r>
      <w:r w:rsidRPr="003037D2">
        <w:rPr>
          <w:rFonts w:ascii="Garamond" w:hAnsi="Garamond"/>
        </w:rPr>
        <w:t xml:space="preserve"> However, much of this work is concerned with time as </w:t>
      </w:r>
      <w:r w:rsidRPr="003037D2">
        <w:rPr>
          <w:rFonts w:ascii="Garamond" w:hAnsi="Garamond"/>
          <w:i/>
        </w:rPr>
        <w:t xml:space="preserve">performed, </w:t>
      </w:r>
      <w:r w:rsidRPr="003037D2">
        <w:rPr>
          <w:rFonts w:ascii="Garamond" w:hAnsi="Garamond"/>
        </w:rPr>
        <w:t xml:space="preserve">either on the stage, or (in the case of Barrett’s essay) by a character in a narrative piece. This thesis rebalances this bias, instead focusing on how time is materially </w:t>
      </w:r>
      <w:proofErr w:type="spellStart"/>
      <w:r w:rsidRPr="003037D2">
        <w:rPr>
          <w:rFonts w:ascii="Garamond" w:hAnsi="Garamond"/>
        </w:rPr>
        <w:t>realised</w:t>
      </w:r>
      <w:proofErr w:type="spellEnd"/>
      <w:r w:rsidRPr="003037D2">
        <w:rPr>
          <w:rFonts w:ascii="Garamond" w:hAnsi="Garamond"/>
        </w:rPr>
        <w:t xml:space="preserve"> in religious texts including psalm translations, devotional verse and sermons. Many of the most pressing and intractable religious issues of the period (I fail to meet Gil Harris’s challenge to resist periodization) had a temporal element: what portion of time should particular devotional activities take up in the Christian’s life, the difficulty of </w:t>
      </w:r>
      <w:proofErr w:type="spellStart"/>
      <w:r w:rsidRPr="003037D2">
        <w:rPr>
          <w:rFonts w:ascii="Garamond" w:hAnsi="Garamond"/>
        </w:rPr>
        <w:t>conceptualising</w:t>
      </w:r>
      <w:proofErr w:type="spellEnd"/>
      <w:r w:rsidRPr="003037D2">
        <w:rPr>
          <w:rFonts w:ascii="Garamond" w:hAnsi="Garamond"/>
        </w:rPr>
        <w:t xml:space="preserve"> a relationship with an eternal God as a time-bound human subject, and the attendant issue of how to make sense of the theology of predestination. Despite this, the critical discussion of time in literature has often had a secular focus.</w:t>
      </w:r>
      <w:r w:rsidRPr="003037D2">
        <w:rPr>
          <w:rStyle w:val="FootnoteReference"/>
          <w:rFonts w:ascii="Garamond" w:hAnsi="Garamond"/>
        </w:rPr>
        <w:footnoteReference w:id="33"/>
      </w:r>
    </w:p>
    <w:p w14:paraId="74EBC1FE" w14:textId="77777777" w:rsidR="00162224" w:rsidRPr="003037D2" w:rsidRDefault="00162224" w:rsidP="00162224">
      <w:pPr>
        <w:spacing w:line="360" w:lineRule="auto"/>
        <w:ind w:firstLine="720"/>
        <w:rPr>
          <w:rFonts w:ascii="Garamond" w:hAnsi="Garamond"/>
        </w:rPr>
      </w:pPr>
    </w:p>
    <w:p w14:paraId="137E2264" w14:textId="069ABC29" w:rsidR="00162224" w:rsidRPr="003037D2" w:rsidRDefault="00162224" w:rsidP="002F1250">
      <w:pPr>
        <w:spacing w:line="360" w:lineRule="auto"/>
        <w:ind w:firstLine="720"/>
        <w:rPr>
          <w:rFonts w:ascii="Garamond" w:hAnsi="Garamond"/>
        </w:rPr>
      </w:pPr>
      <w:r w:rsidRPr="003037D2">
        <w:rPr>
          <w:rFonts w:ascii="Garamond" w:hAnsi="Garamond"/>
        </w:rPr>
        <w:t xml:space="preserve">The first chapter of the thesis examines time in a more quotidian setting, looking at the most popular books of the early modern period, almanacs. Almanacs bridge the gap between secular time and religious time, including both sets of temporal systems within their pages. This chapter builds on archival research undertaken at the Huntington Library, CA, where I studied the previously unexamined holdings of annotated almanacs. In opposition to the prevailing critical view of almanacs as disposable and ephemeral texts, I found evidence that almanacs could be treasured for decades as heirlooms.  I examine how the printed chronologies intersect with the ways in which people annotated the almanacs to write their own personal accounts of recent history and their lives. The annotations reveal that whilst the printed texts </w:t>
      </w:r>
      <w:r w:rsidRPr="003037D2">
        <w:rPr>
          <w:rFonts w:ascii="Garamond" w:hAnsi="Garamond"/>
        </w:rPr>
        <w:lastRenderedPageBreak/>
        <w:t xml:space="preserve">encouraged a </w:t>
      </w:r>
      <w:proofErr w:type="spellStart"/>
      <w:r w:rsidRPr="003037D2">
        <w:rPr>
          <w:rFonts w:ascii="Garamond" w:hAnsi="Garamond"/>
        </w:rPr>
        <w:t>homogenised</w:t>
      </w:r>
      <w:proofErr w:type="spellEnd"/>
      <w:r w:rsidRPr="003037D2">
        <w:rPr>
          <w:rFonts w:ascii="Garamond" w:hAnsi="Garamond"/>
        </w:rPr>
        <w:t xml:space="preserve">, </w:t>
      </w:r>
      <w:proofErr w:type="spellStart"/>
      <w:r w:rsidRPr="003037D2">
        <w:rPr>
          <w:rFonts w:ascii="Garamond" w:hAnsi="Garamond"/>
        </w:rPr>
        <w:t>regularised</w:t>
      </w:r>
      <w:proofErr w:type="spellEnd"/>
      <w:r w:rsidRPr="003037D2">
        <w:rPr>
          <w:rFonts w:ascii="Garamond" w:hAnsi="Garamond"/>
        </w:rPr>
        <w:t xml:space="preserve"> understanding of the passing of time, the book owners were comfortable writing against this, structuring their recollections in non-linear ways. Examining how time was presented in quotidian ways enables me to ground the examination of philosophical and abstract approaches to time in the later chapters of the thesis in practical terms. This work draws on the practice of new materialism, </w:t>
      </w:r>
      <w:proofErr w:type="spellStart"/>
      <w:r w:rsidRPr="003037D2">
        <w:rPr>
          <w:rFonts w:ascii="Garamond" w:hAnsi="Garamond"/>
        </w:rPr>
        <w:t>criticised</w:t>
      </w:r>
      <w:proofErr w:type="spellEnd"/>
      <w:r w:rsidRPr="003037D2">
        <w:rPr>
          <w:rFonts w:ascii="Garamond" w:hAnsi="Garamond"/>
        </w:rPr>
        <w:t xml:space="preserve"> by Bruster as ‘tchotchke criticism’. However, I disagree with Bruster that focusing on the materiality of objects necessitates occluding the importance of the human. Gil Harris has argued that this worry about fetishizing objects is a response ‘to a temporal conundrum posed by objects and matter itself. That is, things are often shrouded in anachronism’.</w:t>
      </w:r>
      <w:r w:rsidRPr="003037D2">
        <w:rPr>
          <w:rStyle w:val="FootnoteReference"/>
          <w:rFonts w:ascii="Garamond" w:hAnsi="Garamond"/>
        </w:rPr>
        <w:footnoteReference w:id="34"/>
      </w:r>
      <w:r w:rsidRPr="003037D2">
        <w:rPr>
          <w:rFonts w:ascii="Garamond" w:hAnsi="Garamond"/>
        </w:rPr>
        <w:t xml:space="preserve"> We approach both the matter of texts and the matter they are made of as two distinct problems to be solved. Gill Harris states that ‘the relations between matter and temporality have been largely occluded in recent scholarship on objects, which has tended to transform the </w:t>
      </w:r>
      <w:r w:rsidR="002F1250">
        <w:rPr>
          <w:rFonts w:ascii="Garamond" w:hAnsi="Garamond"/>
        </w:rPr>
        <w:t>“</w:t>
      </w:r>
      <w:r w:rsidRPr="003037D2">
        <w:rPr>
          <w:rFonts w:ascii="Garamond" w:hAnsi="Garamond"/>
        </w:rPr>
        <w:t>material</w:t>
      </w:r>
      <w:r w:rsidR="002F1250">
        <w:rPr>
          <w:rFonts w:ascii="Garamond" w:hAnsi="Garamond"/>
        </w:rPr>
        <w:t>”</w:t>
      </w:r>
      <w:r w:rsidRPr="003037D2">
        <w:rPr>
          <w:rFonts w:ascii="Garamond" w:hAnsi="Garamond"/>
        </w:rPr>
        <w:t xml:space="preserve"> of material culture into a synonym for </w:t>
      </w:r>
      <w:r w:rsidR="002F1250">
        <w:rPr>
          <w:rFonts w:ascii="Garamond" w:hAnsi="Garamond"/>
        </w:rPr>
        <w:t>“</w:t>
      </w:r>
      <w:r w:rsidRPr="003037D2">
        <w:rPr>
          <w:rFonts w:ascii="Garamond" w:hAnsi="Garamond"/>
        </w:rPr>
        <w:t>physical</w:t>
      </w:r>
      <w:r w:rsidR="002F1250">
        <w:rPr>
          <w:rFonts w:ascii="Garamond" w:hAnsi="Garamond"/>
        </w:rPr>
        <w:t>”</w:t>
      </w:r>
      <w:r w:rsidRPr="003037D2">
        <w:rPr>
          <w:rFonts w:ascii="Garamond" w:hAnsi="Garamond"/>
        </w:rPr>
        <w:t xml:space="preserve"> – thereby freezing not just the object in time but time in the object’.</w:t>
      </w:r>
      <w:r w:rsidRPr="003037D2">
        <w:rPr>
          <w:rStyle w:val="FootnoteReference"/>
          <w:rFonts w:ascii="Garamond" w:hAnsi="Garamond"/>
        </w:rPr>
        <w:footnoteReference w:id="35"/>
      </w:r>
      <w:r w:rsidRPr="003037D2">
        <w:rPr>
          <w:rFonts w:ascii="Garamond" w:hAnsi="Garamond"/>
        </w:rPr>
        <w:t xml:space="preserve"> My work on almanacs seeks to counter this, examining the dual way in which almanacs capture and contain time, and can be read across time for evidence of their flexible use, as previously suggested by Adam Smyth in his study of almanacs as sites of for life writing.</w:t>
      </w:r>
      <w:r w:rsidRPr="003037D2">
        <w:rPr>
          <w:rStyle w:val="FootnoteReference"/>
          <w:rFonts w:ascii="Garamond" w:hAnsi="Garamond"/>
        </w:rPr>
        <w:footnoteReference w:id="36"/>
      </w:r>
    </w:p>
    <w:p w14:paraId="68FA0635" w14:textId="77777777" w:rsidR="00162224" w:rsidRPr="003037D2" w:rsidRDefault="00162224" w:rsidP="00162224">
      <w:pPr>
        <w:spacing w:line="360" w:lineRule="auto"/>
        <w:ind w:firstLine="720"/>
        <w:rPr>
          <w:rFonts w:ascii="Garamond" w:hAnsi="Garamond"/>
        </w:rPr>
      </w:pPr>
    </w:p>
    <w:p w14:paraId="5ACCFBB7" w14:textId="77777777" w:rsidR="00162224" w:rsidRPr="003037D2" w:rsidRDefault="00162224" w:rsidP="00162224">
      <w:pPr>
        <w:spacing w:line="360" w:lineRule="auto"/>
        <w:ind w:firstLine="720"/>
        <w:rPr>
          <w:rFonts w:ascii="Garamond" w:hAnsi="Garamond"/>
        </w:rPr>
      </w:pPr>
      <w:r w:rsidRPr="003037D2">
        <w:rPr>
          <w:rFonts w:ascii="Garamond" w:hAnsi="Garamond"/>
        </w:rPr>
        <w:t>As well as being the most popular textual form in the period, almanacs seem particularly resonant objects for the early modern period due to the ways in which they were repurposed and reused. Recent work by Huw Griffiths and Alexandra Walsham has convincingly described the sixteenth and seventeenth centuries as times of reworking and recycling. Griffiths writes that Tudor and Elizabethan England was ‘littered with ruins, both real and symbolic’ – the imagined ruins of Troy, the Roman Empire, and the shells of medieval abbeys:</w:t>
      </w:r>
    </w:p>
    <w:p w14:paraId="04E17ADE" w14:textId="43E3682D" w:rsidR="00162224" w:rsidRDefault="00162224" w:rsidP="00162224">
      <w:pPr>
        <w:ind w:left="737" w:right="737"/>
        <w:rPr>
          <w:rFonts w:ascii="Garamond" w:hAnsi="Garamond"/>
        </w:rPr>
      </w:pPr>
      <w:r w:rsidRPr="003037D2">
        <w:rPr>
          <w:rFonts w:ascii="Garamond" w:hAnsi="Garamond"/>
        </w:rPr>
        <w:t xml:space="preserve">Our idea of the Renaissance is rightly taken up by developments in architecture, building and construction, but these great works are always shaded by an awareness of destruction… The fragments of classical </w:t>
      </w:r>
      <w:proofErr w:type="spellStart"/>
      <w:r w:rsidRPr="003037D2">
        <w:rPr>
          <w:rFonts w:ascii="Garamond" w:hAnsi="Garamond"/>
        </w:rPr>
        <w:t>civilisations</w:t>
      </w:r>
      <w:proofErr w:type="spellEnd"/>
      <w:r w:rsidRPr="003037D2">
        <w:rPr>
          <w:rFonts w:ascii="Garamond" w:hAnsi="Garamond"/>
        </w:rPr>
        <w:t xml:space="preserve"> act as a foundation for the achievements of the Renaissance throughout Europe, yet the awareness of distance between the ancient and the modern produces a profound sense of anachronism, of irony, and of mortality. Similarly, the presence of </w:t>
      </w:r>
      <w:r w:rsidRPr="003037D2">
        <w:rPr>
          <w:rFonts w:ascii="Garamond" w:hAnsi="Garamond"/>
        </w:rPr>
        <w:lastRenderedPageBreak/>
        <w:t>medieval religious buildings in the British national landscape calls forth an awareness of an ancient history, but one that is lost, broken and ruined.</w:t>
      </w:r>
      <w:r w:rsidRPr="003037D2">
        <w:rPr>
          <w:rStyle w:val="FootnoteReference"/>
          <w:rFonts w:ascii="Garamond" w:hAnsi="Garamond"/>
        </w:rPr>
        <w:footnoteReference w:id="37"/>
      </w:r>
      <w:r w:rsidRPr="003037D2">
        <w:rPr>
          <w:rFonts w:ascii="Garamond" w:hAnsi="Garamond"/>
        </w:rPr>
        <w:t xml:space="preserve"> </w:t>
      </w:r>
    </w:p>
    <w:p w14:paraId="0620515B" w14:textId="77777777" w:rsidR="0056489A" w:rsidRPr="003037D2" w:rsidRDefault="0056489A" w:rsidP="00162224">
      <w:pPr>
        <w:ind w:left="737" w:right="737"/>
        <w:rPr>
          <w:rFonts w:ascii="Garamond" w:hAnsi="Garamond"/>
        </w:rPr>
      </w:pPr>
    </w:p>
    <w:p w14:paraId="593352E4" w14:textId="7FDAE190" w:rsidR="00162224" w:rsidRPr="003037D2" w:rsidRDefault="00162224" w:rsidP="00162224">
      <w:pPr>
        <w:spacing w:line="360" w:lineRule="auto"/>
        <w:rPr>
          <w:rFonts w:ascii="Garamond" w:hAnsi="Garamond"/>
        </w:rPr>
      </w:pPr>
      <w:r w:rsidRPr="003037D2">
        <w:rPr>
          <w:rFonts w:ascii="Garamond" w:hAnsi="Garamond"/>
        </w:rPr>
        <w:t>To build on this intellectual land of ruins (but crucially, not ruined land) required resourcefulness</w:t>
      </w:r>
      <w:r w:rsidR="00094FAC" w:rsidRPr="003037D2">
        <w:rPr>
          <w:rFonts w:ascii="Garamond" w:hAnsi="Garamond"/>
        </w:rPr>
        <w:t xml:space="preserve">. </w:t>
      </w:r>
      <w:r w:rsidRPr="003037D2">
        <w:rPr>
          <w:rFonts w:ascii="Garamond" w:hAnsi="Garamond"/>
        </w:rPr>
        <w:t xml:space="preserve">I posit that this resourceful view of time can be recaptured in the annotated almanacs, in addition to the focus on productivity that we would expect from reading Weber and Thompson on the birth of capitalist time. Making effective, productive use of ones’ time </w:t>
      </w:r>
      <w:proofErr w:type="gramStart"/>
      <w:r w:rsidRPr="003037D2">
        <w:rPr>
          <w:rFonts w:ascii="Garamond" w:hAnsi="Garamond"/>
        </w:rPr>
        <w:t>was seen as</w:t>
      </w:r>
      <w:proofErr w:type="gramEnd"/>
      <w:r w:rsidRPr="003037D2">
        <w:rPr>
          <w:rFonts w:ascii="Garamond" w:hAnsi="Garamond"/>
        </w:rPr>
        <w:t xml:space="preserve"> an important part of being a good Christian, as advised by conduct books. </w:t>
      </w:r>
    </w:p>
    <w:p w14:paraId="20FFD02B" w14:textId="77777777" w:rsidR="00162224" w:rsidRPr="003037D2" w:rsidRDefault="00162224" w:rsidP="00162224">
      <w:pPr>
        <w:spacing w:line="360" w:lineRule="auto"/>
        <w:rPr>
          <w:rFonts w:ascii="Garamond" w:hAnsi="Garamond"/>
        </w:rPr>
      </w:pPr>
    </w:p>
    <w:p w14:paraId="10E1C536" w14:textId="7763E0C0" w:rsidR="00162224" w:rsidRPr="003037D2" w:rsidRDefault="00162224" w:rsidP="00162224">
      <w:pPr>
        <w:spacing w:line="360" w:lineRule="auto"/>
        <w:ind w:firstLine="720"/>
        <w:rPr>
          <w:rFonts w:ascii="Garamond" w:hAnsi="Garamond"/>
        </w:rPr>
      </w:pPr>
      <w:r w:rsidRPr="003037D2">
        <w:rPr>
          <w:rFonts w:ascii="Garamond" w:hAnsi="Garamond"/>
        </w:rPr>
        <w:t xml:space="preserve">The importance of reworking is continued in the second chapter, an examination of psalm translations by Matthew Parker, Mary Sidney Herbert and Anne Lock. Biblical translation was a central aspect of post-Reformation faith. Translation into vernacular languages is an act of community </w:t>
      </w:r>
      <w:proofErr w:type="gramStart"/>
      <w:r w:rsidRPr="003037D2">
        <w:rPr>
          <w:rFonts w:ascii="Garamond" w:hAnsi="Garamond"/>
        </w:rPr>
        <w:t>making:</w:t>
      </w:r>
      <w:proofErr w:type="gramEnd"/>
      <w:r w:rsidRPr="003037D2">
        <w:rPr>
          <w:rFonts w:ascii="Garamond" w:hAnsi="Garamond"/>
        </w:rPr>
        <w:t xml:space="preserve"> both bringing people together in a moment of shared understanding in the present, and in a more unusual trans</w:t>
      </w:r>
      <w:r w:rsidR="007842D3" w:rsidRPr="003037D2">
        <w:rPr>
          <w:rFonts w:ascii="Garamond" w:hAnsi="Garamond"/>
        </w:rPr>
        <w:t>-</w:t>
      </w:r>
      <w:r w:rsidRPr="003037D2">
        <w:rPr>
          <w:rFonts w:ascii="Garamond" w:hAnsi="Garamond"/>
        </w:rPr>
        <w:t xml:space="preserve">historical manner, reaching across the gap of time to (hopefully) bring old truths closer. Translating work </w:t>
      </w:r>
      <w:proofErr w:type="gramStart"/>
      <w:r w:rsidRPr="003037D2">
        <w:rPr>
          <w:rFonts w:ascii="Garamond" w:hAnsi="Garamond"/>
        </w:rPr>
        <w:t>re-times</w:t>
      </w:r>
      <w:proofErr w:type="gramEnd"/>
      <w:r w:rsidRPr="003037D2">
        <w:rPr>
          <w:rFonts w:ascii="Garamond" w:hAnsi="Garamond"/>
        </w:rPr>
        <w:t xml:space="preserve"> it, and it is this question of how language is changed to fit a certain time which recurs throughout my thesis. This is particularly the case with the psalter, which Calvin described as an ‘Anatomy of all the </w:t>
      </w:r>
      <w:proofErr w:type="spellStart"/>
      <w:r w:rsidRPr="003037D2">
        <w:rPr>
          <w:rFonts w:ascii="Garamond" w:hAnsi="Garamond"/>
        </w:rPr>
        <w:t>partes</w:t>
      </w:r>
      <w:proofErr w:type="spellEnd"/>
      <w:r w:rsidRPr="003037D2">
        <w:rPr>
          <w:rFonts w:ascii="Garamond" w:hAnsi="Garamond"/>
        </w:rPr>
        <w:t xml:space="preserve"> of the Soule’.</w:t>
      </w:r>
      <w:r w:rsidRPr="003037D2">
        <w:rPr>
          <w:rStyle w:val="FootnoteReference"/>
          <w:rFonts w:ascii="Garamond" w:hAnsi="Garamond"/>
        </w:rPr>
        <w:footnoteReference w:id="38"/>
      </w:r>
      <w:r w:rsidRPr="003037D2">
        <w:rPr>
          <w:rFonts w:ascii="Garamond" w:hAnsi="Garamond"/>
        </w:rPr>
        <w:t xml:space="preserve"> Psalms provide a model for communication and for thought. As Donne declared in his second </w:t>
      </w:r>
      <w:proofErr w:type="spellStart"/>
      <w:r w:rsidRPr="003037D2">
        <w:rPr>
          <w:rFonts w:ascii="Garamond" w:hAnsi="Garamond"/>
        </w:rPr>
        <w:t>prebend</w:t>
      </w:r>
      <w:proofErr w:type="spellEnd"/>
      <w:r w:rsidRPr="003037D2">
        <w:rPr>
          <w:rFonts w:ascii="Garamond" w:hAnsi="Garamond"/>
        </w:rPr>
        <w:t xml:space="preserve"> sermon on Psalm 63.7: </w:t>
      </w:r>
    </w:p>
    <w:p w14:paraId="405755F3" w14:textId="4944D995" w:rsidR="00162224" w:rsidRDefault="00162224" w:rsidP="00162224">
      <w:pPr>
        <w:ind w:left="737" w:right="737"/>
        <w:rPr>
          <w:rFonts w:ascii="Garamond" w:hAnsi="Garamond"/>
        </w:rPr>
      </w:pPr>
      <w:r w:rsidRPr="003037D2">
        <w:rPr>
          <w:rFonts w:ascii="Garamond" w:hAnsi="Garamond"/>
        </w:rPr>
        <w:t xml:space="preserve">The </w:t>
      </w:r>
      <w:proofErr w:type="spellStart"/>
      <w:r w:rsidRPr="003037D2">
        <w:rPr>
          <w:rFonts w:ascii="Garamond" w:hAnsi="Garamond"/>
        </w:rPr>
        <w:t>Psalmes</w:t>
      </w:r>
      <w:proofErr w:type="spellEnd"/>
      <w:r w:rsidRPr="003037D2">
        <w:rPr>
          <w:rFonts w:ascii="Garamond" w:hAnsi="Garamond"/>
        </w:rPr>
        <w:t xml:space="preserve"> are the Manna of the Church. As Manna tasted to every man like that that he liked best, so </w:t>
      </w:r>
      <w:proofErr w:type="spellStart"/>
      <w:r w:rsidRPr="003037D2">
        <w:rPr>
          <w:rFonts w:ascii="Garamond" w:hAnsi="Garamond"/>
        </w:rPr>
        <w:t>doe</w:t>
      </w:r>
      <w:proofErr w:type="spellEnd"/>
      <w:r w:rsidRPr="003037D2">
        <w:rPr>
          <w:rFonts w:ascii="Garamond" w:hAnsi="Garamond"/>
        </w:rPr>
        <w:t xml:space="preserve"> the </w:t>
      </w:r>
      <w:proofErr w:type="spellStart"/>
      <w:r w:rsidRPr="003037D2">
        <w:rPr>
          <w:rFonts w:ascii="Garamond" w:hAnsi="Garamond"/>
        </w:rPr>
        <w:t>Psalmes</w:t>
      </w:r>
      <w:proofErr w:type="spellEnd"/>
      <w:r w:rsidRPr="003037D2">
        <w:rPr>
          <w:rFonts w:ascii="Garamond" w:hAnsi="Garamond"/>
        </w:rPr>
        <w:t xml:space="preserve"> minister Instruction, and satisfaction, to every man, in every emergency and occasion. David was not </w:t>
      </w:r>
      <w:proofErr w:type="spellStart"/>
      <w:r w:rsidRPr="003037D2">
        <w:rPr>
          <w:rFonts w:ascii="Garamond" w:hAnsi="Garamond"/>
        </w:rPr>
        <w:t>onely</w:t>
      </w:r>
      <w:proofErr w:type="spellEnd"/>
      <w:r w:rsidRPr="003037D2">
        <w:rPr>
          <w:rFonts w:ascii="Garamond" w:hAnsi="Garamond"/>
        </w:rPr>
        <w:t xml:space="preserve"> a </w:t>
      </w:r>
      <w:proofErr w:type="spellStart"/>
      <w:r w:rsidRPr="003037D2">
        <w:rPr>
          <w:rFonts w:ascii="Garamond" w:hAnsi="Garamond"/>
        </w:rPr>
        <w:t>cleare</w:t>
      </w:r>
      <w:proofErr w:type="spellEnd"/>
      <w:r w:rsidRPr="003037D2">
        <w:rPr>
          <w:rFonts w:ascii="Garamond" w:hAnsi="Garamond"/>
        </w:rPr>
        <w:t xml:space="preserve"> Prophet of Christ himself, but a Prophet of every </w:t>
      </w:r>
      <w:proofErr w:type="gramStart"/>
      <w:r w:rsidRPr="003037D2">
        <w:rPr>
          <w:rFonts w:ascii="Garamond" w:hAnsi="Garamond"/>
        </w:rPr>
        <w:t>particular Christian</w:t>
      </w:r>
      <w:proofErr w:type="gramEnd"/>
      <w:r w:rsidRPr="003037D2">
        <w:rPr>
          <w:rFonts w:ascii="Garamond" w:hAnsi="Garamond"/>
        </w:rPr>
        <w:t>.</w:t>
      </w:r>
      <w:r w:rsidRPr="003037D2">
        <w:rPr>
          <w:rStyle w:val="FootnoteReference"/>
          <w:rFonts w:ascii="Garamond" w:hAnsi="Garamond"/>
        </w:rPr>
        <w:footnoteReference w:id="39"/>
      </w:r>
      <w:r w:rsidRPr="003037D2">
        <w:rPr>
          <w:rFonts w:ascii="Garamond" w:hAnsi="Garamond"/>
        </w:rPr>
        <w:t xml:space="preserve"> </w:t>
      </w:r>
    </w:p>
    <w:p w14:paraId="715C1553" w14:textId="77777777" w:rsidR="0056489A" w:rsidRPr="003037D2" w:rsidRDefault="0056489A" w:rsidP="00162224">
      <w:pPr>
        <w:ind w:left="737" w:right="737"/>
        <w:rPr>
          <w:rFonts w:ascii="Garamond" w:hAnsi="Garamond"/>
        </w:rPr>
      </w:pPr>
    </w:p>
    <w:p w14:paraId="718920FE" w14:textId="77777777" w:rsidR="00162224" w:rsidRPr="003037D2" w:rsidRDefault="00162224" w:rsidP="00162224">
      <w:pPr>
        <w:spacing w:line="360" w:lineRule="auto"/>
        <w:rPr>
          <w:rFonts w:ascii="Garamond" w:hAnsi="Garamond"/>
        </w:rPr>
      </w:pPr>
      <w:r w:rsidRPr="003037D2">
        <w:rPr>
          <w:rFonts w:ascii="Garamond" w:hAnsi="Garamond"/>
        </w:rPr>
        <w:t>David is presented as a model for how to act in extremities of suffering, whilst removed from the sanctuary of God, as Donne recounts ‘yet he bent towards the temple… When he prayed, his Chamber windows were open towards Jerusalem’.</w:t>
      </w:r>
      <w:r w:rsidRPr="003037D2">
        <w:rPr>
          <w:rStyle w:val="FootnoteReference"/>
          <w:rFonts w:ascii="Garamond" w:hAnsi="Garamond"/>
        </w:rPr>
        <w:footnoteReference w:id="40"/>
      </w:r>
      <w:r w:rsidRPr="003037D2">
        <w:rPr>
          <w:rFonts w:ascii="Garamond" w:hAnsi="Garamond"/>
        </w:rPr>
        <w:t xml:space="preserve"> Daniel, Hezekiah, and Solomon are also cited as models of this turning: a physical </w:t>
      </w:r>
      <w:r w:rsidRPr="003037D2">
        <w:rPr>
          <w:rFonts w:ascii="Garamond" w:hAnsi="Garamond"/>
        </w:rPr>
        <w:lastRenderedPageBreak/>
        <w:t>motion that mirrors the inward nature of their prayer. Donne explains the need for these biblical precedents, saying</w:t>
      </w:r>
    </w:p>
    <w:p w14:paraId="34C3A8AF" w14:textId="3913D045" w:rsidR="00162224" w:rsidRDefault="00162224" w:rsidP="00162224">
      <w:pPr>
        <w:ind w:left="737" w:right="737"/>
        <w:rPr>
          <w:rFonts w:ascii="Garamond" w:hAnsi="Garamond"/>
        </w:rPr>
      </w:pPr>
      <w:r w:rsidRPr="003037D2">
        <w:rPr>
          <w:rFonts w:ascii="Garamond" w:hAnsi="Garamond"/>
        </w:rPr>
        <w:t xml:space="preserve">It </w:t>
      </w:r>
      <w:proofErr w:type="spellStart"/>
      <w:r w:rsidRPr="003037D2">
        <w:rPr>
          <w:rFonts w:ascii="Garamond" w:hAnsi="Garamond"/>
        </w:rPr>
        <w:t>behoves</w:t>
      </w:r>
      <w:proofErr w:type="spellEnd"/>
      <w:r w:rsidRPr="003037D2">
        <w:rPr>
          <w:rFonts w:ascii="Garamond" w:hAnsi="Garamond"/>
        </w:rPr>
        <w:t xml:space="preserve"> us, in all our purposes, and actions, to propose to </w:t>
      </w:r>
      <w:proofErr w:type="spellStart"/>
      <w:r w:rsidRPr="003037D2">
        <w:rPr>
          <w:rFonts w:ascii="Garamond" w:hAnsi="Garamond"/>
        </w:rPr>
        <w:t>our selves</w:t>
      </w:r>
      <w:proofErr w:type="spellEnd"/>
      <w:r w:rsidRPr="003037D2">
        <w:rPr>
          <w:rFonts w:ascii="Garamond" w:hAnsi="Garamond"/>
        </w:rPr>
        <w:t xml:space="preserve"> a copy to write by, a </w:t>
      </w:r>
      <w:proofErr w:type="spellStart"/>
      <w:r w:rsidRPr="003037D2">
        <w:rPr>
          <w:rFonts w:ascii="Garamond" w:hAnsi="Garamond"/>
        </w:rPr>
        <w:t>patterne</w:t>
      </w:r>
      <w:proofErr w:type="spellEnd"/>
      <w:r w:rsidRPr="003037D2">
        <w:rPr>
          <w:rFonts w:ascii="Garamond" w:hAnsi="Garamond"/>
        </w:rPr>
        <w:t xml:space="preserve"> to </w:t>
      </w:r>
      <w:proofErr w:type="spellStart"/>
      <w:r w:rsidRPr="003037D2">
        <w:rPr>
          <w:rFonts w:ascii="Garamond" w:hAnsi="Garamond"/>
        </w:rPr>
        <w:t>worke</w:t>
      </w:r>
      <w:proofErr w:type="spellEnd"/>
      <w:r w:rsidRPr="003037D2">
        <w:rPr>
          <w:rFonts w:ascii="Garamond" w:hAnsi="Garamond"/>
        </w:rPr>
        <w:t xml:space="preserve"> by, a rule, or an example to proceed by… the copy, the </w:t>
      </w:r>
      <w:proofErr w:type="spellStart"/>
      <w:r w:rsidRPr="003037D2">
        <w:rPr>
          <w:rFonts w:ascii="Garamond" w:hAnsi="Garamond"/>
        </w:rPr>
        <w:t>patterne</w:t>
      </w:r>
      <w:proofErr w:type="spellEnd"/>
      <w:r w:rsidRPr="003037D2">
        <w:rPr>
          <w:rFonts w:ascii="Garamond" w:hAnsi="Garamond"/>
        </w:rPr>
        <w:t xml:space="preserve">, the precedent which we are to propose to ourselves, is, The observation of Gods former ways and proceedings upon us… First then, from the meanest artificer, through the wisest Philosopher, to God himself, all that is well done, or wisely undertaken is undertaken and done according to pre-conceptions, fore-imaginations, designs and patterns proposed to </w:t>
      </w:r>
      <w:proofErr w:type="gramStart"/>
      <w:r w:rsidRPr="003037D2">
        <w:rPr>
          <w:rFonts w:ascii="Garamond" w:hAnsi="Garamond"/>
        </w:rPr>
        <w:t>ourselves</w:t>
      </w:r>
      <w:proofErr w:type="gramEnd"/>
      <w:r w:rsidRPr="003037D2">
        <w:rPr>
          <w:rFonts w:ascii="Garamond" w:hAnsi="Garamond"/>
        </w:rPr>
        <w:t xml:space="preserve"> beforehand.</w:t>
      </w:r>
      <w:r w:rsidRPr="003037D2">
        <w:rPr>
          <w:rStyle w:val="FootnoteReference"/>
          <w:rFonts w:ascii="Garamond" w:hAnsi="Garamond"/>
        </w:rPr>
        <w:footnoteReference w:id="41"/>
      </w:r>
    </w:p>
    <w:p w14:paraId="4829ABED" w14:textId="77777777" w:rsidR="0056489A" w:rsidRPr="003037D2" w:rsidRDefault="0056489A" w:rsidP="00162224">
      <w:pPr>
        <w:ind w:left="737" w:right="737"/>
        <w:rPr>
          <w:rFonts w:ascii="Garamond" w:hAnsi="Garamond"/>
        </w:rPr>
      </w:pPr>
    </w:p>
    <w:p w14:paraId="512B1784" w14:textId="77777777" w:rsidR="00162224" w:rsidRPr="003037D2" w:rsidRDefault="00162224" w:rsidP="00162224">
      <w:pPr>
        <w:spacing w:line="360" w:lineRule="auto"/>
        <w:rPr>
          <w:rFonts w:ascii="Garamond" w:hAnsi="Garamond"/>
        </w:rPr>
      </w:pPr>
      <w:r w:rsidRPr="003037D2">
        <w:rPr>
          <w:rFonts w:ascii="Garamond" w:hAnsi="Garamond"/>
        </w:rPr>
        <w:t xml:space="preserve">Donne moves from the fact that a philosopher would follow the pattern of their predecessors, ‘Socrates, or Plato’, to claim that God ‘never did anything in any part... of time, of which he had not an </w:t>
      </w:r>
      <w:proofErr w:type="spellStart"/>
      <w:r w:rsidRPr="003037D2">
        <w:rPr>
          <w:rFonts w:ascii="Garamond" w:hAnsi="Garamond"/>
        </w:rPr>
        <w:t>eternall</w:t>
      </w:r>
      <w:proofErr w:type="spellEnd"/>
      <w:r w:rsidRPr="003037D2">
        <w:rPr>
          <w:rFonts w:ascii="Garamond" w:hAnsi="Garamond"/>
        </w:rPr>
        <w:t xml:space="preserve"> pre-conception, an eternal idea in himself before’. He then argues, ‘let him be our pattern for that, to </w:t>
      </w:r>
      <w:proofErr w:type="spellStart"/>
      <w:r w:rsidRPr="003037D2">
        <w:rPr>
          <w:rFonts w:ascii="Garamond" w:hAnsi="Garamond"/>
        </w:rPr>
        <w:t>worke</w:t>
      </w:r>
      <w:proofErr w:type="spellEnd"/>
      <w:r w:rsidRPr="003037D2">
        <w:rPr>
          <w:rFonts w:ascii="Garamond" w:hAnsi="Garamond"/>
        </w:rPr>
        <w:t xml:space="preserve"> after </w:t>
      </w:r>
      <w:proofErr w:type="spellStart"/>
      <w:r w:rsidRPr="003037D2">
        <w:rPr>
          <w:rFonts w:ascii="Garamond" w:hAnsi="Garamond"/>
        </w:rPr>
        <w:t>patternes</w:t>
      </w:r>
      <w:proofErr w:type="spellEnd"/>
      <w:r w:rsidRPr="003037D2">
        <w:rPr>
          <w:rFonts w:ascii="Garamond" w:hAnsi="Garamond"/>
        </w:rPr>
        <w:t xml:space="preserve">, to propose to ourselves Rules and Examples for all our actions’. These patterns are explicitly connected to practical acts of worship, outlined in an imagined conversation with God, ‘If he </w:t>
      </w:r>
      <w:proofErr w:type="spellStart"/>
      <w:r w:rsidRPr="003037D2">
        <w:rPr>
          <w:rFonts w:ascii="Garamond" w:hAnsi="Garamond"/>
        </w:rPr>
        <w:t>aske</w:t>
      </w:r>
      <w:proofErr w:type="spellEnd"/>
      <w:r w:rsidRPr="003037D2">
        <w:rPr>
          <w:rFonts w:ascii="Garamond" w:hAnsi="Garamond"/>
        </w:rPr>
        <w:t xml:space="preserve"> me an Idea of my prayers, shall I not be able to say, it is that which my particular necessities, that which the </w:t>
      </w:r>
      <w:proofErr w:type="spellStart"/>
      <w:r w:rsidRPr="003037D2">
        <w:rPr>
          <w:rFonts w:ascii="Garamond" w:hAnsi="Garamond"/>
        </w:rPr>
        <w:t>forme</w:t>
      </w:r>
      <w:proofErr w:type="spellEnd"/>
      <w:r w:rsidRPr="003037D2">
        <w:rPr>
          <w:rFonts w:ascii="Garamond" w:hAnsi="Garamond"/>
        </w:rPr>
        <w:t xml:space="preserve"> prescribed thy Son… hath imprinted in me? If he </w:t>
      </w:r>
      <w:proofErr w:type="spellStart"/>
      <w:r w:rsidRPr="003037D2">
        <w:rPr>
          <w:rFonts w:ascii="Garamond" w:hAnsi="Garamond"/>
        </w:rPr>
        <w:t>aske</w:t>
      </w:r>
      <w:proofErr w:type="spellEnd"/>
      <w:r w:rsidRPr="003037D2">
        <w:rPr>
          <w:rFonts w:ascii="Garamond" w:hAnsi="Garamond"/>
        </w:rPr>
        <w:t xml:space="preserve"> me an Idea of my Sermon, shall I not be able to say, </w:t>
      </w:r>
      <w:proofErr w:type="gramStart"/>
      <w:r w:rsidRPr="003037D2">
        <w:rPr>
          <w:rFonts w:ascii="Garamond" w:hAnsi="Garamond"/>
        </w:rPr>
        <w:t>It</w:t>
      </w:r>
      <w:proofErr w:type="gramEnd"/>
      <w:r w:rsidRPr="003037D2">
        <w:rPr>
          <w:rFonts w:ascii="Garamond" w:hAnsi="Garamond"/>
        </w:rPr>
        <w:t xml:space="preserve"> is that which the Analogy of faith, the edification of the Congregation, the </w:t>
      </w:r>
      <w:proofErr w:type="spellStart"/>
      <w:r w:rsidRPr="003037D2">
        <w:rPr>
          <w:rFonts w:ascii="Garamond" w:hAnsi="Garamond"/>
        </w:rPr>
        <w:t>zeale</w:t>
      </w:r>
      <w:proofErr w:type="spellEnd"/>
      <w:r w:rsidRPr="003037D2">
        <w:rPr>
          <w:rFonts w:ascii="Garamond" w:hAnsi="Garamond"/>
        </w:rPr>
        <w:t xml:space="preserve"> of thy </w:t>
      </w:r>
      <w:proofErr w:type="spellStart"/>
      <w:r w:rsidRPr="003037D2">
        <w:rPr>
          <w:rFonts w:ascii="Garamond" w:hAnsi="Garamond"/>
        </w:rPr>
        <w:t>worke</w:t>
      </w:r>
      <w:proofErr w:type="spellEnd"/>
      <w:r w:rsidRPr="003037D2">
        <w:rPr>
          <w:rFonts w:ascii="Garamond" w:hAnsi="Garamond"/>
        </w:rPr>
        <w:t xml:space="preserve">, the meditations of my heart have imprinted in me?’ Salvation means following a pre-determined path, as Donne says, ‘for to that Heaven… I shall never come, except I go by… by former Ideas, former examples, former patterns… God does nothing, man does nothing well, without these Ideas, these </w:t>
      </w:r>
      <w:proofErr w:type="spellStart"/>
      <w:r w:rsidRPr="003037D2">
        <w:rPr>
          <w:rFonts w:ascii="Garamond" w:hAnsi="Garamond"/>
        </w:rPr>
        <w:t>retrospects</w:t>
      </w:r>
      <w:proofErr w:type="spellEnd"/>
      <w:r w:rsidRPr="003037D2">
        <w:rPr>
          <w:rFonts w:ascii="Garamond" w:hAnsi="Garamond"/>
        </w:rPr>
        <w:t>, this recourse to pre-conception, pre-deliberation’.</w:t>
      </w:r>
      <w:r w:rsidRPr="003037D2">
        <w:rPr>
          <w:rStyle w:val="FootnoteReference"/>
          <w:rFonts w:ascii="Garamond" w:hAnsi="Garamond"/>
        </w:rPr>
        <w:footnoteReference w:id="42"/>
      </w:r>
      <w:r w:rsidRPr="003037D2">
        <w:rPr>
          <w:rFonts w:ascii="Garamond" w:hAnsi="Garamond"/>
        </w:rPr>
        <w:t xml:space="preserve"> </w:t>
      </w:r>
    </w:p>
    <w:p w14:paraId="7D3209E7" w14:textId="77777777" w:rsidR="00162224" w:rsidRPr="003037D2" w:rsidRDefault="00162224" w:rsidP="00162224">
      <w:pPr>
        <w:spacing w:line="360" w:lineRule="auto"/>
        <w:rPr>
          <w:rFonts w:ascii="Garamond" w:hAnsi="Garamond"/>
        </w:rPr>
      </w:pPr>
    </w:p>
    <w:p w14:paraId="03B2D2CA" w14:textId="4DB22D5F" w:rsidR="00162224" w:rsidRPr="003037D2" w:rsidRDefault="00162224" w:rsidP="00162224">
      <w:pPr>
        <w:spacing w:line="360" w:lineRule="auto"/>
        <w:ind w:firstLine="720"/>
        <w:rPr>
          <w:rFonts w:ascii="Garamond" w:hAnsi="Garamond"/>
          <w:i/>
        </w:rPr>
      </w:pPr>
      <w:r w:rsidRPr="003037D2">
        <w:rPr>
          <w:rFonts w:ascii="Garamond" w:hAnsi="Garamond"/>
        </w:rPr>
        <w:t xml:space="preserve">I explore why such a pattern of ‘pre-conception’ is needed to communicate with God. The need to follow the ‘imprint’ of devotion speaks to the difficulty in imagining communication between eternal God and a changeable, temporal man. Indeed, this difficulty speaks to the core problem of a lack of clarity regarding how a perfect and eternal God could create beings so dissimilar to Himself, and how mankind might seek to rectify their fallen nature, and over-leap this gap. Matthew Parker attempts to bridge this gap by creating </w:t>
      </w:r>
      <w:proofErr w:type="spellStart"/>
      <w:r w:rsidRPr="003037D2">
        <w:rPr>
          <w:rFonts w:ascii="Garamond" w:hAnsi="Garamond"/>
        </w:rPr>
        <w:t>psalmic</w:t>
      </w:r>
      <w:proofErr w:type="spellEnd"/>
      <w:r w:rsidRPr="003037D2">
        <w:rPr>
          <w:rFonts w:ascii="Garamond" w:hAnsi="Garamond"/>
        </w:rPr>
        <w:t xml:space="preserve"> and biblical translations that </w:t>
      </w:r>
      <w:r w:rsidRPr="003037D2">
        <w:rPr>
          <w:rFonts w:ascii="Garamond" w:hAnsi="Garamond"/>
        </w:rPr>
        <w:lastRenderedPageBreak/>
        <w:t xml:space="preserve">promoted community and worked against schismatic thinking. I explore why psalms, in offering (in Donne’s terms) a pattern and ‘recourse to pre-conception, pre-deliberation’, were particularly effective in bridging this communicative gulf between different types of matter. I examine how ideas of </w:t>
      </w:r>
      <w:r w:rsidRPr="003037D2">
        <w:rPr>
          <w:rFonts w:ascii="Garamond" w:hAnsi="Garamond"/>
          <w:i/>
        </w:rPr>
        <w:t xml:space="preserve">metanoia </w:t>
      </w:r>
      <w:r w:rsidRPr="003037D2">
        <w:rPr>
          <w:rFonts w:ascii="Garamond" w:hAnsi="Garamond"/>
        </w:rPr>
        <w:t xml:space="preserve">and </w:t>
      </w:r>
      <w:r w:rsidRPr="003037D2">
        <w:rPr>
          <w:rFonts w:ascii="Garamond" w:hAnsi="Garamond"/>
          <w:i/>
        </w:rPr>
        <w:t xml:space="preserve">epistrophe </w:t>
      </w:r>
      <w:r w:rsidRPr="003037D2">
        <w:rPr>
          <w:rFonts w:ascii="Garamond" w:hAnsi="Garamond"/>
        </w:rPr>
        <w:t xml:space="preserve">evolved from penance and conversion prior to the Reformation to hold a conflicted position in Protestant thought. This plays out in Anne Lock and Mary Sidney Herbert’s translations of the Psalm 51, </w:t>
      </w:r>
      <w:r w:rsidRPr="003037D2">
        <w:rPr>
          <w:rFonts w:ascii="Garamond" w:hAnsi="Garamond"/>
          <w:i/>
        </w:rPr>
        <w:t xml:space="preserve">miserere </w:t>
      </w:r>
      <w:proofErr w:type="spellStart"/>
      <w:r w:rsidRPr="003037D2">
        <w:rPr>
          <w:rFonts w:ascii="Garamond" w:hAnsi="Garamond"/>
          <w:i/>
        </w:rPr>
        <w:t>mei</w:t>
      </w:r>
      <w:proofErr w:type="spellEnd"/>
      <w:r w:rsidRPr="003037D2">
        <w:rPr>
          <w:rFonts w:ascii="Garamond" w:hAnsi="Garamond"/>
          <w:i/>
        </w:rPr>
        <w:t xml:space="preserve"> </w:t>
      </w:r>
      <w:proofErr w:type="spellStart"/>
      <w:r w:rsidRPr="003037D2">
        <w:rPr>
          <w:rFonts w:ascii="Garamond" w:hAnsi="Garamond"/>
          <w:i/>
        </w:rPr>
        <w:t>deus</w:t>
      </w:r>
      <w:proofErr w:type="spellEnd"/>
      <w:r w:rsidRPr="003037D2">
        <w:rPr>
          <w:rFonts w:ascii="Garamond" w:hAnsi="Garamond"/>
          <w:i/>
        </w:rPr>
        <w:t xml:space="preserve"> </w:t>
      </w:r>
      <w:r w:rsidRPr="003037D2">
        <w:rPr>
          <w:rFonts w:ascii="Garamond" w:hAnsi="Garamond"/>
        </w:rPr>
        <w:t xml:space="preserve">and their use of the rhetorical figure of </w:t>
      </w:r>
      <w:r w:rsidRPr="003037D2">
        <w:rPr>
          <w:rFonts w:ascii="Garamond" w:hAnsi="Garamond"/>
          <w:i/>
        </w:rPr>
        <w:t xml:space="preserve">metanoia, </w:t>
      </w:r>
      <w:r w:rsidRPr="003037D2">
        <w:rPr>
          <w:rFonts w:ascii="Garamond" w:hAnsi="Garamond"/>
          <w:iCs/>
        </w:rPr>
        <w:t xml:space="preserve">or (as George </w:t>
      </w:r>
      <w:proofErr w:type="spellStart"/>
      <w:r w:rsidRPr="003037D2">
        <w:rPr>
          <w:rFonts w:ascii="Garamond" w:hAnsi="Garamond"/>
          <w:iCs/>
        </w:rPr>
        <w:t>Puttenham</w:t>
      </w:r>
      <w:proofErr w:type="spellEnd"/>
      <w:r w:rsidRPr="003037D2">
        <w:rPr>
          <w:rFonts w:ascii="Garamond" w:hAnsi="Garamond"/>
          <w:iCs/>
        </w:rPr>
        <w:t xml:space="preserve"> terms it) the penitent.</w:t>
      </w:r>
      <w:r w:rsidRPr="003037D2">
        <w:rPr>
          <w:rStyle w:val="FootnoteReference"/>
          <w:rFonts w:ascii="Garamond" w:hAnsi="Garamond"/>
          <w:iCs/>
        </w:rPr>
        <w:footnoteReference w:id="43"/>
      </w:r>
      <w:r w:rsidRPr="003037D2">
        <w:rPr>
          <w:rFonts w:ascii="Garamond" w:hAnsi="Garamond"/>
          <w:iCs/>
        </w:rPr>
        <w:t xml:space="preserve"> </w:t>
      </w:r>
    </w:p>
    <w:p w14:paraId="7E4D4A33" w14:textId="77777777" w:rsidR="00162224" w:rsidRPr="003037D2" w:rsidRDefault="00162224" w:rsidP="00162224">
      <w:pPr>
        <w:spacing w:line="360" w:lineRule="auto"/>
        <w:ind w:firstLine="720"/>
        <w:rPr>
          <w:rFonts w:ascii="Garamond" w:hAnsi="Garamond"/>
        </w:rPr>
      </w:pPr>
    </w:p>
    <w:p w14:paraId="762476EB" w14:textId="77777777" w:rsidR="00162224" w:rsidRPr="003037D2" w:rsidRDefault="00162224" w:rsidP="00162224">
      <w:pPr>
        <w:spacing w:line="360" w:lineRule="auto"/>
        <w:rPr>
          <w:rFonts w:ascii="Garamond" w:hAnsi="Garamond"/>
        </w:rPr>
      </w:pPr>
      <w:r w:rsidRPr="003037D2">
        <w:rPr>
          <w:rFonts w:ascii="Garamond" w:hAnsi="Garamond"/>
        </w:rPr>
        <w:tab/>
        <w:t xml:space="preserve">The third chapter, on George Herbert’s devotional poetry and prose, returns to some of the ideas regarding productive and resourceful uses of time discussed in the first chapter. I explore the temporality of reading itself, as modes of reading arguably create new modes of thought. In C.S. Lewis’ </w:t>
      </w:r>
      <w:r w:rsidRPr="003037D2">
        <w:rPr>
          <w:rFonts w:ascii="Garamond" w:hAnsi="Garamond"/>
          <w:i/>
        </w:rPr>
        <w:t xml:space="preserve">Allegory of Love, </w:t>
      </w:r>
      <w:r w:rsidRPr="003037D2">
        <w:rPr>
          <w:rFonts w:ascii="Garamond" w:hAnsi="Garamond"/>
        </w:rPr>
        <w:t xml:space="preserve">he draws a veil on a scene of St. Ambrose, as recounted by Augustine, who </w:t>
      </w:r>
      <w:proofErr w:type="spellStart"/>
      <w:r w:rsidRPr="003037D2">
        <w:rPr>
          <w:rFonts w:ascii="Garamond" w:hAnsi="Garamond"/>
        </w:rPr>
        <w:t>emphasises</w:t>
      </w:r>
      <w:proofErr w:type="spellEnd"/>
      <w:r w:rsidRPr="003037D2">
        <w:rPr>
          <w:rFonts w:ascii="Garamond" w:hAnsi="Garamond"/>
        </w:rPr>
        <w:t xml:space="preserve"> the (for Lewis) highly redolent fact that ‘Ambrose, when reading to himself read silently’. Lewis continues: </w:t>
      </w:r>
    </w:p>
    <w:p w14:paraId="6FF300E4" w14:textId="01CBE854" w:rsidR="00162224" w:rsidRDefault="00162224" w:rsidP="0056489A">
      <w:pPr>
        <w:ind w:left="737" w:right="737"/>
        <w:rPr>
          <w:rFonts w:ascii="Garamond" w:hAnsi="Garamond"/>
        </w:rPr>
      </w:pPr>
      <w:r w:rsidRPr="003037D2">
        <w:rPr>
          <w:rFonts w:ascii="Garamond" w:hAnsi="Garamond"/>
        </w:rPr>
        <w:t xml:space="preserve">You could see his eyes moving, but you could hear nothing. In such a passage one </w:t>
      </w:r>
      <w:r w:rsidR="007842D3" w:rsidRPr="003037D2">
        <w:rPr>
          <w:rFonts w:ascii="Garamond" w:hAnsi="Garamond"/>
        </w:rPr>
        <w:t>h</w:t>
      </w:r>
      <w:r w:rsidRPr="003037D2">
        <w:rPr>
          <w:rFonts w:ascii="Garamond" w:hAnsi="Garamond"/>
        </w:rPr>
        <w:t xml:space="preserve">as the solemn privilege of being present at the birth of a new world. Behind us is that almost unimaginable period, so relentlessly objective that in it even ‘reading’ (in our sense) did not exist. The book was still a </w:t>
      </w:r>
      <w:r w:rsidRPr="003037D2">
        <w:rPr>
          <w:rFonts w:ascii="Garamond" w:hAnsi="Garamond"/>
          <w:i/>
        </w:rPr>
        <w:t xml:space="preserve">logos, </w:t>
      </w:r>
      <w:r w:rsidRPr="003037D2">
        <w:rPr>
          <w:rFonts w:ascii="Garamond" w:hAnsi="Garamond"/>
        </w:rPr>
        <w:t xml:space="preserve">a speech; thinking was still </w:t>
      </w:r>
      <w:proofErr w:type="spellStart"/>
      <w:r w:rsidRPr="003037D2">
        <w:rPr>
          <w:rFonts w:ascii="Garamond" w:hAnsi="Garamond"/>
          <w:i/>
        </w:rPr>
        <w:t>dialégesthai</w:t>
      </w:r>
      <w:proofErr w:type="spellEnd"/>
      <w:r w:rsidRPr="003037D2">
        <w:rPr>
          <w:rFonts w:ascii="Garamond" w:hAnsi="Garamond"/>
          <w:i/>
        </w:rPr>
        <w:t xml:space="preserve">, </w:t>
      </w:r>
      <w:r w:rsidRPr="003037D2">
        <w:rPr>
          <w:rFonts w:ascii="Garamond" w:hAnsi="Garamond"/>
        </w:rPr>
        <w:t>talking. Before us is our own world, the world of the printed or written page, and of the solitary reader who is accustomed to pass hours in the silent society of mental images evoked by written characters. This is a new light… on that turning inward… It is the very moment of a transition more important, I would suggest, than any that is recorded in our works of ‘history’.</w:t>
      </w:r>
      <w:r w:rsidRPr="003037D2">
        <w:rPr>
          <w:rStyle w:val="FootnoteReference"/>
          <w:rFonts w:ascii="Garamond" w:hAnsi="Garamond"/>
        </w:rPr>
        <w:footnoteReference w:id="44"/>
      </w:r>
    </w:p>
    <w:p w14:paraId="069C8089" w14:textId="77777777" w:rsidR="0056489A" w:rsidRPr="003037D2" w:rsidRDefault="0056489A" w:rsidP="0056489A">
      <w:pPr>
        <w:ind w:left="737" w:right="737"/>
        <w:rPr>
          <w:rFonts w:ascii="Garamond" w:hAnsi="Garamond"/>
        </w:rPr>
      </w:pPr>
    </w:p>
    <w:p w14:paraId="58761DD8" w14:textId="77777777" w:rsidR="00162224" w:rsidRPr="003037D2" w:rsidRDefault="00162224" w:rsidP="00162224">
      <w:pPr>
        <w:spacing w:line="360" w:lineRule="auto"/>
        <w:rPr>
          <w:rFonts w:ascii="Garamond" w:hAnsi="Garamond"/>
        </w:rPr>
      </w:pPr>
      <w:r w:rsidRPr="003037D2">
        <w:rPr>
          <w:rFonts w:ascii="Garamond" w:hAnsi="Garamond"/>
        </w:rPr>
        <w:t xml:space="preserve">Whilst we can question the veracity of the scene Lewis describes, his drawing together of the physical object of the book ‘the printed or written page’ and the ‘turning inward’ of the ‘solitary reader’, has left a lasting impression on the study of literature and the book as object. Models of effective reading abound in the early modern period, and Herbert drew heavily upon the language of commonplacing to provide a model to readers of how to approach his ‘little book’. Drawing on archival evidence from his early readers, I argue that Herbert’s use of commonplacing techniques enables this audience to apply his guidance to their own lives. I </w:t>
      </w:r>
      <w:r w:rsidRPr="003037D2">
        <w:rPr>
          <w:rFonts w:ascii="Garamond" w:hAnsi="Garamond" w:cstheme="majorBidi"/>
        </w:rPr>
        <w:t xml:space="preserve">discuss how the </w:t>
      </w:r>
      <w:r w:rsidRPr="003037D2">
        <w:rPr>
          <w:rFonts w:ascii="Garamond" w:hAnsi="Garamond" w:cstheme="majorBidi"/>
        </w:rPr>
        <w:lastRenderedPageBreak/>
        <w:t>materiality of Herbert’s poetry, evident in his use of pattern poetry and textual devices, demonstrates his investment in an understanding of language as holding innate symbolic and allegorical meaning. Un</w:t>
      </w:r>
      <w:r w:rsidRPr="003037D2">
        <w:rPr>
          <w:rFonts w:ascii="Garamond" w:hAnsi="Garamond"/>
        </w:rPr>
        <w:t>derstanding language in symbolic terms constituted an attempt by Renaissance humanists to overleap the gap between perfected language prior to the fall of Babel and modern speech, motivated by the same concerns discussed in the preceding chapter.</w:t>
      </w:r>
    </w:p>
    <w:p w14:paraId="4663BA6A" w14:textId="77777777" w:rsidR="00162224" w:rsidRPr="003037D2" w:rsidRDefault="00162224" w:rsidP="00162224">
      <w:pPr>
        <w:spacing w:line="360" w:lineRule="auto"/>
        <w:rPr>
          <w:rFonts w:ascii="Garamond" w:hAnsi="Garamond"/>
        </w:rPr>
      </w:pPr>
    </w:p>
    <w:p w14:paraId="7AF35144" w14:textId="637A7138" w:rsidR="00162224" w:rsidRPr="003037D2" w:rsidRDefault="00162224" w:rsidP="00162224">
      <w:pPr>
        <w:spacing w:line="360" w:lineRule="auto"/>
        <w:rPr>
          <w:rFonts w:ascii="Garamond" w:hAnsi="Garamond"/>
        </w:rPr>
      </w:pPr>
      <w:r w:rsidRPr="003037D2">
        <w:rPr>
          <w:rFonts w:ascii="Garamond" w:hAnsi="Garamond"/>
        </w:rPr>
        <w:tab/>
        <w:t>The final chapter focuses on time as event: located in both time and space. More specifically, it examines how events are figured in early seventeenth-century sermons. Sermons are increasingly being studied as part of performance culture, and this reframing of them as such has prompted me to undertake an analysis of how sermons were advertised on their title pages, following similar work on drama by Zachary Lesser and Alan Farmer.</w:t>
      </w:r>
      <w:r w:rsidRPr="003037D2">
        <w:rPr>
          <w:rStyle w:val="FootnoteReference"/>
          <w:rFonts w:ascii="Garamond" w:hAnsi="Garamond"/>
        </w:rPr>
        <w:footnoteReference w:id="45"/>
      </w:r>
      <w:r w:rsidRPr="003037D2">
        <w:rPr>
          <w:rFonts w:ascii="Garamond" w:hAnsi="Garamond"/>
        </w:rPr>
        <w:t xml:space="preserve"> This work revealed that readers likely bought sermons because they effectively recorded a particular event. Preachers were aware that their sermons were transient, and that this occasionality was one of their selling points. The ephemeral nature of these performances meant that capturing the sermon in print was a conflicted issue. I build on work by Arnold Hunt, James Rigney and Mary Morrissey, who have all explored the apologias that preachers issued for publishing their sermons, and examined how the sermon texts made their way into print.</w:t>
      </w:r>
      <w:r w:rsidRPr="003037D2">
        <w:rPr>
          <w:rStyle w:val="FootnoteReference"/>
          <w:rFonts w:ascii="Garamond" w:hAnsi="Garamond"/>
        </w:rPr>
        <w:footnoteReference w:id="46"/>
      </w:r>
      <w:r w:rsidRPr="003037D2">
        <w:rPr>
          <w:rFonts w:ascii="Garamond" w:hAnsi="Garamond"/>
        </w:rPr>
        <w:t xml:space="preserve"> I offer close readings of sermons by Joseph Hall and John Donne, exploring Donne’s claim that ‘the most embracing word in all religion is Now’. I examine how for Donne the sermon text can seek to recapture a moment of performance that brought together a congregation in communion with a sense of the eternal divine, through the mediation of the preacher. Following from the discussion of the temporality of shape poems and reading in the preceding chapter on George Herbert, this chapter explores how temporality is intrinsically linked to space in both performative works and print practices. I draw on David Cram’s notion of ‘shelf-time’, which proposes that ‘now’ can be</w:t>
      </w:r>
      <w:r w:rsidR="007842D3" w:rsidRPr="003037D2">
        <w:rPr>
          <w:rFonts w:ascii="Garamond" w:hAnsi="Garamond"/>
        </w:rPr>
        <w:t xml:space="preserve"> a</w:t>
      </w:r>
      <w:r w:rsidRPr="003037D2">
        <w:rPr>
          <w:rFonts w:ascii="Garamond" w:hAnsi="Garamond"/>
        </w:rPr>
        <w:t xml:space="preserve"> lasting moment, rather than a single instant.</w:t>
      </w:r>
      <w:r w:rsidRPr="003037D2">
        <w:rPr>
          <w:rStyle w:val="FootnoteReference"/>
          <w:rFonts w:ascii="Garamond" w:hAnsi="Garamond"/>
        </w:rPr>
        <w:footnoteReference w:id="47"/>
      </w:r>
      <w:r w:rsidRPr="003037D2">
        <w:rPr>
          <w:rFonts w:ascii="Garamond" w:hAnsi="Garamond"/>
        </w:rPr>
        <w:t xml:space="preserve"> </w:t>
      </w:r>
    </w:p>
    <w:p w14:paraId="638198F5" w14:textId="77777777" w:rsidR="00162224" w:rsidRPr="003037D2" w:rsidRDefault="00162224" w:rsidP="00162224">
      <w:pPr>
        <w:spacing w:line="360" w:lineRule="auto"/>
        <w:rPr>
          <w:rFonts w:ascii="Garamond" w:hAnsi="Garamond"/>
        </w:rPr>
      </w:pPr>
    </w:p>
    <w:p w14:paraId="7DD5E78F" w14:textId="77777777" w:rsidR="00162224" w:rsidRPr="003037D2" w:rsidRDefault="00162224" w:rsidP="00162224">
      <w:pPr>
        <w:spacing w:line="360" w:lineRule="auto"/>
        <w:rPr>
          <w:rFonts w:ascii="Garamond" w:hAnsi="Garamond"/>
        </w:rPr>
        <w:sectPr w:rsidR="00162224" w:rsidRPr="003037D2" w:rsidSect="00162224">
          <w:footerReference w:type="default" r:id="rId11"/>
          <w:pgSz w:w="11906" w:h="16838"/>
          <w:pgMar w:top="1440" w:right="1440" w:bottom="1440" w:left="1440" w:header="709" w:footer="709" w:gutter="964"/>
          <w:pgNumType w:start="1"/>
          <w:cols w:space="708"/>
          <w:docGrid w:linePitch="360"/>
        </w:sectPr>
      </w:pPr>
      <w:r w:rsidRPr="003037D2">
        <w:rPr>
          <w:rFonts w:ascii="Garamond" w:hAnsi="Garamond"/>
        </w:rPr>
        <w:lastRenderedPageBreak/>
        <w:tab/>
      </w:r>
      <w:proofErr w:type="gramStart"/>
      <w:r w:rsidRPr="003037D2">
        <w:rPr>
          <w:rFonts w:ascii="Garamond" w:hAnsi="Garamond"/>
        </w:rPr>
        <w:t>As a whole, the</w:t>
      </w:r>
      <w:proofErr w:type="gramEnd"/>
      <w:r w:rsidRPr="003037D2">
        <w:rPr>
          <w:rFonts w:ascii="Garamond" w:hAnsi="Garamond"/>
        </w:rPr>
        <w:t xml:space="preserve"> thesis examines temporally-inflected theological and philosophical issues through a careful examination of the materiality of texts. However, this materiality should not </w:t>
      </w:r>
      <w:proofErr w:type="gramStart"/>
      <w:r w:rsidRPr="003037D2">
        <w:rPr>
          <w:rFonts w:ascii="Garamond" w:hAnsi="Garamond"/>
        </w:rPr>
        <w:t>be seen as</w:t>
      </w:r>
      <w:proofErr w:type="gramEnd"/>
      <w:r w:rsidRPr="003037D2">
        <w:rPr>
          <w:rFonts w:ascii="Garamond" w:hAnsi="Garamond"/>
        </w:rPr>
        <w:t xml:space="preserve"> settled. In </w:t>
      </w:r>
      <w:r w:rsidRPr="003037D2">
        <w:rPr>
          <w:rFonts w:ascii="Garamond" w:hAnsi="Garamond"/>
          <w:i/>
        </w:rPr>
        <w:t xml:space="preserve">De Anima, </w:t>
      </w:r>
      <w:r w:rsidRPr="003037D2">
        <w:rPr>
          <w:rFonts w:ascii="Garamond" w:hAnsi="Garamond"/>
        </w:rPr>
        <w:t>Aristotle argued that ‘form is actuality’ and ‘matter is potentiality’.</w:t>
      </w:r>
      <w:r w:rsidRPr="003037D2">
        <w:rPr>
          <w:rStyle w:val="FootnoteReference"/>
          <w:rFonts w:ascii="Garamond" w:hAnsi="Garamond"/>
        </w:rPr>
        <w:footnoteReference w:id="48"/>
      </w:r>
      <w:r w:rsidRPr="003037D2">
        <w:rPr>
          <w:rFonts w:ascii="Garamond" w:hAnsi="Garamond"/>
        </w:rPr>
        <w:t xml:space="preserve"> Potentiality stretches both forwards and backwards in time, and it is this active life of books and their readers that I seek to uncover. In doing so, I hope to have responded to Gil Harris’ updated version of Jameson’s ‘always </w:t>
      </w:r>
      <w:proofErr w:type="spellStart"/>
      <w:r w:rsidRPr="003037D2">
        <w:rPr>
          <w:rFonts w:ascii="Garamond" w:hAnsi="Garamond"/>
        </w:rPr>
        <w:t>historicise</w:t>
      </w:r>
      <w:proofErr w:type="spellEnd"/>
      <w:r w:rsidRPr="003037D2">
        <w:rPr>
          <w:rFonts w:ascii="Garamond" w:hAnsi="Garamond"/>
        </w:rPr>
        <w:t xml:space="preserve">’: the exhortation to ‘always </w:t>
      </w:r>
      <w:proofErr w:type="spellStart"/>
      <w:r w:rsidRPr="003037D2">
        <w:rPr>
          <w:rFonts w:ascii="Garamond" w:hAnsi="Garamond"/>
        </w:rPr>
        <w:t>polychronize</w:t>
      </w:r>
      <w:proofErr w:type="spellEnd"/>
      <w:r w:rsidRPr="003037D2">
        <w:rPr>
          <w:rFonts w:ascii="Garamond" w:hAnsi="Garamond"/>
        </w:rPr>
        <w:t>’.</w:t>
      </w:r>
      <w:r w:rsidRPr="003037D2">
        <w:rPr>
          <w:rStyle w:val="FootnoteReference"/>
          <w:rFonts w:ascii="Garamond" w:hAnsi="Garamond"/>
        </w:rPr>
        <w:footnoteReference w:id="49"/>
      </w:r>
      <w:r w:rsidRPr="003037D2">
        <w:rPr>
          <w:rFonts w:ascii="Garamond" w:hAnsi="Garamond"/>
        </w:rPr>
        <w:t xml:space="preserve"> This involves ‘</w:t>
      </w:r>
      <w:proofErr w:type="spellStart"/>
      <w:r w:rsidRPr="003037D2">
        <w:rPr>
          <w:rFonts w:ascii="Garamond" w:hAnsi="Garamond"/>
        </w:rPr>
        <w:t>theoriz</w:t>
      </w:r>
      <w:proofErr w:type="spellEnd"/>
      <w:r w:rsidRPr="003037D2">
        <w:rPr>
          <w:rFonts w:ascii="Garamond" w:hAnsi="Garamond"/>
        </w:rPr>
        <w:t>[</w:t>
      </w:r>
      <w:proofErr w:type="spellStart"/>
      <w:r w:rsidRPr="003037D2">
        <w:rPr>
          <w:rFonts w:ascii="Garamond" w:hAnsi="Garamond"/>
        </w:rPr>
        <w:t>ing</w:t>
      </w:r>
      <w:proofErr w:type="spellEnd"/>
      <w:r w:rsidRPr="003037D2">
        <w:rPr>
          <w:rFonts w:ascii="Garamond" w:hAnsi="Garamond"/>
        </w:rPr>
        <w:t xml:space="preserve">] matter’s </w:t>
      </w:r>
      <w:proofErr w:type="spellStart"/>
      <w:r w:rsidRPr="003037D2">
        <w:rPr>
          <w:rFonts w:ascii="Garamond" w:hAnsi="Garamond"/>
        </w:rPr>
        <w:t>multitemporality</w:t>
      </w:r>
      <w:proofErr w:type="spellEnd"/>
      <w:r w:rsidRPr="003037D2">
        <w:rPr>
          <w:rFonts w:ascii="Garamond" w:hAnsi="Garamond"/>
        </w:rPr>
        <w:t>: that is, the ways in which we physically and imaginatively rework matter to produce diverse organizations of time’.</w:t>
      </w:r>
      <w:r w:rsidRPr="003037D2">
        <w:rPr>
          <w:rStyle w:val="FootnoteReference"/>
          <w:rFonts w:ascii="Garamond" w:hAnsi="Garamond"/>
        </w:rPr>
        <w:footnoteReference w:id="50"/>
      </w:r>
      <w:r w:rsidRPr="003037D2">
        <w:rPr>
          <w:rFonts w:ascii="Garamond" w:hAnsi="Garamond"/>
        </w:rPr>
        <w:t xml:space="preserve"> This thesis provides both a theory of this reworking, and, I hope, material (in both senses of the word) evidence of how this reworking took place. In doing so, I begin to answer David Scott </w:t>
      </w:r>
      <w:proofErr w:type="spellStart"/>
      <w:r w:rsidRPr="003037D2">
        <w:rPr>
          <w:rFonts w:ascii="Garamond" w:hAnsi="Garamond"/>
        </w:rPr>
        <w:t>Kastan’s</w:t>
      </w:r>
      <w:proofErr w:type="spellEnd"/>
      <w:r w:rsidRPr="003037D2">
        <w:rPr>
          <w:rFonts w:ascii="Garamond" w:hAnsi="Garamond"/>
        </w:rPr>
        <w:t xml:space="preserve"> challenge, made twenty years ago, that ‘we must begin to respond to [the] significant challenges [of theory], not by producing more theory but more facts… that will reveal the specific historical conditions that have determined the reading and writing of literature’.</w:t>
      </w:r>
      <w:r w:rsidRPr="003037D2">
        <w:rPr>
          <w:rStyle w:val="FootnoteReference"/>
          <w:rFonts w:ascii="Garamond" w:hAnsi="Garamond"/>
        </w:rPr>
        <w:footnoteReference w:id="51"/>
      </w:r>
      <w:r w:rsidRPr="003037D2">
        <w:rPr>
          <w:rFonts w:ascii="Garamond" w:hAnsi="Garamond"/>
        </w:rPr>
        <w:t xml:space="preserve"> Whilst revealing such ‘specific historical conditions’ may be the unachievable goal of a historicist, attending carefully to how these material conditions have shaped the response of readers across time at least offers us the reassuring sense of a moment of contact with the past. </w:t>
      </w:r>
    </w:p>
    <w:p w14:paraId="1221631F" w14:textId="77777777" w:rsidR="00162224" w:rsidRPr="003037D2" w:rsidRDefault="00162224" w:rsidP="00162224">
      <w:pPr>
        <w:keepNext/>
        <w:keepLines/>
        <w:spacing w:before="240" w:line="360" w:lineRule="auto"/>
        <w:outlineLvl w:val="0"/>
        <w:rPr>
          <w:rFonts w:ascii="Garamond" w:eastAsia="DengXian Light" w:hAnsi="Garamond" w:cs="Times New Roman"/>
          <w:b/>
          <w:bCs/>
          <w:color w:val="4472C4" w:themeColor="accent1"/>
          <w:sz w:val="28"/>
          <w:szCs w:val="28"/>
        </w:rPr>
      </w:pPr>
      <w:bookmarkStart w:id="7" w:name="_Toc3967161"/>
      <w:r w:rsidRPr="003037D2">
        <w:rPr>
          <w:rFonts w:ascii="Garamond" w:eastAsia="DengXian Light" w:hAnsi="Garamond" w:cs="Times New Roman"/>
          <w:b/>
          <w:bCs/>
          <w:color w:val="4472C4" w:themeColor="accent1"/>
          <w:sz w:val="28"/>
          <w:szCs w:val="28"/>
        </w:rPr>
        <w:lastRenderedPageBreak/>
        <w:t>CHAPTER I. ALMANACS AND ANNOTATION</w:t>
      </w:r>
      <w:bookmarkEnd w:id="7"/>
      <w:r w:rsidRPr="003037D2">
        <w:rPr>
          <w:rFonts w:ascii="Garamond" w:eastAsia="DengXian Light" w:hAnsi="Garamond" w:cs="Times New Roman"/>
          <w:b/>
          <w:bCs/>
          <w:color w:val="4472C4" w:themeColor="accent1"/>
          <w:sz w:val="28"/>
          <w:szCs w:val="28"/>
        </w:rPr>
        <w:t xml:space="preserve"> </w:t>
      </w:r>
    </w:p>
    <w:p w14:paraId="25E44DA4" w14:textId="77777777" w:rsidR="00162224" w:rsidRPr="003037D2" w:rsidRDefault="00E04035" w:rsidP="00162224">
      <w:pPr>
        <w:spacing w:line="360" w:lineRule="auto"/>
        <w:rPr>
          <w:rFonts w:ascii="Garamond" w:eastAsia="Calibri" w:hAnsi="Garamond" w:cs="Arial"/>
        </w:rPr>
      </w:pPr>
      <w:r>
        <w:rPr>
          <w:rFonts w:ascii="Garamond" w:eastAsia="Calibri" w:hAnsi="Garamond" w:cs="Arial"/>
        </w:rPr>
        <w:pict w14:anchorId="3FF3D069">
          <v:rect id="_x0000_i1026" style="width:0;height:1.5pt" o:hralign="center" o:hrstd="t" o:hr="t" fillcolor="#a0a0a0" stroked="f"/>
        </w:pict>
      </w:r>
    </w:p>
    <w:p w14:paraId="42835AF4" w14:textId="77777777" w:rsidR="00162224" w:rsidRPr="003037D2" w:rsidRDefault="00162224" w:rsidP="00162224">
      <w:pPr>
        <w:spacing w:line="360" w:lineRule="auto"/>
        <w:ind w:firstLine="720"/>
        <w:rPr>
          <w:rFonts w:ascii="Garamond" w:eastAsia="Calibri" w:hAnsi="Garamond" w:cs="Arial"/>
        </w:rPr>
      </w:pPr>
    </w:p>
    <w:p w14:paraId="44451C54" w14:textId="58AF1428"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t>In E.P. Thompson’s seminal essay ‘Time, Work-discipline, and Industrial Capitalism’, he argues that it is hard to separate the ‘spread of clocks from the fourteenth century onwards’ from the ‘new Puritan discipline and bourgeoisie exactitude’.</w:t>
      </w:r>
      <w:r w:rsidRPr="003037D2">
        <w:rPr>
          <w:rFonts w:ascii="Garamond" w:eastAsia="Calibri" w:hAnsi="Garamond" w:cs="Arial"/>
          <w:vertAlign w:val="superscript"/>
        </w:rPr>
        <w:footnoteReference w:id="52"/>
      </w:r>
      <w:r w:rsidRPr="003037D2">
        <w:rPr>
          <w:rFonts w:ascii="Garamond" w:eastAsia="Calibri" w:hAnsi="Garamond" w:cs="Arial"/>
        </w:rPr>
        <w:t xml:space="preserve"> Thompson claims that with the advent of the watch, time moved from the heavens into the home. Through a wide range of examples, Thompson argues that peasant and gathering societies are ‘task-oriented’, using measures of time relating to a task.</w:t>
      </w:r>
      <w:r w:rsidRPr="003037D2">
        <w:rPr>
          <w:rFonts w:ascii="Garamond" w:eastAsia="Calibri" w:hAnsi="Garamond" w:cs="Arial"/>
          <w:vertAlign w:val="superscript"/>
        </w:rPr>
        <w:footnoteReference w:id="53"/>
      </w:r>
      <w:r w:rsidRPr="003037D2">
        <w:rPr>
          <w:rFonts w:ascii="Garamond" w:eastAsia="Calibri" w:hAnsi="Garamond" w:cs="Arial"/>
        </w:rPr>
        <w:t xml:space="preserve"> These means of measuring time </w:t>
      </w:r>
      <w:r w:rsidR="00094FAC" w:rsidRPr="003037D2">
        <w:rPr>
          <w:rFonts w:ascii="Garamond" w:eastAsia="Calibri" w:hAnsi="Garamond" w:cs="Arial"/>
        </w:rPr>
        <w:t>are</w:t>
      </w:r>
      <w:r w:rsidRPr="003037D2">
        <w:rPr>
          <w:rFonts w:ascii="Garamond" w:eastAsia="Calibri" w:hAnsi="Garamond" w:cs="Arial"/>
        </w:rPr>
        <w:t xml:space="preserve"> more ‘humanly comprehensible’, allowing workers to focus on ‘what is an observed necessity’. He argues that these communities have the ‘least demarcation between </w:t>
      </w:r>
      <w:r w:rsidR="00161762">
        <w:rPr>
          <w:rFonts w:ascii="Garamond" w:eastAsia="Calibri" w:hAnsi="Garamond" w:cs="Arial"/>
        </w:rPr>
        <w:t>“</w:t>
      </w:r>
      <w:r w:rsidRPr="003037D2">
        <w:rPr>
          <w:rFonts w:ascii="Garamond" w:eastAsia="Calibri" w:hAnsi="Garamond" w:cs="Arial"/>
        </w:rPr>
        <w:t>work</w:t>
      </w:r>
      <w:r w:rsidR="00161762">
        <w:rPr>
          <w:rFonts w:ascii="Garamond" w:eastAsia="Calibri" w:hAnsi="Garamond" w:cs="Arial"/>
        </w:rPr>
        <w:t>”</w:t>
      </w:r>
      <w:r w:rsidRPr="003037D2">
        <w:rPr>
          <w:rFonts w:ascii="Garamond" w:eastAsia="Calibri" w:hAnsi="Garamond" w:cs="Arial"/>
        </w:rPr>
        <w:t xml:space="preserve"> and </w:t>
      </w:r>
      <w:r w:rsidR="00161762">
        <w:rPr>
          <w:rFonts w:ascii="Garamond" w:eastAsia="Calibri" w:hAnsi="Garamond" w:cs="Arial"/>
        </w:rPr>
        <w:t>“</w:t>
      </w:r>
      <w:r w:rsidRPr="003037D2">
        <w:rPr>
          <w:rFonts w:ascii="Garamond" w:eastAsia="Calibri" w:hAnsi="Garamond" w:cs="Arial"/>
        </w:rPr>
        <w:t>life</w:t>
      </w:r>
      <w:r w:rsidR="00161762">
        <w:rPr>
          <w:rFonts w:ascii="Garamond" w:eastAsia="Calibri" w:hAnsi="Garamond" w:cs="Arial"/>
        </w:rPr>
        <w:t>”</w:t>
      </w:r>
      <w:r w:rsidRPr="003037D2">
        <w:rPr>
          <w:rFonts w:ascii="Garamond" w:eastAsia="Calibri" w:hAnsi="Garamond" w:cs="Arial"/>
        </w:rPr>
        <w:t>’, as social exchanges and work are intermingled, with the working-day expanding according to the need of the task.</w:t>
      </w:r>
      <w:r w:rsidRPr="003037D2">
        <w:rPr>
          <w:rFonts w:ascii="Garamond" w:eastAsia="Calibri" w:hAnsi="Garamond" w:cs="Arial"/>
          <w:vertAlign w:val="superscript"/>
        </w:rPr>
        <w:footnoteReference w:id="54"/>
      </w:r>
      <w:r w:rsidRPr="003037D2">
        <w:rPr>
          <w:rFonts w:ascii="Garamond" w:eastAsia="Calibri" w:hAnsi="Garamond" w:cs="Arial"/>
        </w:rPr>
        <w:t xml:space="preserve"> As Thompson points out, to today’s clock-watching society, this attitude to work seems wasteful, unregulated and undisciplined. In the seventeenth century, with changes to landownership came changes to understanding of time, as even on a small farm, ‘time is beginning to become money, the employer’s money’.</w:t>
      </w:r>
      <w:r w:rsidRPr="003037D2">
        <w:rPr>
          <w:rFonts w:ascii="Garamond" w:eastAsia="Calibri" w:hAnsi="Garamond" w:cs="Arial"/>
          <w:vertAlign w:val="superscript"/>
        </w:rPr>
        <w:footnoteReference w:id="55"/>
      </w:r>
      <w:r w:rsidRPr="003037D2">
        <w:rPr>
          <w:rFonts w:ascii="Garamond" w:eastAsia="Calibri" w:hAnsi="Garamond" w:cs="Arial"/>
        </w:rPr>
        <w:t xml:space="preserve"> Whilst Thompson’s argument lacks a good deal of nuance and makes some troubling assumptions about cultures he terms ‘primitive’</w:t>
      </w:r>
      <w:r w:rsidR="00531ACA" w:rsidRPr="003037D2">
        <w:rPr>
          <w:rFonts w:ascii="Garamond" w:eastAsia="Calibri" w:hAnsi="Garamond" w:cs="Arial"/>
        </w:rPr>
        <w:t>,</w:t>
      </w:r>
      <w:r w:rsidRPr="003037D2">
        <w:rPr>
          <w:rFonts w:ascii="Garamond" w:eastAsia="Calibri" w:hAnsi="Garamond" w:cs="Arial"/>
        </w:rPr>
        <w:t xml:space="preserve"> his general argument has been developed by other historians, who have similarly tracked a move from communal, sacred time, to private, secular, </w:t>
      </w:r>
      <w:proofErr w:type="spellStart"/>
      <w:r w:rsidRPr="003037D2">
        <w:rPr>
          <w:rFonts w:ascii="Garamond" w:eastAsia="Calibri" w:hAnsi="Garamond" w:cs="Arial"/>
        </w:rPr>
        <w:t>monetised</w:t>
      </w:r>
      <w:proofErr w:type="spellEnd"/>
      <w:r w:rsidRPr="003037D2">
        <w:rPr>
          <w:rFonts w:ascii="Garamond" w:eastAsia="Calibri" w:hAnsi="Garamond" w:cs="Arial"/>
        </w:rPr>
        <w:t xml:space="preserve"> time. </w:t>
      </w:r>
    </w:p>
    <w:p w14:paraId="2A5CAC9E" w14:textId="77777777" w:rsidR="00162224" w:rsidRPr="003037D2" w:rsidRDefault="00162224" w:rsidP="00162224">
      <w:pPr>
        <w:spacing w:line="360" w:lineRule="auto"/>
        <w:ind w:firstLine="720"/>
        <w:rPr>
          <w:rFonts w:ascii="Garamond" w:eastAsia="Calibri" w:hAnsi="Garamond" w:cs="Arial"/>
        </w:rPr>
      </w:pPr>
    </w:p>
    <w:p w14:paraId="4056E4AB" w14:textId="471E132F"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t xml:space="preserve">Almanacs provide an almost too exact example of commodified time: representations of the year that could be bought and sold for 2 pence and were owned by people from all walks of life, from the merchant to the </w:t>
      </w:r>
      <w:proofErr w:type="spellStart"/>
      <w:r w:rsidRPr="003037D2">
        <w:rPr>
          <w:rFonts w:ascii="Garamond" w:eastAsia="Calibri" w:hAnsi="Garamond" w:cs="Arial"/>
        </w:rPr>
        <w:t>labourer</w:t>
      </w:r>
      <w:proofErr w:type="spellEnd"/>
      <w:r w:rsidRPr="003037D2">
        <w:rPr>
          <w:rFonts w:ascii="Garamond" w:eastAsia="Calibri" w:hAnsi="Garamond" w:cs="Arial"/>
        </w:rPr>
        <w:t>.</w:t>
      </w:r>
      <w:r w:rsidRPr="003037D2">
        <w:rPr>
          <w:rFonts w:ascii="Garamond" w:eastAsia="Calibri" w:hAnsi="Garamond" w:cs="Arial"/>
          <w:vertAlign w:val="superscript"/>
        </w:rPr>
        <w:footnoteReference w:id="56"/>
      </w:r>
      <w:r w:rsidRPr="003037D2">
        <w:rPr>
          <w:rFonts w:ascii="Garamond" w:eastAsia="Calibri" w:hAnsi="Garamond" w:cs="Arial"/>
        </w:rPr>
        <w:t xml:space="preserve"> Almanacs were the most popular textual form in the seventeenth century, with one in three families customarily buying one each year by 1660.</w:t>
      </w:r>
      <w:r w:rsidRPr="003037D2">
        <w:rPr>
          <w:rFonts w:ascii="Garamond" w:eastAsia="Calibri" w:hAnsi="Garamond" w:cs="Arial"/>
          <w:vertAlign w:val="superscript"/>
        </w:rPr>
        <w:footnoteReference w:id="57"/>
      </w:r>
      <w:r w:rsidRPr="003037D2">
        <w:rPr>
          <w:rFonts w:ascii="Garamond" w:eastAsia="Calibri" w:hAnsi="Garamond" w:cs="Arial"/>
        </w:rPr>
        <w:t xml:space="preserve"> They brought together a wealth of different </w:t>
      </w:r>
      <w:r w:rsidRPr="003037D2">
        <w:rPr>
          <w:rFonts w:ascii="Garamond" w:eastAsia="Calibri" w:hAnsi="Garamond" w:cs="Arial"/>
        </w:rPr>
        <w:lastRenderedPageBreak/>
        <w:t>types of practical information: from zodiacal men showing which stars ruled over which organs, to lists of tide times and local fairs, alongside calendars for the year ahead and chronologies detailing events t</w:t>
      </w:r>
      <w:r w:rsidR="002F1250">
        <w:rPr>
          <w:rFonts w:ascii="Garamond" w:eastAsia="Calibri" w:hAnsi="Garamond" w:cs="Arial"/>
        </w:rPr>
        <w:t xml:space="preserve">hat had passed. They also used </w:t>
      </w:r>
      <w:r w:rsidRPr="003037D2">
        <w:rPr>
          <w:rFonts w:ascii="Garamond" w:eastAsia="Calibri" w:hAnsi="Garamond" w:cs="Arial"/>
        </w:rPr>
        <w:t>astrological information to make predictions for the year ahead, be that on farming matters or politics. However, this did not mean that almanacs were divorced from religious matters. Even listing dates, and deciding which days to indicate as holy, was a charged issue at the time.</w:t>
      </w:r>
      <w:r w:rsidRPr="003037D2">
        <w:rPr>
          <w:rFonts w:ascii="Garamond" w:eastAsia="Calibri" w:hAnsi="Garamond" w:cs="Arial"/>
          <w:vertAlign w:val="superscript"/>
        </w:rPr>
        <w:footnoteReference w:id="58"/>
      </w:r>
      <w:r w:rsidRPr="003037D2">
        <w:rPr>
          <w:rFonts w:ascii="Garamond" w:eastAsia="Calibri" w:hAnsi="Garamond" w:cs="Arial"/>
        </w:rPr>
        <w:t xml:space="preserve"> In William Harrison’s ‘Account of Time and her Parts’ he lamented the disordered nature of the British calendar, with the calendar starting in March and New Year falling in January, as ‘with us Christ is borne before he be conceived’, which ‘</w:t>
      </w:r>
      <w:proofErr w:type="spellStart"/>
      <w:r w:rsidRPr="003037D2">
        <w:rPr>
          <w:rFonts w:ascii="Garamond" w:eastAsia="Calibri" w:hAnsi="Garamond" w:cs="Arial"/>
        </w:rPr>
        <w:t>breedeth</w:t>
      </w:r>
      <w:proofErr w:type="spellEnd"/>
      <w:r w:rsidRPr="003037D2">
        <w:rPr>
          <w:rFonts w:ascii="Garamond" w:eastAsia="Calibri" w:hAnsi="Garamond" w:cs="Arial"/>
        </w:rPr>
        <w:t xml:space="preserve"> great confusion’.</w:t>
      </w:r>
      <w:r w:rsidRPr="003037D2">
        <w:rPr>
          <w:rFonts w:ascii="Garamond" w:eastAsia="Calibri" w:hAnsi="Garamond" w:cs="Arial"/>
          <w:vertAlign w:val="superscript"/>
        </w:rPr>
        <w:footnoteReference w:id="59"/>
      </w:r>
      <w:r w:rsidRPr="003037D2">
        <w:rPr>
          <w:rFonts w:ascii="Garamond" w:eastAsia="Calibri" w:hAnsi="Garamond" w:cs="Arial"/>
        </w:rPr>
        <w:t xml:space="preserve"> Alison Chapman argues that any early modern calendar had an ‘inherently controversial nature’, due to its ‘tacit function as a conduct book’, instructing people how to behave and worship.</w:t>
      </w:r>
      <w:r w:rsidRPr="003037D2">
        <w:rPr>
          <w:rFonts w:ascii="Garamond" w:eastAsia="Calibri" w:hAnsi="Garamond" w:cs="Arial"/>
          <w:vertAlign w:val="superscript"/>
        </w:rPr>
        <w:footnoteReference w:id="60"/>
      </w:r>
      <w:r w:rsidRPr="003037D2">
        <w:rPr>
          <w:rFonts w:ascii="Garamond" w:eastAsia="Calibri" w:hAnsi="Garamond" w:cs="Arial"/>
        </w:rPr>
        <w:t xml:space="preserve"> Post-Reformation, many holy days and saints days had been stripped from the official church calendar, yet memories of them remained and so did debates over their validity.</w:t>
      </w:r>
      <w:r w:rsidRPr="003037D2">
        <w:rPr>
          <w:rFonts w:ascii="Garamond" w:eastAsia="Calibri" w:hAnsi="Garamond" w:cs="Arial"/>
          <w:vertAlign w:val="superscript"/>
        </w:rPr>
        <w:footnoteReference w:id="61"/>
      </w:r>
      <w:r w:rsidRPr="003037D2">
        <w:rPr>
          <w:rFonts w:ascii="Garamond" w:eastAsia="Calibri" w:hAnsi="Garamond" w:cs="Arial"/>
        </w:rPr>
        <w:t xml:space="preserve"> As such, this seemingly secular object proves that no such division between liturgical and lay time can be made. </w:t>
      </w:r>
    </w:p>
    <w:p w14:paraId="608F4198" w14:textId="77777777" w:rsidR="00162224" w:rsidRPr="003037D2" w:rsidRDefault="00162224" w:rsidP="00162224">
      <w:pPr>
        <w:spacing w:line="360" w:lineRule="auto"/>
        <w:ind w:firstLine="720"/>
        <w:rPr>
          <w:rFonts w:ascii="Garamond" w:eastAsia="Calibri" w:hAnsi="Garamond" w:cs="Arial"/>
        </w:rPr>
      </w:pPr>
    </w:p>
    <w:p w14:paraId="72D45D60" w14:textId="77777777"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bCs/>
        </w:rPr>
        <w:t>Critics argue that with the onset of a proto-capitalist understanding of time came rigidity around how it could be depicted. Alexander Wood and Christopher Nagel state that ‘</w:t>
      </w:r>
      <w:r w:rsidRPr="003037D2">
        <w:rPr>
          <w:rFonts w:ascii="Garamond" w:eastAsia="Calibri" w:hAnsi="Garamond" w:cs="Arial"/>
        </w:rPr>
        <w:t>chronological time, flowing steadily from before to after, is an effect of its figurations: annals, chronicles, calendars, clocks’.</w:t>
      </w:r>
      <w:r w:rsidRPr="003037D2">
        <w:rPr>
          <w:rFonts w:ascii="Garamond" w:eastAsia="Calibri" w:hAnsi="Garamond" w:cs="Arial"/>
          <w:vertAlign w:val="superscript"/>
        </w:rPr>
        <w:footnoteReference w:id="62"/>
      </w:r>
      <w:r w:rsidRPr="003037D2">
        <w:rPr>
          <w:rFonts w:ascii="Garamond" w:eastAsia="Calibri" w:hAnsi="Garamond" w:cs="Arial"/>
        </w:rPr>
        <w:t xml:space="preserve"> This ordered, divisible view of time is often connected to notions of productivity: time that must be used wisely and efficiently. This could have both secular and sacred applications. Seventeenth-century Christians were encouraged to keep confessional diaries, to examine their conscience and their daily </w:t>
      </w:r>
      <w:proofErr w:type="spellStart"/>
      <w:r w:rsidRPr="003037D2">
        <w:rPr>
          <w:rFonts w:ascii="Garamond" w:eastAsia="Calibri" w:hAnsi="Garamond" w:cs="Arial"/>
        </w:rPr>
        <w:t>behaviour</w:t>
      </w:r>
      <w:proofErr w:type="spellEnd"/>
      <w:r w:rsidRPr="003037D2">
        <w:rPr>
          <w:rFonts w:ascii="Garamond" w:eastAsia="Calibri" w:hAnsi="Garamond" w:cs="Arial"/>
        </w:rPr>
        <w:t>.</w:t>
      </w:r>
      <w:r w:rsidRPr="003037D2">
        <w:rPr>
          <w:rFonts w:ascii="Garamond" w:eastAsia="Calibri" w:hAnsi="Garamond" w:cs="Arial"/>
          <w:vertAlign w:val="superscript"/>
        </w:rPr>
        <w:footnoteReference w:id="63"/>
      </w:r>
      <w:r w:rsidRPr="003037D2">
        <w:rPr>
          <w:rFonts w:ascii="Garamond" w:eastAsia="Calibri" w:hAnsi="Garamond" w:cs="Arial"/>
        </w:rPr>
        <w:t xml:space="preserve"> Lucy Hastings’ memorandum book, now in the Huntington Library, provides one such example.</w:t>
      </w:r>
      <w:r w:rsidRPr="003037D2">
        <w:rPr>
          <w:rFonts w:ascii="Garamond" w:eastAsia="Calibri" w:hAnsi="Garamond" w:cs="Arial"/>
          <w:vertAlign w:val="superscript"/>
        </w:rPr>
        <w:footnoteReference w:id="64"/>
      </w:r>
      <w:r w:rsidRPr="003037D2">
        <w:rPr>
          <w:rFonts w:ascii="Garamond" w:eastAsia="Calibri" w:hAnsi="Garamond" w:cs="Arial"/>
        </w:rPr>
        <w:t xml:space="preserve"> Passages from the Bible are noted down on a daily basis, with a series of reflections added in as Hasting’s </w:t>
      </w:r>
      <w:proofErr w:type="spellStart"/>
      <w:r w:rsidRPr="003037D2">
        <w:rPr>
          <w:rFonts w:ascii="Garamond" w:eastAsia="Calibri" w:hAnsi="Garamond" w:cs="Arial"/>
        </w:rPr>
        <w:t>scrutinises</w:t>
      </w:r>
      <w:proofErr w:type="spellEnd"/>
      <w:r w:rsidRPr="003037D2">
        <w:rPr>
          <w:rFonts w:ascii="Garamond" w:eastAsia="Calibri" w:hAnsi="Garamond" w:cs="Arial"/>
        </w:rPr>
        <w:t xml:space="preserve"> her own conscience.</w:t>
      </w:r>
      <w:r w:rsidRPr="003037D2">
        <w:rPr>
          <w:rFonts w:ascii="Garamond" w:eastAsia="Calibri" w:hAnsi="Garamond" w:cs="Arial"/>
          <w:vertAlign w:val="superscript"/>
        </w:rPr>
        <w:footnoteReference w:id="65"/>
      </w:r>
      <w:r w:rsidRPr="003037D2">
        <w:rPr>
          <w:rFonts w:ascii="Garamond" w:eastAsia="Calibri" w:hAnsi="Garamond" w:cs="Arial"/>
        </w:rPr>
        <w:t xml:space="preserve">  For example, in her reflections upon the last part of </w:t>
      </w:r>
      <w:proofErr w:type="spellStart"/>
      <w:r w:rsidRPr="003037D2">
        <w:rPr>
          <w:rFonts w:ascii="Garamond" w:eastAsia="Calibri" w:hAnsi="Garamond" w:cs="Arial"/>
        </w:rPr>
        <w:t>Hossea</w:t>
      </w:r>
      <w:proofErr w:type="spellEnd"/>
      <w:r w:rsidRPr="003037D2">
        <w:rPr>
          <w:rFonts w:ascii="Garamond" w:eastAsia="Calibri" w:hAnsi="Garamond" w:cs="Arial"/>
        </w:rPr>
        <w:t xml:space="preserve"> 2.7 ‘for then </w:t>
      </w:r>
      <w:r w:rsidRPr="003037D2">
        <w:rPr>
          <w:rFonts w:ascii="Garamond" w:eastAsia="Calibri" w:hAnsi="Garamond" w:cs="Arial"/>
        </w:rPr>
        <w:lastRenderedPageBreak/>
        <w:t xml:space="preserve">was it better with me than now’, she notes the need for ‘patience, constancy against this sadness’ and that ‘it beget </w:t>
      </w:r>
      <w:proofErr w:type="spellStart"/>
      <w:r w:rsidRPr="003037D2">
        <w:rPr>
          <w:rFonts w:ascii="Garamond" w:eastAsia="Calibri" w:hAnsi="Garamond" w:cs="Arial"/>
        </w:rPr>
        <w:t>vigilency</w:t>
      </w:r>
      <w:proofErr w:type="spellEnd"/>
      <w:r w:rsidRPr="003037D2">
        <w:rPr>
          <w:rFonts w:ascii="Garamond" w:eastAsia="Calibri" w:hAnsi="Garamond" w:cs="Arial"/>
        </w:rPr>
        <w:t xml:space="preserve"> to eschew the least sin’.</w:t>
      </w:r>
      <w:r w:rsidRPr="003037D2">
        <w:rPr>
          <w:rFonts w:ascii="Garamond" w:eastAsia="Calibri" w:hAnsi="Garamond" w:cs="Arial"/>
          <w:vertAlign w:val="superscript"/>
        </w:rPr>
        <w:footnoteReference w:id="66"/>
      </w:r>
      <w:r w:rsidRPr="003037D2">
        <w:rPr>
          <w:rFonts w:ascii="Garamond" w:eastAsia="Calibri" w:hAnsi="Garamond" w:cs="Arial"/>
        </w:rPr>
        <w:t xml:space="preserve"> This process of self-accounting, dictated by religious texts, can also be seen in the almanacs, as I discuss later. </w:t>
      </w:r>
    </w:p>
    <w:p w14:paraId="580F2110" w14:textId="77777777" w:rsidR="00162224" w:rsidRPr="003037D2" w:rsidRDefault="00162224" w:rsidP="00162224">
      <w:pPr>
        <w:spacing w:line="360" w:lineRule="auto"/>
        <w:ind w:firstLine="720"/>
        <w:rPr>
          <w:rFonts w:ascii="Garamond" w:eastAsia="Calibri" w:hAnsi="Garamond" w:cs="Arial"/>
        </w:rPr>
      </w:pPr>
    </w:p>
    <w:p w14:paraId="57743FF2" w14:textId="77777777" w:rsidR="00162224" w:rsidRPr="003037D2" w:rsidRDefault="00162224" w:rsidP="00162224">
      <w:pPr>
        <w:spacing w:line="360" w:lineRule="auto"/>
        <w:ind w:firstLine="697"/>
        <w:rPr>
          <w:rFonts w:ascii="Garamond" w:eastAsia="Calibri" w:hAnsi="Garamond" w:cs="Arial"/>
        </w:rPr>
      </w:pPr>
      <w:r w:rsidRPr="003037D2">
        <w:rPr>
          <w:rFonts w:ascii="Garamond" w:eastAsia="Calibri" w:hAnsi="Garamond" w:cs="Arial"/>
        </w:rPr>
        <w:t xml:space="preserve">In this chapter, I draw on recent archival research, investigating the untapped resource of the holdings of annotated almanacs in the Huntington Library. Whilst in many ways the printed form of almanacs plays a part in the work of homogenizing time, in this chapter I seek to add nuance to this argument. Examining the archival evidence of the annotated almanacs reveals that a more </w:t>
      </w:r>
      <w:proofErr w:type="spellStart"/>
      <w:r w:rsidRPr="003037D2">
        <w:rPr>
          <w:rFonts w:ascii="Garamond" w:eastAsia="Calibri" w:hAnsi="Garamond" w:cs="Arial"/>
        </w:rPr>
        <w:t>personalised</w:t>
      </w:r>
      <w:proofErr w:type="spellEnd"/>
      <w:r w:rsidRPr="003037D2">
        <w:rPr>
          <w:rFonts w:ascii="Garamond" w:eastAsia="Calibri" w:hAnsi="Garamond" w:cs="Arial"/>
        </w:rPr>
        <w:t>, flexible view of time was possible. I suggest that in many ways it was encouraged by the ‘blank’ form of the almanac, which invited, indeed almost demanded interventions. First, I discuss how almanacs map time in their visual ordering of the year and history. Katherine Acheson argues that literary criticism has been damaged by a refusal to integrate diagrams into the study of texts:</w:t>
      </w:r>
    </w:p>
    <w:p w14:paraId="21C61EA7" w14:textId="740D5E66" w:rsidR="00162224" w:rsidRDefault="00162224" w:rsidP="0056489A">
      <w:pPr>
        <w:ind w:left="737" w:right="737"/>
        <w:rPr>
          <w:rFonts w:ascii="Garamond" w:eastAsia="Calibri" w:hAnsi="Garamond" w:cs="Arial"/>
        </w:rPr>
      </w:pPr>
      <w:r w:rsidRPr="003037D2">
        <w:rPr>
          <w:rFonts w:ascii="Garamond" w:eastAsia="Calibri" w:hAnsi="Garamond" w:cs="Arial"/>
        </w:rPr>
        <w:t>diagrammatic illustration does not yield well to the methodologies that literary critics normally use when relating visual evidence to verbal texts, as those methodologies tend to focus on the symbolic and mythological content of images, rather than on their formal and semiotic qualities.</w:t>
      </w:r>
      <w:r w:rsidRPr="003037D2">
        <w:rPr>
          <w:rFonts w:ascii="Garamond" w:eastAsia="Calibri" w:hAnsi="Garamond" w:cs="Arial"/>
          <w:vertAlign w:val="superscript"/>
        </w:rPr>
        <w:footnoteReference w:id="67"/>
      </w:r>
    </w:p>
    <w:p w14:paraId="3FEB678A" w14:textId="77777777" w:rsidR="0056489A" w:rsidRPr="003037D2" w:rsidRDefault="0056489A" w:rsidP="0056489A">
      <w:pPr>
        <w:ind w:left="737" w:right="737"/>
        <w:rPr>
          <w:rFonts w:ascii="Garamond" w:eastAsia="Calibri" w:hAnsi="Garamond" w:cs="Arial"/>
        </w:rPr>
      </w:pPr>
    </w:p>
    <w:p w14:paraId="4892AA2F" w14:textId="77777777" w:rsidR="00162224" w:rsidRPr="003037D2" w:rsidRDefault="00162224" w:rsidP="00162224">
      <w:pPr>
        <w:spacing w:line="360" w:lineRule="auto"/>
        <w:rPr>
          <w:rFonts w:ascii="Garamond" w:eastAsia="Calibri" w:hAnsi="Garamond" w:cs="Arial"/>
        </w:rPr>
      </w:pPr>
      <w:r w:rsidRPr="003037D2">
        <w:rPr>
          <w:rFonts w:ascii="Garamond" w:eastAsia="Calibri" w:hAnsi="Garamond" w:cs="Arial"/>
        </w:rPr>
        <w:t xml:space="preserve">In this chapter, I attempt to rectify this, examining how diagrams of time can be productively read alongside more literary or biographical matter. Early modern almanac annotators display resourcefulness in their means of writing about and diagramming time. I argue that there exists a tension between the productive use of time – time </w:t>
      </w:r>
      <w:proofErr w:type="spellStart"/>
      <w:r w:rsidRPr="003037D2">
        <w:rPr>
          <w:rFonts w:ascii="Garamond" w:eastAsia="Calibri" w:hAnsi="Garamond" w:cs="Arial"/>
        </w:rPr>
        <w:t>parcelled</w:t>
      </w:r>
      <w:proofErr w:type="spellEnd"/>
      <w:r w:rsidRPr="003037D2">
        <w:rPr>
          <w:rFonts w:ascii="Garamond" w:eastAsia="Calibri" w:hAnsi="Garamond" w:cs="Arial"/>
        </w:rPr>
        <w:t xml:space="preserve"> up and portioned out in the printed form of the almanacs – and this resourceful use of time exhibited by the annotators as part of their process of self-accounting. </w:t>
      </w:r>
    </w:p>
    <w:p w14:paraId="3D97ABC9" w14:textId="77777777" w:rsidR="00162224" w:rsidRPr="003037D2" w:rsidRDefault="00162224" w:rsidP="00162224">
      <w:pPr>
        <w:spacing w:line="360" w:lineRule="auto"/>
        <w:rPr>
          <w:rFonts w:ascii="Garamond" w:eastAsia="Calibri" w:hAnsi="Garamond" w:cs="Arial"/>
        </w:rPr>
      </w:pPr>
    </w:p>
    <w:p w14:paraId="7EA60845" w14:textId="77777777"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t xml:space="preserve">I draw on the philosopher Michel </w:t>
      </w:r>
      <w:proofErr w:type="spellStart"/>
      <w:r w:rsidRPr="003037D2">
        <w:rPr>
          <w:rFonts w:ascii="Garamond" w:eastAsia="Calibri" w:hAnsi="Garamond" w:cs="Arial"/>
        </w:rPr>
        <w:t>Serres</w:t>
      </w:r>
      <w:proofErr w:type="spellEnd"/>
      <w:r w:rsidRPr="003037D2">
        <w:rPr>
          <w:rFonts w:ascii="Garamond" w:eastAsia="Calibri" w:hAnsi="Garamond" w:cs="Arial"/>
        </w:rPr>
        <w:t xml:space="preserve">’ notion of ‘pleating time’, which proposes a topographic, rather than a linear vision of time’s passing, allowing for multiple temporal instances to co-exist in a single object. The material properties of the annotated almanacs, both for their early modern owners and twenty-first century researchers, allow for movement between different temporal frames of reference and </w:t>
      </w:r>
      <w:r w:rsidRPr="003037D2">
        <w:rPr>
          <w:rFonts w:ascii="Garamond" w:eastAsia="Calibri" w:hAnsi="Garamond" w:cs="Arial"/>
        </w:rPr>
        <w:lastRenderedPageBreak/>
        <w:t>moments. Chapman argues that ‘the almanacs’ flexibility and their near ubiquity… make them useful textual barometers for early modern assumptions’.</w:t>
      </w:r>
      <w:r w:rsidRPr="003037D2">
        <w:rPr>
          <w:rFonts w:ascii="Garamond" w:eastAsia="Calibri" w:hAnsi="Garamond" w:cs="Arial"/>
          <w:vertAlign w:val="superscript"/>
        </w:rPr>
        <w:footnoteReference w:id="68"/>
      </w:r>
      <w:r w:rsidRPr="003037D2">
        <w:rPr>
          <w:rFonts w:ascii="Garamond" w:eastAsia="Calibri" w:hAnsi="Garamond" w:cs="Arial"/>
        </w:rPr>
        <w:t xml:space="preserve"> Chapman focusses on how the concentration of data in the almanac, which she describes as ‘crammed with temporal and geographical descriptions’, might indicate that ordinary men and women in early modern England still ‘wanted time and space to mean something’, despite the secularization of calendar and land that had taken place following the Reformation.</w:t>
      </w:r>
      <w:r w:rsidRPr="003037D2">
        <w:rPr>
          <w:rFonts w:ascii="Garamond" w:eastAsia="Calibri" w:hAnsi="Garamond" w:cs="Arial"/>
          <w:vertAlign w:val="superscript"/>
        </w:rPr>
        <w:footnoteReference w:id="69"/>
      </w:r>
      <w:r w:rsidRPr="003037D2">
        <w:rPr>
          <w:rFonts w:ascii="Garamond" w:eastAsia="Calibri" w:hAnsi="Garamond" w:cs="Arial"/>
        </w:rPr>
        <w:t xml:space="preserve"> Through a detailed examination of the different time referents and </w:t>
      </w:r>
      <w:proofErr w:type="spellStart"/>
      <w:r w:rsidRPr="003037D2">
        <w:rPr>
          <w:rFonts w:ascii="Garamond" w:eastAsia="Calibri" w:hAnsi="Garamond" w:cs="Arial"/>
        </w:rPr>
        <w:t>organisational</w:t>
      </w:r>
      <w:proofErr w:type="spellEnd"/>
      <w:r w:rsidRPr="003037D2">
        <w:rPr>
          <w:rFonts w:ascii="Garamond" w:eastAsia="Calibri" w:hAnsi="Garamond" w:cs="Arial"/>
        </w:rPr>
        <w:t xml:space="preserve"> systems used by almanac owners it becomes apparent that a wide variety of ways of thinking about and describing time could work alongside one another. Almanacs have sometimes </w:t>
      </w:r>
      <w:proofErr w:type="gramStart"/>
      <w:r w:rsidRPr="003037D2">
        <w:rPr>
          <w:rFonts w:ascii="Garamond" w:eastAsia="Calibri" w:hAnsi="Garamond" w:cs="Arial"/>
        </w:rPr>
        <w:t>been seen as</w:t>
      </w:r>
      <w:proofErr w:type="gramEnd"/>
      <w:r w:rsidRPr="003037D2">
        <w:rPr>
          <w:rFonts w:ascii="Garamond" w:eastAsia="Calibri" w:hAnsi="Garamond" w:cs="Arial"/>
        </w:rPr>
        <w:t xml:space="preserve"> part of a cultural process in which time becomes disposable, however, I present evidence that these ‘ephemeral’ texts could be surprisingly durable. As works that offer both the opportunity to self-account </w:t>
      </w:r>
      <w:proofErr w:type="gramStart"/>
      <w:r w:rsidRPr="003037D2">
        <w:rPr>
          <w:rFonts w:ascii="Garamond" w:eastAsia="Calibri" w:hAnsi="Garamond" w:cs="Arial"/>
        </w:rPr>
        <w:t>on a daily basis</w:t>
      </w:r>
      <w:proofErr w:type="gramEnd"/>
      <w:r w:rsidRPr="003037D2">
        <w:rPr>
          <w:rFonts w:ascii="Garamond" w:eastAsia="Calibri" w:hAnsi="Garamond" w:cs="Arial"/>
        </w:rPr>
        <w:t xml:space="preserve"> and provided accounts of history, almanacs combine both sacred and secular time within their pages. They therefore offer a route to think about </w:t>
      </w:r>
      <w:proofErr w:type="spellStart"/>
      <w:r w:rsidRPr="003037D2">
        <w:rPr>
          <w:rFonts w:ascii="Garamond" w:eastAsia="Calibri" w:hAnsi="Garamond" w:cs="Arial"/>
        </w:rPr>
        <w:t>polychronicity</w:t>
      </w:r>
      <w:proofErr w:type="spellEnd"/>
      <w:r w:rsidRPr="003037D2">
        <w:rPr>
          <w:rFonts w:ascii="Garamond" w:eastAsia="Calibri" w:hAnsi="Garamond" w:cs="Arial"/>
        </w:rPr>
        <w:t xml:space="preserve">, as multiple time and value systems are contained within the pages of one book.     </w:t>
      </w:r>
    </w:p>
    <w:p w14:paraId="42983F7E" w14:textId="77777777" w:rsidR="00162224" w:rsidRPr="003037D2" w:rsidRDefault="00162224" w:rsidP="00162224">
      <w:pPr>
        <w:spacing w:line="360" w:lineRule="auto"/>
        <w:ind w:firstLine="720"/>
        <w:rPr>
          <w:rFonts w:ascii="Garamond" w:eastAsia="Calibri" w:hAnsi="Garamond" w:cs="Arial"/>
        </w:rPr>
      </w:pPr>
    </w:p>
    <w:p w14:paraId="65C8AB80" w14:textId="77777777" w:rsidR="00162224" w:rsidRPr="003037D2" w:rsidRDefault="00162224" w:rsidP="00162224">
      <w:pPr>
        <w:spacing w:line="360" w:lineRule="auto"/>
        <w:ind w:firstLine="720"/>
        <w:rPr>
          <w:rFonts w:ascii="Garamond" w:eastAsia="Calibri" w:hAnsi="Garamond" w:cs="Arial"/>
        </w:rPr>
      </w:pPr>
    </w:p>
    <w:p w14:paraId="5E682876" w14:textId="77777777" w:rsidR="00162224" w:rsidRPr="003037D2" w:rsidRDefault="00162224" w:rsidP="00162224">
      <w:pPr>
        <w:keepNext/>
        <w:keepLines/>
        <w:numPr>
          <w:ilvl w:val="0"/>
          <w:numId w:val="23"/>
        </w:numPr>
        <w:spacing w:before="40" w:line="360" w:lineRule="auto"/>
        <w:outlineLvl w:val="1"/>
        <w:rPr>
          <w:rFonts w:ascii="Garamond" w:eastAsia="DengXian Light" w:hAnsi="Garamond" w:cs="Times New Roman"/>
          <w:b/>
          <w:bCs/>
          <w:color w:val="000000"/>
          <w:sz w:val="28"/>
          <w:szCs w:val="28"/>
        </w:rPr>
      </w:pPr>
      <w:bookmarkStart w:id="8" w:name="_Toc3967162"/>
      <w:r w:rsidRPr="003037D2">
        <w:rPr>
          <w:rFonts w:ascii="Garamond" w:eastAsia="DengXian Light" w:hAnsi="Garamond" w:cs="Times New Roman"/>
          <w:b/>
          <w:bCs/>
          <w:color w:val="000000"/>
          <w:sz w:val="28"/>
          <w:szCs w:val="28"/>
        </w:rPr>
        <w:t>Mapping Time</w:t>
      </w:r>
      <w:bookmarkEnd w:id="8"/>
      <w:r w:rsidRPr="003037D2">
        <w:rPr>
          <w:rFonts w:ascii="Garamond" w:eastAsia="DengXian Light" w:hAnsi="Garamond" w:cs="Times New Roman"/>
          <w:b/>
          <w:bCs/>
          <w:color w:val="000000"/>
          <w:sz w:val="28"/>
          <w:szCs w:val="28"/>
        </w:rPr>
        <w:t xml:space="preserve">  </w:t>
      </w:r>
    </w:p>
    <w:p w14:paraId="5CE52456" w14:textId="77777777" w:rsidR="00162224" w:rsidRPr="003037D2" w:rsidRDefault="00162224" w:rsidP="00162224">
      <w:pPr>
        <w:spacing w:line="360" w:lineRule="auto"/>
        <w:rPr>
          <w:rFonts w:ascii="Garamond" w:eastAsia="Calibri" w:hAnsi="Garamond" w:cs="Arial"/>
        </w:rPr>
      </w:pPr>
    </w:p>
    <w:p w14:paraId="5DAFDF8A" w14:textId="2B116109" w:rsidR="00162224" w:rsidRPr="003037D2" w:rsidRDefault="00162224" w:rsidP="00162224">
      <w:pPr>
        <w:spacing w:line="360" w:lineRule="auto"/>
        <w:ind w:firstLine="697"/>
        <w:rPr>
          <w:rFonts w:ascii="Garamond" w:eastAsia="Calibri" w:hAnsi="Garamond" w:cs="Arial"/>
        </w:rPr>
      </w:pPr>
      <w:r w:rsidRPr="003037D2">
        <w:rPr>
          <w:rFonts w:ascii="Garamond" w:eastAsia="Calibri" w:hAnsi="Garamond" w:cs="Arial"/>
        </w:rPr>
        <w:t xml:space="preserve"> </w:t>
      </w:r>
      <w:r w:rsidRPr="003037D2">
        <w:rPr>
          <w:rFonts w:ascii="Garamond" w:eastAsia="Calibri" w:hAnsi="Garamond" w:cs="Arial"/>
        </w:rPr>
        <w:fldChar w:fldCharType="begin"/>
      </w:r>
      <w:r w:rsidRPr="003037D2">
        <w:rPr>
          <w:rFonts w:ascii="Garamond" w:eastAsia="Calibri" w:hAnsi="Garamond" w:cs="Arial"/>
        </w:rPr>
        <w:instrText xml:space="preserve"> REF _Ref532506229 \h </w:instrText>
      </w:r>
      <w:r w:rsidR="003037D2">
        <w:rPr>
          <w:rFonts w:ascii="Garamond" w:eastAsia="Calibri" w:hAnsi="Garamond" w:cs="Arial"/>
        </w:rPr>
        <w:instrText xml:space="preserve"> \* MERGEFORMAT </w:instrText>
      </w:r>
      <w:r w:rsidRPr="003037D2">
        <w:rPr>
          <w:rFonts w:ascii="Garamond" w:eastAsia="Calibri" w:hAnsi="Garamond" w:cs="Arial"/>
        </w:rPr>
      </w:r>
      <w:r w:rsidRPr="003037D2">
        <w:rPr>
          <w:rFonts w:ascii="Garamond" w:eastAsia="Calibri" w:hAnsi="Garamond" w:cs="Arial"/>
        </w:rPr>
        <w:fldChar w:fldCharType="separate"/>
      </w:r>
      <w:r w:rsidR="001117A3" w:rsidRPr="003037D2">
        <w:rPr>
          <w:rFonts w:ascii="Garamond" w:hAnsi="Garamond"/>
        </w:rPr>
        <w:t xml:space="preserve">Figure </w:t>
      </w:r>
      <w:r w:rsidR="001117A3" w:rsidRPr="003037D2">
        <w:rPr>
          <w:rFonts w:ascii="Garamond" w:hAnsi="Garamond"/>
          <w:noProof/>
        </w:rPr>
        <w:t>2</w:t>
      </w:r>
      <w:r w:rsidRPr="003037D2">
        <w:rPr>
          <w:rFonts w:ascii="Garamond" w:eastAsia="Calibri" w:hAnsi="Garamond" w:cs="Arial"/>
        </w:rPr>
        <w:fldChar w:fldCharType="end"/>
      </w:r>
      <w:r w:rsidRPr="003037D2">
        <w:rPr>
          <w:rFonts w:ascii="Garamond" w:eastAsia="Calibri" w:hAnsi="Garamond" w:cs="Arial"/>
        </w:rPr>
        <w:t xml:space="preserve"> shows the calendar for the month of September in Edward Pond’s 1641 almanac, which vividly demonstrates how almanacs broke down the structure of the month and year into diagrams: easily understood and digested. The </w:t>
      </w:r>
      <w:proofErr w:type="gramStart"/>
      <w:r w:rsidRPr="003037D2">
        <w:rPr>
          <w:rFonts w:ascii="Garamond" w:eastAsia="Calibri" w:hAnsi="Garamond" w:cs="Arial"/>
        </w:rPr>
        <w:t>left hand</w:t>
      </w:r>
      <w:proofErr w:type="gramEnd"/>
      <w:r w:rsidRPr="003037D2">
        <w:rPr>
          <w:rFonts w:ascii="Garamond" w:eastAsia="Calibri" w:hAnsi="Garamond" w:cs="Arial"/>
        </w:rPr>
        <w:t xml:space="preserve"> page is divided into eight columns, below a heading giving the exact details of the waxing and waning of the moon. In these eight columns, the first contains the number of the day of the month, and the second a letter indicating which day of the week this fell on. The third a list of ‘remarkable days’, including anniversaries such as the births of Queen Elizabeth and the Virgin Mary, on the 7</w:t>
      </w:r>
      <w:r w:rsidRPr="003037D2">
        <w:rPr>
          <w:rFonts w:ascii="Garamond" w:eastAsia="Calibri" w:hAnsi="Garamond" w:cs="Arial"/>
          <w:vertAlign w:val="superscript"/>
        </w:rPr>
        <w:t>th</w:t>
      </w:r>
      <w:r w:rsidRPr="003037D2">
        <w:rPr>
          <w:rFonts w:ascii="Garamond" w:eastAsia="Calibri" w:hAnsi="Garamond" w:cs="Arial"/>
        </w:rPr>
        <w:t xml:space="preserve"> and 8</w:t>
      </w:r>
      <w:r w:rsidRPr="003037D2">
        <w:rPr>
          <w:rFonts w:ascii="Garamond" w:eastAsia="Calibri" w:hAnsi="Garamond" w:cs="Arial"/>
          <w:vertAlign w:val="superscript"/>
        </w:rPr>
        <w:t>th</w:t>
      </w:r>
      <w:r w:rsidRPr="003037D2">
        <w:rPr>
          <w:rFonts w:ascii="Garamond" w:eastAsia="Calibri" w:hAnsi="Garamond" w:cs="Arial"/>
        </w:rPr>
        <w:t xml:space="preserve"> respectively. These two births are recorded in the same pla</w:t>
      </w:r>
      <w:r w:rsidR="00C03F06" w:rsidRPr="003037D2">
        <w:rPr>
          <w:rFonts w:ascii="Garamond" w:eastAsia="Calibri" w:hAnsi="Garamond" w:cs="Arial"/>
        </w:rPr>
        <w:t>in</w:t>
      </w:r>
      <w:r w:rsidRPr="003037D2">
        <w:rPr>
          <w:rFonts w:ascii="Garamond" w:eastAsia="Calibri" w:hAnsi="Garamond" w:cs="Arial"/>
        </w:rPr>
        <w:t xml:space="preserve"> font, whereas saint days, such as ‘Giles abbot’ and ‘</w:t>
      </w:r>
      <w:proofErr w:type="spellStart"/>
      <w:r w:rsidRPr="003037D2">
        <w:rPr>
          <w:rFonts w:ascii="Garamond" w:eastAsia="Calibri" w:hAnsi="Garamond" w:cs="Arial"/>
        </w:rPr>
        <w:t>Prothus</w:t>
      </w:r>
      <w:proofErr w:type="spellEnd"/>
      <w:r w:rsidRPr="003037D2">
        <w:rPr>
          <w:rFonts w:ascii="Garamond" w:eastAsia="Calibri" w:hAnsi="Garamond" w:cs="Arial"/>
        </w:rPr>
        <w:t>’ are in a gothic script. Descriptors plotting the day within the church calendar are in a slightly smaller plain font, indicating the 11</w:t>
      </w:r>
      <w:r w:rsidRPr="003037D2">
        <w:rPr>
          <w:rFonts w:ascii="Garamond" w:eastAsia="Calibri" w:hAnsi="Garamond" w:cs="Arial"/>
          <w:vertAlign w:val="superscript"/>
        </w:rPr>
        <w:t>th</w:t>
      </w:r>
      <w:r w:rsidRPr="003037D2">
        <w:rPr>
          <w:rFonts w:ascii="Garamond" w:eastAsia="Calibri" w:hAnsi="Garamond" w:cs="Arial"/>
        </w:rPr>
        <w:t>, 12</w:t>
      </w:r>
      <w:r w:rsidRPr="003037D2">
        <w:rPr>
          <w:rFonts w:ascii="Garamond" w:eastAsia="Calibri" w:hAnsi="Garamond" w:cs="Arial"/>
          <w:vertAlign w:val="superscript"/>
        </w:rPr>
        <w:t>th</w:t>
      </w:r>
      <w:r w:rsidRPr="003037D2">
        <w:rPr>
          <w:rFonts w:ascii="Garamond" w:eastAsia="Calibri" w:hAnsi="Garamond" w:cs="Arial"/>
        </w:rPr>
        <w:t>, 13</w:t>
      </w:r>
      <w:r w:rsidRPr="003037D2">
        <w:rPr>
          <w:rFonts w:ascii="Garamond" w:eastAsia="Calibri" w:hAnsi="Garamond" w:cs="Arial"/>
          <w:vertAlign w:val="superscript"/>
        </w:rPr>
        <w:t>th</w:t>
      </w:r>
      <w:r w:rsidRPr="003037D2">
        <w:rPr>
          <w:rFonts w:ascii="Garamond" w:eastAsia="Calibri" w:hAnsi="Garamond" w:cs="Arial"/>
        </w:rPr>
        <w:t xml:space="preserve"> and 14</w:t>
      </w:r>
      <w:r w:rsidRPr="003037D2">
        <w:rPr>
          <w:rFonts w:ascii="Garamond" w:eastAsia="Calibri" w:hAnsi="Garamond" w:cs="Arial"/>
          <w:vertAlign w:val="superscript"/>
        </w:rPr>
        <w:t>th</w:t>
      </w:r>
      <w:r w:rsidRPr="003037D2">
        <w:rPr>
          <w:rFonts w:ascii="Garamond" w:eastAsia="Calibri" w:hAnsi="Garamond" w:cs="Arial"/>
        </w:rPr>
        <w:t xml:space="preserve"> Sundays after Trinity. </w:t>
      </w:r>
      <w:r w:rsidRPr="003037D2">
        <w:rPr>
          <w:rFonts w:ascii="Garamond" w:eastAsia="Calibri" w:hAnsi="Garamond" w:cs="Arial"/>
        </w:rPr>
        <w:lastRenderedPageBreak/>
        <w:t xml:space="preserve">Picked out in red are the Sundays, feast days such as </w:t>
      </w:r>
      <w:proofErr w:type="spellStart"/>
      <w:r w:rsidRPr="003037D2">
        <w:rPr>
          <w:rFonts w:ascii="Garamond" w:eastAsia="Calibri" w:hAnsi="Garamond" w:cs="Arial"/>
        </w:rPr>
        <w:t>Michaelmas</w:t>
      </w:r>
      <w:proofErr w:type="spellEnd"/>
      <w:r w:rsidRPr="003037D2">
        <w:rPr>
          <w:rFonts w:ascii="Garamond" w:eastAsia="Calibri" w:hAnsi="Garamond" w:cs="Arial"/>
        </w:rPr>
        <w:t xml:space="preserve"> on the 29</w:t>
      </w:r>
      <w:r w:rsidRPr="003037D2">
        <w:rPr>
          <w:rFonts w:ascii="Garamond" w:eastAsia="Calibri" w:hAnsi="Garamond" w:cs="Arial"/>
          <w:vertAlign w:val="superscript"/>
        </w:rPr>
        <w:t>th</w:t>
      </w:r>
      <w:r w:rsidRPr="003037D2">
        <w:rPr>
          <w:rFonts w:ascii="Garamond" w:eastAsia="Calibri" w:hAnsi="Garamond" w:cs="Arial"/>
        </w:rPr>
        <w:t>, and the beginning of ‘Ember week’, but also important astrological occurrences such as ‘Sun in Libra’ on the 13</w:t>
      </w:r>
      <w:r w:rsidRPr="003037D2">
        <w:rPr>
          <w:rFonts w:ascii="Garamond" w:eastAsia="Calibri" w:hAnsi="Garamond" w:cs="Arial"/>
          <w:vertAlign w:val="superscript"/>
        </w:rPr>
        <w:t>th</w:t>
      </w:r>
      <w:r w:rsidRPr="003037D2">
        <w:rPr>
          <w:rFonts w:ascii="Garamond" w:eastAsia="Calibri" w:hAnsi="Garamond" w:cs="Arial"/>
        </w:rPr>
        <w:t>.</w:t>
      </w:r>
      <w:r w:rsidR="00D937A1" w:rsidRPr="003037D2">
        <w:rPr>
          <w:rStyle w:val="FootnoteReference"/>
          <w:rFonts w:ascii="Garamond" w:eastAsia="Calibri" w:hAnsi="Garamond" w:cs="Arial"/>
        </w:rPr>
        <w:footnoteReference w:id="70"/>
      </w:r>
      <w:r w:rsidRPr="003037D2">
        <w:rPr>
          <w:rFonts w:ascii="Garamond" w:eastAsia="Calibri" w:hAnsi="Garamond" w:cs="Arial"/>
        </w:rPr>
        <w:t xml:space="preserve"> The fourth column is mainly blank, with only ‘Ember Week’ and ‘Ordination of Ministers’ included, indicating the most crucial events occurring in this month. Perhaps it was intended that the almanac owner could fill in other upcoming events that were personally resonant to them, and then use the blank facing page for their own notes and reflections. The other columns give detailed astrological information for each day, again with some crucial moments picked out in red.</w:t>
      </w:r>
      <w:r w:rsidRPr="003037D2">
        <w:rPr>
          <w:rFonts w:ascii="Garamond" w:eastAsia="Calibri" w:hAnsi="Garamond" w:cs="Arial"/>
          <w:vertAlign w:val="superscript"/>
        </w:rPr>
        <w:footnoteReference w:id="71"/>
      </w:r>
      <w:r w:rsidRPr="003037D2">
        <w:rPr>
          <w:rFonts w:ascii="Garamond" w:eastAsia="Calibri" w:hAnsi="Garamond" w:cs="Arial"/>
        </w:rPr>
        <w:t xml:space="preserve"> </w:t>
      </w:r>
    </w:p>
    <w:p w14:paraId="3F1FAB57" w14:textId="77777777" w:rsidR="00162224" w:rsidRPr="003037D2" w:rsidRDefault="00162224" w:rsidP="00162224">
      <w:pPr>
        <w:spacing w:line="360" w:lineRule="auto"/>
        <w:ind w:firstLine="360"/>
        <w:rPr>
          <w:rFonts w:ascii="Garamond" w:eastAsia="Calibri" w:hAnsi="Garamond" w:cs="Arial"/>
          <w:i/>
        </w:rPr>
      </w:pPr>
    </w:p>
    <w:p w14:paraId="3CFD0C43" w14:textId="2B80F736" w:rsidR="00162224" w:rsidRPr="003037D2" w:rsidRDefault="00162224" w:rsidP="00162224">
      <w:pPr>
        <w:spacing w:line="360" w:lineRule="auto"/>
        <w:ind w:firstLine="697"/>
        <w:rPr>
          <w:rFonts w:ascii="Garamond" w:eastAsia="Calibri" w:hAnsi="Garamond" w:cs="Arial"/>
        </w:rPr>
      </w:pPr>
      <w:r w:rsidRPr="003037D2">
        <w:rPr>
          <w:rFonts w:ascii="Garamond" w:eastAsia="Calibri" w:hAnsi="Garamond" w:cs="Arial"/>
        </w:rPr>
        <w:t>In early Tudor England, astrology was a little known and underdeveloped art. There had been no vernacular works published for several decades, and so any astrological beliefs were passed down verbally. In Bernard Capp’s words this ‘probably [amounted to] no more than a set of customs and beliefs based on moon-lore, eclipses, and phenomena such as the rising and setting of the Dog Star’.</w:t>
      </w:r>
      <w:r w:rsidRPr="003037D2">
        <w:rPr>
          <w:rFonts w:ascii="Garamond" w:eastAsia="Calibri" w:hAnsi="Garamond" w:cs="Arial"/>
          <w:vertAlign w:val="superscript"/>
        </w:rPr>
        <w:footnoteReference w:id="72"/>
      </w:r>
      <w:r w:rsidRPr="003037D2">
        <w:rPr>
          <w:rFonts w:ascii="Garamond" w:eastAsia="Calibri" w:hAnsi="Garamond" w:cs="Arial"/>
        </w:rPr>
        <w:t xml:space="preserve"> However, in the latter half of the sixteenth century, an English renaissance in mathematics began. Figures such as John Dee and Leonard Digges wrote and published on astrology and astronomy, and by the middle of the seventeenth century the field had reached full maturity, separating from mainstream science. Capp details how the practice of astrology grew in popularity with the explosion of the popular press.</w:t>
      </w:r>
      <w:r w:rsidRPr="003037D2">
        <w:rPr>
          <w:rFonts w:ascii="Garamond" w:eastAsia="Calibri" w:hAnsi="Garamond" w:cs="Arial"/>
          <w:vertAlign w:val="superscript"/>
        </w:rPr>
        <w:footnoteReference w:id="73"/>
      </w:r>
      <w:r w:rsidRPr="003037D2">
        <w:rPr>
          <w:rFonts w:ascii="Garamond" w:eastAsia="Calibri" w:hAnsi="Garamond" w:cs="Arial"/>
        </w:rPr>
        <w:t xml:space="preserve"> T.J. Tomlin similarly argues that English astrology’s history is interwoven with that of the Company of Stationers, who </w:t>
      </w:r>
      <w:proofErr w:type="spellStart"/>
      <w:r w:rsidRPr="003037D2">
        <w:rPr>
          <w:rFonts w:ascii="Garamond" w:eastAsia="Calibri" w:hAnsi="Garamond" w:cs="Arial"/>
        </w:rPr>
        <w:t>monopolised</w:t>
      </w:r>
      <w:proofErr w:type="spellEnd"/>
      <w:r w:rsidRPr="003037D2">
        <w:rPr>
          <w:rFonts w:ascii="Garamond" w:eastAsia="Calibri" w:hAnsi="Garamond" w:cs="Arial"/>
        </w:rPr>
        <w:t xml:space="preserve"> the almanac trade. </w:t>
      </w:r>
      <w:r w:rsidR="00094FAC" w:rsidRPr="003037D2">
        <w:rPr>
          <w:rFonts w:ascii="Garamond" w:eastAsia="Calibri" w:hAnsi="Garamond" w:cs="Arial"/>
        </w:rPr>
        <w:t xml:space="preserve">The </w:t>
      </w:r>
      <w:r w:rsidRPr="003037D2">
        <w:rPr>
          <w:rFonts w:ascii="Garamond" w:eastAsia="Calibri" w:hAnsi="Garamond" w:cs="Arial"/>
        </w:rPr>
        <w:t xml:space="preserve">Stationers Company placed restrictions on astrologers, helping ease the tension between Christianity and astrology, stating that ‘conjurers and framers of almanacs and prophecies exceeding the limit of </w:t>
      </w:r>
      <w:r w:rsidRPr="003037D2">
        <w:rPr>
          <w:rFonts w:ascii="Garamond" w:eastAsia="Calibri" w:hAnsi="Garamond" w:cs="Arial"/>
        </w:rPr>
        <w:lastRenderedPageBreak/>
        <w:t>allowable astrology shall be punished severely in their persons’.</w:t>
      </w:r>
      <w:r w:rsidRPr="003037D2">
        <w:rPr>
          <w:rFonts w:ascii="Garamond" w:eastAsia="Calibri" w:hAnsi="Garamond" w:cs="Arial"/>
          <w:vertAlign w:val="superscript"/>
        </w:rPr>
        <w:footnoteReference w:id="74"/>
      </w:r>
      <w:r w:rsidRPr="003037D2">
        <w:rPr>
          <w:rFonts w:ascii="Garamond" w:eastAsia="Calibri" w:hAnsi="Garamond" w:cs="Arial"/>
        </w:rPr>
        <w:t xml:space="preserve"> Almanacs were subject to ecclesiastical inspections, and the Society of Astrologers would meet on a quarterly basis to hear a sermon that argued that religion was compatible with the science of divination, with titles such as </w:t>
      </w:r>
      <w:r w:rsidRPr="003037D2">
        <w:rPr>
          <w:rFonts w:ascii="Garamond" w:eastAsia="Calibri" w:hAnsi="Garamond" w:cs="Arial"/>
          <w:i/>
        </w:rPr>
        <w:t xml:space="preserve">Astrology Proved Harmless, </w:t>
      </w:r>
      <w:proofErr w:type="spellStart"/>
      <w:r w:rsidRPr="003037D2">
        <w:rPr>
          <w:rFonts w:ascii="Garamond" w:eastAsia="Calibri" w:hAnsi="Garamond" w:cs="Arial"/>
          <w:i/>
        </w:rPr>
        <w:t>Uselful</w:t>
      </w:r>
      <w:proofErr w:type="spellEnd"/>
      <w:r w:rsidRPr="003037D2">
        <w:rPr>
          <w:rFonts w:ascii="Garamond" w:eastAsia="Calibri" w:hAnsi="Garamond" w:cs="Arial"/>
          <w:i/>
        </w:rPr>
        <w:t>, Pious</w:t>
      </w:r>
      <w:r w:rsidRPr="003037D2">
        <w:rPr>
          <w:rFonts w:ascii="Garamond" w:eastAsia="Calibri" w:hAnsi="Garamond" w:cs="Arial"/>
        </w:rPr>
        <w:t xml:space="preserve"> (1657) and </w:t>
      </w:r>
      <w:r w:rsidRPr="003037D2">
        <w:rPr>
          <w:rFonts w:ascii="Garamond" w:eastAsia="Calibri" w:hAnsi="Garamond" w:cs="Arial"/>
          <w:i/>
        </w:rPr>
        <w:t xml:space="preserve">Divinity no Enemy to Astrology </w:t>
      </w:r>
      <w:r w:rsidRPr="003037D2">
        <w:rPr>
          <w:rFonts w:ascii="Garamond" w:eastAsia="Calibri" w:hAnsi="Garamond" w:cs="Arial"/>
        </w:rPr>
        <w:t>(1653).</w:t>
      </w:r>
      <w:r w:rsidRPr="003037D2">
        <w:rPr>
          <w:rFonts w:ascii="Garamond" w:eastAsia="Calibri" w:hAnsi="Garamond" w:cs="Arial"/>
          <w:vertAlign w:val="superscript"/>
        </w:rPr>
        <w:footnoteReference w:id="75"/>
      </w:r>
      <w:r w:rsidRPr="003037D2">
        <w:rPr>
          <w:rFonts w:ascii="Garamond" w:eastAsia="Calibri" w:hAnsi="Garamond" w:cs="Arial"/>
          <w:i/>
        </w:rPr>
        <w:t xml:space="preserve"> </w:t>
      </w:r>
      <w:r w:rsidRPr="003037D2">
        <w:rPr>
          <w:rFonts w:ascii="Garamond" w:eastAsia="Calibri" w:hAnsi="Garamond" w:cs="Arial"/>
        </w:rPr>
        <w:t xml:space="preserve">William Lilly’s </w:t>
      </w:r>
      <w:r w:rsidRPr="003037D2">
        <w:rPr>
          <w:rFonts w:ascii="Garamond" w:eastAsia="Calibri" w:hAnsi="Garamond" w:cs="Arial"/>
          <w:i/>
        </w:rPr>
        <w:t xml:space="preserve">Christian Astrology, </w:t>
      </w:r>
      <w:r w:rsidRPr="003037D2">
        <w:rPr>
          <w:rFonts w:ascii="Garamond" w:eastAsia="Calibri" w:hAnsi="Garamond" w:cs="Arial"/>
        </w:rPr>
        <w:t xml:space="preserve">a magisterial three volume work, argues that some ‘meddling divines’ have ‘conceived Astrology to consist on Diabolical Principles… to reserve it </w:t>
      </w:r>
      <w:proofErr w:type="spellStart"/>
      <w:r w:rsidRPr="003037D2">
        <w:rPr>
          <w:rFonts w:ascii="Garamond" w:eastAsia="Calibri" w:hAnsi="Garamond" w:cs="Arial"/>
        </w:rPr>
        <w:t>intitre</w:t>
      </w:r>
      <w:proofErr w:type="spellEnd"/>
      <w:r w:rsidRPr="003037D2">
        <w:rPr>
          <w:rFonts w:ascii="Garamond" w:eastAsia="Calibri" w:hAnsi="Garamond" w:cs="Arial"/>
        </w:rPr>
        <w:t xml:space="preserve"> unto them own selves’.</w:t>
      </w:r>
      <w:r w:rsidRPr="003037D2">
        <w:rPr>
          <w:rFonts w:ascii="Garamond" w:eastAsia="Calibri" w:hAnsi="Garamond" w:cs="Arial"/>
          <w:vertAlign w:val="superscript"/>
        </w:rPr>
        <w:footnoteReference w:id="76"/>
      </w:r>
      <w:r w:rsidRPr="003037D2">
        <w:rPr>
          <w:rFonts w:ascii="Garamond" w:eastAsia="Calibri" w:hAnsi="Garamond" w:cs="Arial"/>
        </w:rPr>
        <w:t xml:space="preserve"> A dedicatory poem on this ‘</w:t>
      </w:r>
      <w:proofErr w:type="spellStart"/>
      <w:r w:rsidRPr="003037D2">
        <w:rPr>
          <w:rFonts w:ascii="Garamond" w:eastAsia="Calibri" w:hAnsi="Garamond" w:cs="Arial"/>
        </w:rPr>
        <w:t>unparalell’d</w:t>
      </w:r>
      <w:proofErr w:type="spellEnd"/>
      <w:r w:rsidRPr="003037D2">
        <w:rPr>
          <w:rFonts w:ascii="Garamond" w:eastAsia="Calibri" w:hAnsi="Garamond" w:cs="Arial"/>
        </w:rPr>
        <w:t xml:space="preserve"> </w:t>
      </w:r>
      <w:proofErr w:type="spellStart"/>
      <w:r w:rsidRPr="003037D2">
        <w:rPr>
          <w:rFonts w:ascii="Garamond" w:eastAsia="Calibri" w:hAnsi="Garamond" w:cs="Arial"/>
        </w:rPr>
        <w:t>Peece</w:t>
      </w:r>
      <w:proofErr w:type="spellEnd"/>
      <w:r w:rsidRPr="003037D2">
        <w:rPr>
          <w:rFonts w:ascii="Garamond" w:eastAsia="Calibri" w:hAnsi="Garamond" w:cs="Arial"/>
        </w:rPr>
        <w:t xml:space="preserve"> of Art’ mocks those who ‘idolize Ignorance’, ‘the Glorious Stars, they think God doth not use them/ To do his will… some there are, though letter wise, they can/ Not yet believe that all was made for Man’.</w:t>
      </w:r>
      <w:r w:rsidRPr="003037D2">
        <w:rPr>
          <w:rFonts w:ascii="Garamond" w:eastAsia="Calibri" w:hAnsi="Garamond" w:cs="Arial"/>
          <w:vertAlign w:val="superscript"/>
        </w:rPr>
        <w:footnoteReference w:id="77"/>
      </w:r>
      <w:r w:rsidRPr="003037D2">
        <w:rPr>
          <w:rFonts w:ascii="Garamond" w:eastAsia="Calibri" w:hAnsi="Garamond" w:cs="Arial"/>
        </w:rPr>
        <w:t xml:space="preserve"> To reject astrology is to reject God’s bounty in this construction. </w:t>
      </w:r>
    </w:p>
    <w:p w14:paraId="52CC3025" w14:textId="77777777" w:rsidR="00162224" w:rsidRPr="003037D2" w:rsidRDefault="00162224" w:rsidP="00162224">
      <w:pPr>
        <w:spacing w:line="360" w:lineRule="auto"/>
        <w:ind w:firstLine="697"/>
        <w:rPr>
          <w:rFonts w:ascii="Garamond" w:eastAsia="Calibri" w:hAnsi="Garamond" w:cs="Arial"/>
        </w:rPr>
      </w:pPr>
    </w:p>
    <w:p w14:paraId="7E5FD20E" w14:textId="2BDF86A4" w:rsidR="00162224" w:rsidRPr="003037D2" w:rsidRDefault="00162224" w:rsidP="00162224">
      <w:pPr>
        <w:spacing w:line="360" w:lineRule="auto"/>
        <w:ind w:firstLine="697"/>
        <w:rPr>
          <w:rFonts w:ascii="Garamond" w:eastAsia="Calibri" w:hAnsi="Garamond" w:cs="Arial"/>
          <w:iCs/>
        </w:rPr>
      </w:pPr>
      <w:r w:rsidRPr="003037D2">
        <w:rPr>
          <w:rFonts w:ascii="Garamond" w:eastAsia="Calibri" w:hAnsi="Garamond" w:cs="Arial"/>
        </w:rPr>
        <w:t xml:space="preserve">Capp explains that there were two main branches of astrology, </w:t>
      </w:r>
      <w:r w:rsidRPr="003037D2">
        <w:rPr>
          <w:rFonts w:ascii="Garamond" w:eastAsia="Calibri" w:hAnsi="Garamond" w:cs="Arial"/>
          <w:i/>
        </w:rPr>
        <w:t xml:space="preserve">natural </w:t>
      </w:r>
      <w:r w:rsidRPr="003037D2">
        <w:rPr>
          <w:rFonts w:ascii="Garamond" w:eastAsia="Calibri" w:hAnsi="Garamond" w:cs="Arial"/>
        </w:rPr>
        <w:t xml:space="preserve">and </w:t>
      </w:r>
      <w:r w:rsidRPr="003037D2">
        <w:rPr>
          <w:rFonts w:ascii="Garamond" w:eastAsia="Calibri" w:hAnsi="Garamond" w:cs="Arial"/>
          <w:i/>
        </w:rPr>
        <w:t xml:space="preserve">judicial. </w:t>
      </w:r>
      <w:r w:rsidRPr="003037D2">
        <w:rPr>
          <w:rFonts w:ascii="Garamond" w:eastAsia="Calibri" w:hAnsi="Garamond" w:cs="Arial"/>
        </w:rPr>
        <w:t>Natural astrology explained how the movements of the planets affected medical and agricultural issues, whilst judicial astrology attempted to ‘interpret these influences in order to make predictions and give advice’. This included using an individual’s ‘nativity’ (the position of the stars at their birth) to ask horary questions regarding ‘elections’, to find out when would be the best time to do a certain action. This was the most controversial aspect of astrology, never quite throwing off its air of paganism, and often mocked.</w:t>
      </w:r>
      <w:r w:rsidRPr="003037D2">
        <w:rPr>
          <w:rFonts w:ascii="Garamond" w:eastAsia="Calibri" w:hAnsi="Garamond" w:cs="Arial"/>
          <w:vertAlign w:val="superscript"/>
        </w:rPr>
        <w:footnoteReference w:id="78"/>
      </w:r>
      <w:r w:rsidRPr="003037D2">
        <w:rPr>
          <w:rFonts w:ascii="Garamond" w:eastAsia="Calibri" w:hAnsi="Garamond" w:cs="Arial"/>
        </w:rPr>
        <w:t xml:space="preserve"> The almanac</w:t>
      </w:r>
      <w:r w:rsidR="00531ACA" w:rsidRPr="003037D2">
        <w:rPr>
          <w:rFonts w:ascii="Garamond" w:eastAsia="Calibri" w:hAnsi="Garamond" w:cs="Arial"/>
        </w:rPr>
        <w:t>-</w:t>
      </w:r>
      <w:r w:rsidRPr="003037D2">
        <w:rPr>
          <w:rFonts w:ascii="Garamond" w:eastAsia="Calibri" w:hAnsi="Garamond" w:cs="Arial"/>
        </w:rPr>
        <w:t xml:space="preserve">hungry public is lampooned in Thomas Middleton’s </w:t>
      </w:r>
      <w:r w:rsidRPr="003037D2">
        <w:rPr>
          <w:rFonts w:ascii="Garamond" w:eastAsia="Calibri" w:hAnsi="Garamond" w:cs="Arial"/>
          <w:i/>
          <w:iCs/>
        </w:rPr>
        <w:t xml:space="preserve">No Wit, No Help Like a Woman’s </w:t>
      </w:r>
      <w:r w:rsidRPr="003037D2">
        <w:rPr>
          <w:rFonts w:ascii="Garamond" w:eastAsia="Calibri" w:hAnsi="Garamond" w:cs="Arial"/>
          <w:iCs/>
        </w:rPr>
        <w:t xml:space="preserve">in the figure of </w:t>
      </w:r>
      <w:proofErr w:type="spellStart"/>
      <w:r w:rsidRPr="003037D2">
        <w:rPr>
          <w:rFonts w:ascii="Garamond" w:eastAsia="Calibri" w:hAnsi="Garamond" w:cs="Arial"/>
          <w:iCs/>
        </w:rPr>
        <w:t>Weatherwise</w:t>
      </w:r>
      <w:proofErr w:type="spellEnd"/>
      <w:r w:rsidRPr="003037D2">
        <w:rPr>
          <w:rFonts w:ascii="Garamond" w:eastAsia="Calibri" w:hAnsi="Garamond" w:cs="Arial"/>
          <w:iCs/>
        </w:rPr>
        <w:t>, the fool or ‘seagull’, who asks repeatedly, ‘What comfort gives my almanac today?’.</w:t>
      </w:r>
      <w:r w:rsidRPr="003037D2">
        <w:rPr>
          <w:rFonts w:ascii="Garamond" w:eastAsia="Calibri" w:hAnsi="Garamond" w:cs="Arial"/>
          <w:iCs/>
          <w:vertAlign w:val="superscript"/>
        </w:rPr>
        <w:footnoteReference w:id="79"/>
      </w:r>
      <w:r w:rsidRPr="003037D2">
        <w:rPr>
          <w:rFonts w:ascii="Garamond" w:eastAsia="Calibri" w:hAnsi="Garamond" w:cs="Arial"/>
          <w:iCs/>
        </w:rPr>
        <w:t xml:space="preserve"> His interpretations of astrology seem utterly garbled, </w:t>
      </w:r>
    </w:p>
    <w:p w14:paraId="3D0A6264" w14:textId="77777777" w:rsidR="00162224" w:rsidRPr="003037D2" w:rsidRDefault="00162224" w:rsidP="00162224">
      <w:pPr>
        <w:ind w:left="737" w:right="737"/>
        <w:rPr>
          <w:rFonts w:ascii="Garamond" w:eastAsia="Calibri" w:hAnsi="Garamond" w:cs="Arial"/>
          <w:iCs/>
        </w:rPr>
      </w:pPr>
      <w:r w:rsidRPr="003037D2">
        <w:rPr>
          <w:rFonts w:ascii="Garamond" w:eastAsia="Calibri" w:hAnsi="Garamond" w:cs="Arial"/>
          <w:iCs/>
        </w:rPr>
        <w:t xml:space="preserve">Luck, I beseech thee. ‘Good days’, ‘evil days’, ‘June’, ‘July’; speak a good word for me now, and I have her. Let me see, ‘the fifth day, ‘twixt hawk and buzzard; the sixth day, backward and forward’ – that was beastly to me… the eleventh day, against the hair – a pox </w:t>
      </w:r>
      <w:proofErr w:type="spellStart"/>
      <w:r w:rsidRPr="003037D2">
        <w:rPr>
          <w:rFonts w:ascii="Garamond" w:eastAsia="Calibri" w:hAnsi="Garamond" w:cs="Arial"/>
          <w:iCs/>
        </w:rPr>
        <w:t>on’t</w:t>
      </w:r>
      <w:proofErr w:type="spellEnd"/>
      <w:r w:rsidRPr="003037D2">
        <w:rPr>
          <w:rFonts w:ascii="Garamond" w:eastAsia="Calibri" w:hAnsi="Garamond" w:cs="Arial"/>
          <w:iCs/>
        </w:rPr>
        <w:t xml:space="preserve">! Would that hair </w:t>
      </w:r>
      <w:proofErr w:type="gramStart"/>
      <w:r w:rsidRPr="003037D2">
        <w:rPr>
          <w:rFonts w:ascii="Garamond" w:eastAsia="Calibri" w:hAnsi="Garamond" w:cs="Arial"/>
          <w:iCs/>
        </w:rPr>
        <w:t>been</w:t>
      </w:r>
      <w:proofErr w:type="gramEnd"/>
      <w:r w:rsidRPr="003037D2">
        <w:rPr>
          <w:rFonts w:ascii="Garamond" w:eastAsia="Calibri" w:hAnsi="Garamond" w:cs="Arial"/>
          <w:iCs/>
        </w:rPr>
        <w:t xml:space="preserve"> left out – ‘against the hair!’ That hair will go nigh to choke me… Well, I’ll try the fortune of a good face yet, though my almanac </w:t>
      </w:r>
      <w:proofErr w:type="gramStart"/>
      <w:r w:rsidRPr="003037D2">
        <w:rPr>
          <w:rFonts w:ascii="Garamond" w:eastAsia="Calibri" w:hAnsi="Garamond" w:cs="Arial"/>
          <w:iCs/>
        </w:rPr>
        <w:t>leave</w:t>
      </w:r>
      <w:proofErr w:type="gramEnd"/>
      <w:r w:rsidRPr="003037D2">
        <w:rPr>
          <w:rFonts w:ascii="Garamond" w:eastAsia="Calibri" w:hAnsi="Garamond" w:cs="Arial"/>
          <w:iCs/>
        </w:rPr>
        <w:t xml:space="preserve"> me in the sands.</w:t>
      </w:r>
      <w:r w:rsidRPr="003037D2">
        <w:rPr>
          <w:rFonts w:ascii="Garamond" w:eastAsia="Calibri" w:hAnsi="Garamond" w:cs="Arial"/>
          <w:iCs/>
          <w:vertAlign w:val="superscript"/>
        </w:rPr>
        <w:footnoteReference w:id="80"/>
      </w:r>
      <w:r w:rsidRPr="003037D2">
        <w:rPr>
          <w:rFonts w:ascii="Garamond" w:eastAsia="Calibri" w:hAnsi="Garamond" w:cs="Arial"/>
          <w:iCs/>
        </w:rPr>
        <w:t xml:space="preserve"> </w:t>
      </w:r>
    </w:p>
    <w:p w14:paraId="526D612E" w14:textId="77777777" w:rsidR="00162224" w:rsidRPr="003037D2" w:rsidRDefault="00162224" w:rsidP="00162224">
      <w:pPr>
        <w:spacing w:line="360" w:lineRule="auto"/>
        <w:rPr>
          <w:rFonts w:ascii="Garamond" w:eastAsia="Calibri" w:hAnsi="Garamond" w:cs="Arial"/>
        </w:rPr>
      </w:pPr>
      <w:proofErr w:type="spellStart"/>
      <w:r w:rsidRPr="003037D2">
        <w:rPr>
          <w:rFonts w:ascii="Garamond" w:eastAsia="Calibri" w:hAnsi="Garamond" w:cs="Arial"/>
        </w:rPr>
        <w:lastRenderedPageBreak/>
        <w:t>Weatherwise’s</w:t>
      </w:r>
      <w:proofErr w:type="spellEnd"/>
      <w:r w:rsidRPr="003037D2">
        <w:rPr>
          <w:rFonts w:ascii="Garamond" w:eastAsia="Calibri" w:hAnsi="Garamond" w:cs="Arial"/>
        </w:rPr>
        <w:t xml:space="preserve"> quotations are taken from </w:t>
      </w:r>
      <w:proofErr w:type="spellStart"/>
      <w:r w:rsidRPr="003037D2">
        <w:rPr>
          <w:rFonts w:ascii="Garamond" w:eastAsia="Calibri" w:hAnsi="Garamond" w:cs="Arial"/>
        </w:rPr>
        <w:t>Bretnor’s</w:t>
      </w:r>
      <w:proofErr w:type="spellEnd"/>
      <w:r w:rsidRPr="003037D2">
        <w:rPr>
          <w:rFonts w:ascii="Garamond" w:eastAsia="Calibri" w:hAnsi="Garamond" w:cs="Arial"/>
        </w:rPr>
        <w:t xml:space="preserve"> 1611 Almanac, but he interprets the book’s cryptic warnings in a literal manner, mangling the knowledge proffered by the tome. Rebecca Hasler has suggested that what Middleton is lampooning in the character of </w:t>
      </w:r>
      <w:proofErr w:type="spellStart"/>
      <w:r w:rsidRPr="003037D2">
        <w:rPr>
          <w:rFonts w:ascii="Garamond" w:eastAsia="Calibri" w:hAnsi="Garamond" w:cs="Arial"/>
        </w:rPr>
        <w:t>Weatherwise</w:t>
      </w:r>
      <w:proofErr w:type="spellEnd"/>
      <w:r w:rsidRPr="003037D2">
        <w:rPr>
          <w:rFonts w:ascii="Garamond" w:eastAsia="Calibri" w:hAnsi="Garamond" w:cs="Arial"/>
        </w:rPr>
        <w:t xml:space="preserve"> is the danger of astrological knowledge being made overly accessible, rather than astrology itself.</w:t>
      </w:r>
      <w:r w:rsidRPr="003037D2">
        <w:rPr>
          <w:rFonts w:ascii="Garamond" w:eastAsia="Calibri" w:hAnsi="Garamond" w:cs="Arial"/>
          <w:vertAlign w:val="superscript"/>
        </w:rPr>
        <w:footnoteReference w:id="81"/>
      </w:r>
      <w:r w:rsidRPr="003037D2">
        <w:rPr>
          <w:rFonts w:ascii="Garamond" w:eastAsia="Calibri" w:hAnsi="Garamond" w:cs="Arial"/>
        </w:rPr>
        <w:t xml:space="preserve"> </w:t>
      </w:r>
    </w:p>
    <w:p w14:paraId="49360D28" w14:textId="77777777" w:rsidR="00162224" w:rsidRPr="003037D2" w:rsidRDefault="00162224" w:rsidP="00162224">
      <w:pPr>
        <w:spacing w:line="360" w:lineRule="auto"/>
        <w:rPr>
          <w:rFonts w:ascii="Garamond" w:eastAsia="Calibri" w:hAnsi="Garamond" w:cs="Arial"/>
        </w:rPr>
      </w:pPr>
    </w:p>
    <w:p w14:paraId="39A3A381" w14:textId="0BB73784"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t>The almanac form took some time to become established. Early editions contained a variety of material, such as calendars, weather forecasts, medical notes, tables giving prices for cereals and various metals, and lists of ‘good’ and ‘evil’ days.</w:t>
      </w:r>
      <w:r w:rsidRPr="003037D2">
        <w:rPr>
          <w:rFonts w:ascii="Garamond" w:eastAsia="Calibri" w:hAnsi="Garamond" w:cs="Arial"/>
          <w:vertAlign w:val="superscript"/>
        </w:rPr>
        <w:footnoteReference w:id="82"/>
      </w:r>
      <w:r w:rsidRPr="003037D2">
        <w:rPr>
          <w:rFonts w:ascii="Garamond" w:eastAsia="Calibri" w:hAnsi="Garamond" w:cs="Arial"/>
        </w:rPr>
        <w:t xml:space="preserve"> Almanac compilers responded to their audience’s interests, and by the Elizabethan period the almanac had taken on a standardized form. The slim volumes would customarily include a calendar, details of planetary movements and conjunctions, details about the dates for the year’s legal terms, lists of fairs and tide times, the inclusion of a ‘zodiacal man’, and a prognostication for the year with a separate title page.</w:t>
      </w:r>
      <w:r w:rsidRPr="003037D2">
        <w:rPr>
          <w:rFonts w:ascii="Garamond" w:eastAsia="Calibri" w:hAnsi="Garamond" w:cs="Arial"/>
          <w:vertAlign w:val="superscript"/>
        </w:rPr>
        <w:footnoteReference w:id="83"/>
      </w:r>
      <w:r w:rsidRPr="003037D2">
        <w:rPr>
          <w:rFonts w:ascii="Garamond" w:eastAsia="Calibri" w:hAnsi="Garamond" w:cs="Arial"/>
        </w:rPr>
        <w:t xml:space="preserve"> The compilers also </w:t>
      </w:r>
      <w:proofErr w:type="spellStart"/>
      <w:r w:rsidRPr="003037D2">
        <w:rPr>
          <w:rFonts w:ascii="Garamond" w:eastAsia="Calibri" w:hAnsi="Garamond" w:cs="Arial"/>
        </w:rPr>
        <w:t>realised</w:t>
      </w:r>
      <w:proofErr w:type="spellEnd"/>
      <w:r w:rsidRPr="003037D2">
        <w:rPr>
          <w:rFonts w:ascii="Garamond" w:eastAsia="Calibri" w:hAnsi="Garamond" w:cs="Arial"/>
        </w:rPr>
        <w:t xml:space="preserve"> that their buyers wanted</w:t>
      </w:r>
      <w:r w:rsidR="00E522BD" w:rsidRPr="003037D2">
        <w:rPr>
          <w:rFonts w:ascii="Garamond" w:eastAsia="Calibri" w:hAnsi="Garamond" w:cs="Arial"/>
        </w:rPr>
        <w:t xml:space="preserve"> stories</w:t>
      </w:r>
      <w:r w:rsidRPr="003037D2">
        <w:rPr>
          <w:rFonts w:ascii="Garamond" w:eastAsia="Calibri" w:hAnsi="Garamond" w:cs="Arial"/>
        </w:rPr>
        <w:t xml:space="preserve"> </w:t>
      </w:r>
      <w:r w:rsidR="00814479">
        <w:rPr>
          <w:rFonts w:ascii="Garamond" w:eastAsia="Calibri" w:hAnsi="Garamond" w:cs="Arial"/>
        </w:rPr>
        <w:t xml:space="preserve">of </w:t>
      </w:r>
      <w:r w:rsidR="0010251F" w:rsidRPr="003037D2">
        <w:rPr>
          <w:rFonts w:ascii="Garamond" w:eastAsia="Calibri" w:hAnsi="Garamond" w:cs="Arial"/>
        </w:rPr>
        <w:t>personal intrigue</w:t>
      </w:r>
      <w:r w:rsidR="00E522BD" w:rsidRPr="003037D2">
        <w:rPr>
          <w:rFonts w:ascii="Garamond" w:eastAsia="Calibri" w:hAnsi="Garamond" w:cs="Arial"/>
        </w:rPr>
        <w:t xml:space="preserve"> and social strife</w:t>
      </w:r>
      <w:r w:rsidRPr="003037D2">
        <w:rPr>
          <w:rFonts w:ascii="Garamond" w:eastAsia="Calibri" w:hAnsi="Garamond" w:cs="Arial"/>
        </w:rPr>
        <w:t xml:space="preserve">. Between 1640 and 1700, a period Capp terms ‘the Golden Age of English Almanacs’, almanac makers such as William Lilly became </w:t>
      </w:r>
      <w:proofErr w:type="gramStart"/>
      <w:r w:rsidRPr="003037D2">
        <w:rPr>
          <w:rFonts w:ascii="Garamond" w:eastAsia="Calibri" w:hAnsi="Garamond" w:cs="Arial"/>
        </w:rPr>
        <w:t>celebrities in their own right</w:t>
      </w:r>
      <w:proofErr w:type="gramEnd"/>
      <w:r w:rsidRPr="003037D2">
        <w:rPr>
          <w:rFonts w:ascii="Garamond" w:eastAsia="Calibri" w:hAnsi="Garamond" w:cs="Arial"/>
        </w:rPr>
        <w:t>. Lilly was potentially the most famous astrologer of the time, and indeed one of the most famous men in England. Capp suggests that, after the King, his would have been the best-known face in the country as his portrait was printed on the frontispiece of each of the thousands of copies of his almanacs sold every year for over four decades.</w:t>
      </w:r>
      <w:r w:rsidRPr="003037D2">
        <w:rPr>
          <w:rFonts w:ascii="Garamond" w:eastAsia="Calibri" w:hAnsi="Garamond" w:cs="Arial"/>
          <w:vertAlign w:val="superscript"/>
        </w:rPr>
        <w:footnoteReference w:id="84"/>
      </w:r>
      <w:r w:rsidRPr="003037D2">
        <w:rPr>
          <w:rFonts w:ascii="Garamond" w:eastAsia="Calibri" w:hAnsi="Garamond" w:cs="Arial"/>
        </w:rPr>
        <w:t xml:space="preserve"> Lilly’s ‘political predications brought him overnight celebrity’, with his first almanac published in 1644 selling out within  a week.</w:t>
      </w:r>
      <w:r w:rsidRPr="003037D2">
        <w:rPr>
          <w:rFonts w:ascii="Garamond" w:eastAsia="Calibri" w:hAnsi="Garamond" w:cs="Arial"/>
          <w:vertAlign w:val="superscript"/>
        </w:rPr>
        <w:footnoteReference w:id="85"/>
      </w:r>
      <w:r w:rsidRPr="003037D2">
        <w:rPr>
          <w:rFonts w:ascii="Garamond" w:eastAsia="Calibri" w:hAnsi="Garamond" w:cs="Arial"/>
        </w:rPr>
        <w:t xml:space="preserve"> His notes often revealed his political leanings, as can be seen in the January poem in his 1648 Almanac: ‘the </w:t>
      </w:r>
      <w:proofErr w:type="spellStart"/>
      <w:r w:rsidRPr="003037D2">
        <w:rPr>
          <w:rFonts w:ascii="Garamond" w:eastAsia="Calibri" w:hAnsi="Garamond" w:cs="Arial"/>
          <w:i/>
        </w:rPr>
        <w:t>souldier</w:t>
      </w:r>
      <w:proofErr w:type="spellEnd"/>
      <w:r w:rsidRPr="003037D2">
        <w:rPr>
          <w:rFonts w:ascii="Garamond" w:eastAsia="Calibri" w:hAnsi="Garamond" w:cs="Arial"/>
          <w:i/>
        </w:rPr>
        <w:t xml:space="preserve"> </w:t>
      </w:r>
      <w:proofErr w:type="spellStart"/>
      <w:r w:rsidRPr="003037D2">
        <w:rPr>
          <w:rFonts w:ascii="Garamond" w:eastAsia="Calibri" w:hAnsi="Garamond" w:cs="Arial"/>
        </w:rPr>
        <w:t>cryes</w:t>
      </w:r>
      <w:proofErr w:type="spellEnd"/>
      <w:r w:rsidRPr="003037D2">
        <w:rPr>
          <w:rFonts w:ascii="Garamond" w:eastAsia="Calibri" w:hAnsi="Garamond" w:cs="Arial"/>
        </w:rPr>
        <w:t xml:space="preserve"> out for his pay… Many are the </w:t>
      </w:r>
      <w:r w:rsidRPr="003037D2">
        <w:rPr>
          <w:rFonts w:ascii="Garamond" w:eastAsia="Calibri" w:hAnsi="Garamond" w:cs="Arial"/>
          <w:i/>
        </w:rPr>
        <w:t xml:space="preserve">Petitions </w:t>
      </w:r>
      <w:r w:rsidRPr="003037D2">
        <w:rPr>
          <w:rFonts w:ascii="Garamond" w:eastAsia="Calibri" w:hAnsi="Garamond" w:cs="Arial"/>
        </w:rPr>
        <w:t xml:space="preserve">presented this Month; would God the </w:t>
      </w:r>
      <w:proofErr w:type="spellStart"/>
      <w:r w:rsidRPr="003037D2">
        <w:rPr>
          <w:rFonts w:ascii="Garamond" w:eastAsia="Calibri" w:hAnsi="Garamond" w:cs="Arial"/>
          <w:i/>
        </w:rPr>
        <w:t>Parlia</w:t>
      </w:r>
      <w:proofErr w:type="spellEnd"/>
      <w:r w:rsidRPr="003037D2">
        <w:rPr>
          <w:rFonts w:ascii="Garamond" w:eastAsia="Calibri" w:hAnsi="Garamond" w:cs="Arial"/>
          <w:i/>
        </w:rPr>
        <w:t>[</w:t>
      </w:r>
      <w:proofErr w:type="spellStart"/>
      <w:r w:rsidRPr="003037D2">
        <w:rPr>
          <w:rFonts w:ascii="Garamond" w:eastAsia="Calibri" w:hAnsi="Garamond" w:cs="Arial"/>
          <w:i/>
        </w:rPr>
        <w:t>ment</w:t>
      </w:r>
      <w:proofErr w:type="spellEnd"/>
      <w:r w:rsidRPr="003037D2">
        <w:rPr>
          <w:rFonts w:ascii="Garamond" w:eastAsia="Calibri" w:hAnsi="Garamond" w:cs="Arial"/>
          <w:i/>
        </w:rPr>
        <w:t xml:space="preserve">] </w:t>
      </w:r>
      <w:r w:rsidRPr="003037D2">
        <w:rPr>
          <w:rFonts w:ascii="Garamond" w:eastAsia="Calibri" w:hAnsi="Garamond" w:cs="Arial"/>
        </w:rPr>
        <w:t xml:space="preserve">had Treasure to satisfy </w:t>
      </w:r>
      <w:proofErr w:type="spellStart"/>
      <w:proofErr w:type="gramStart"/>
      <w:r w:rsidRPr="003037D2">
        <w:rPr>
          <w:rFonts w:ascii="Garamond" w:eastAsia="Calibri" w:hAnsi="Garamond" w:cs="Arial"/>
        </w:rPr>
        <w:t>every one</w:t>
      </w:r>
      <w:proofErr w:type="spellEnd"/>
      <w:proofErr w:type="gramEnd"/>
      <w:r w:rsidRPr="003037D2">
        <w:rPr>
          <w:rFonts w:ascii="Garamond" w:eastAsia="Calibri" w:hAnsi="Garamond" w:cs="Arial"/>
        </w:rPr>
        <w:t>’.</w:t>
      </w:r>
      <w:r w:rsidRPr="003037D2">
        <w:rPr>
          <w:rFonts w:ascii="Garamond" w:eastAsia="Calibri" w:hAnsi="Garamond" w:cs="Arial"/>
          <w:vertAlign w:val="superscript"/>
        </w:rPr>
        <w:footnoteReference w:id="86"/>
      </w:r>
      <w:r w:rsidRPr="003037D2">
        <w:rPr>
          <w:rFonts w:ascii="Garamond" w:eastAsia="Calibri" w:hAnsi="Garamond" w:cs="Arial"/>
        </w:rPr>
        <w:t xml:space="preserve"> Personal feuds were played out in the pages of almanacs, with compilers not only attacking the astrology of their competitors, but also launching ad hominem assaults. John Partridge was particularly vicious, asserting that his rival John </w:t>
      </w:r>
      <w:proofErr w:type="spellStart"/>
      <w:r w:rsidRPr="003037D2">
        <w:rPr>
          <w:rFonts w:ascii="Garamond" w:eastAsia="Calibri" w:hAnsi="Garamond" w:cs="Arial"/>
        </w:rPr>
        <w:t>Gadbury</w:t>
      </w:r>
      <w:proofErr w:type="spellEnd"/>
      <w:r w:rsidRPr="003037D2">
        <w:rPr>
          <w:rFonts w:ascii="Garamond" w:eastAsia="Calibri" w:hAnsi="Garamond" w:cs="Arial"/>
        </w:rPr>
        <w:t xml:space="preserve"> had committed adultery with a married woman, and then had </w:t>
      </w:r>
      <w:r w:rsidRPr="003037D2">
        <w:rPr>
          <w:rFonts w:ascii="Garamond" w:eastAsia="Calibri" w:hAnsi="Garamond" w:cs="Arial"/>
        </w:rPr>
        <w:lastRenderedPageBreak/>
        <w:t>her husband killed, and that another astrologer had physically abused his wife, then driven her onto the streets in order to instate his mistress in his home.</w:t>
      </w:r>
      <w:r w:rsidRPr="003037D2">
        <w:rPr>
          <w:rFonts w:ascii="Garamond" w:eastAsia="Calibri" w:hAnsi="Garamond" w:cs="Arial"/>
          <w:vertAlign w:val="superscript"/>
        </w:rPr>
        <w:footnoteReference w:id="87"/>
      </w:r>
      <w:r w:rsidRPr="003037D2">
        <w:rPr>
          <w:rFonts w:ascii="Garamond" w:eastAsia="Calibri" w:hAnsi="Garamond" w:cs="Arial"/>
        </w:rPr>
        <w:t xml:space="preserve"> These feuds, however, were secondary to the almanac’s main role as a plan for the year ahead, and a summary of times past via the inclusion of a chronology. </w:t>
      </w:r>
    </w:p>
    <w:p w14:paraId="55C45BE3" w14:textId="77777777" w:rsidR="00162224" w:rsidRPr="003037D2" w:rsidRDefault="00162224" w:rsidP="00162224">
      <w:pPr>
        <w:spacing w:line="360" w:lineRule="auto"/>
        <w:ind w:firstLine="720"/>
        <w:rPr>
          <w:rFonts w:ascii="Garamond" w:eastAsia="Calibri" w:hAnsi="Garamond" w:cs="Arial"/>
        </w:rPr>
      </w:pPr>
    </w:p>
    <w:p w14:paraId="6905ED01" w14:textId="77777777"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t xml:space="preserve">The almanac also began to develop a secondary role as a diary, with compilers </w:t>
      </w:r>
      <w:proofErr w:type="spellStart"/>
      <w:r w:rsidRPr="003037D2">
        <w:rPr>
          <w:rFonts w:ascii="Garamond" w:eastAsia="Calibri" w:hAnsi="Garamond" w:cs="Arial"/>
        </w:rPr>
        <w:t>realising</w:t>
      </w:r>
      <w:proofErr w:type="spellEnd"/>
      <w:r w:rsidRPr="003037D2">
        <w:rPr>
          <w:rFonts w:ascii="Garamond" w:eastAsia="Calibri" w:hAnsi="Garamond" w:cs="Arial"/>
        </w:rPr>
        <w:t xml:space="preserve"> that buyers often interleaved their copies with blank pages and so producing interleaved copies for sale.  As Adam Smyth argues ‘[t]his in turn provides a suggestive model for the reader-text-printer dynamic: the printed almanac… reorganized its material form in response to new modes of reading’.</w:t>
      </w:r>
      <w:r w:rsidRPr="003037D2">
        <w:rPr>
          <w:rFonts w:ascii="Garamond" w:eastAsia="Calibri" w:hAnsi="Garamond" w:cs="Arial"/>
          <w:vertAlign w:val="superscript"/>
        </w:rPr>
        <w:footnoteReference w:id="88"/>
      </w:r>
      <w:r w:rsidRPr="003037D2">
        <w:rPr>
          <w:rFonts w:ascii="Garamond" w:eastAsia="Calibri" w:hAnsi="Garamond" w:cs="Arial"/>
        </w:rPr>
        <w:t xml:space="preserve"> Almanacs interleaved with pages like this for personal notes became known as blanks, the synecdoche suggesting that this was their defining feature, and the key to their popularity. As Smyth points out, it is evocative that ‘the best-selling form of the period’ was named for its absences, its readiness for change and propensity to </w:t>
      </w:r>
      <w:proofErr w:type="spellStart"/>
      <w:r w:rsidRPr="003037D2">
        <w:rPr>
          <w:rFonts w:ascii="Garamond" w:eastAsia="Calibri" w:hAnsi="Garamond" w:cs="Arial"/>
        </w:rPr>
        <w:t>personalisation</w:t>
      </w:r>
      <w:proofErr w:type="spellEnd"/>
      <w:r w:rsidRPr="003037D2">
        <w:rPr>
          <w:rFonts w:ascii="Garamond" w:eastAsia="Calibri" w:hAnsi="Garamond" w:cs="Arial"/>
        </w:rPr>
        <w:t>.</w:t>
      </w:r>
      <w:r w:rsidRPr="003037D2">
        <w:rPr>
          <w:rFonts w:ascii="Garamond" w:eastAsia="Calibri" w:hAnsi="Garamond" w:cs="Arial"/>
          <w:vertAlign w:val="superscript"/>
        </w:rPr>
        <w:footnoteReference w:id="89"/>
      </w:r>
      <w:r w:rsidRPr="003037D2">
        <w:rPr>
          <w:rFonts w:ascii="Garamond" w:eastAsia="Calibri" w:hAnsi="Garamond" w:cs="Arial"/>
        </w:rPr>
        <w:t xml:space="preserve"> I will later examine how readers materially reorganized the printed almanacs to their own aims, however in this section I examine the ‘reader-text-printer’ model in the opposite direction, considering how the form of the printed almanac may have impacted the way in which readers thought about time. This draws upon work done by Walter Ong and Elizabeth Eisenstein, who have made convincing arguments that the visual </w:t>
      </w:r>
      <w:proofErr w:type="spellStart"/>
      <w:r w:rsidRPr="003037D2">
        <w:rPr>
          <w:rFonts w:ascii="Garamond" w:eastAsia="Calibri" w:hAnsi="Garamond" w:cs="Arial"/>
        </w:rPr>
        <w:t>organisation</w:t>
      </w:r>
      <w:proofErr w:type="spellEnd"/>
      <w:r w:rsidRPr="003037D2">
        <w:rPr>
          <w:rFonts w:ascii="Garamond" w:eastAsia="Calibri" w:hAnsi="Garamond" w:cs="Arial"/>
        </w:rPr>
        <w:t xml:space="preserve"> of knowledge into diagrams critically shaped the way in which people understand both the world and their own frameworks of thought. Eisenstein argues that this was one of the primary results of the advent of the printing press, as this new technology made diagrams easily replicable and standardized. She describes how the explosion in printed matter led to ‘more precise and uniform standards’, arguing that ‘[o]</w:t>
      </w:r>
      <w:proofErr w:type="spellStart"/>
      <w:r w:rsidRPr="003037D2">
        <w:rPr>
          <w:rFonts w:ascii="Garamond" w:eastAsia="Calibri" w:hAnsi="Garamond" w:cs="Arial"/>
        </w:rPr>
        <w:t>bservation</w:t>
      </w:r>
      <w:proofErr w:type="spellEnd"/>
      <w:r w:rsidRPr="003037D2">
        <w:rPr>
          <w:rFonts w:ascii="Garamond" w:eastAsia="Calibri" w:hAnsi="Garamond" w:cs="Arial"/>
        </w:rPr>
        <w:t xml:space="preserve"> and measurement became more precise when man ceased to be the literal measure of things; when tables, and charts and detailed records could be exactly reproduced and drawings to scale did not blur or smudge over time’.</w:t>
      </w:r>
      <w:r w:rsidRPr="003037D2">
        <w:rPr>
          <w:rFonts w:ascii="Garamond" w:eastAsia="Calibri" w:hAnsi="Garamond" w:cs="Arial"/>
          <w:vertAlign w:val="superscript"/>
        </w:rPr>
        <w:footnoteReference w:id="90"/>
      </w:r>
      <w:r w:rsidRPr="003037D2">
        <w:rPr>
          <w:rFonts w:ascii="Garamond" w:eastAsia="Calibri" w:hAnsi="Garamond" w:cs="Arial"/>
        </w:rPr>
        <w:t xml:space="preserve"> In Eisenstein’s construction, knowledge moved from being embedded in the human body, when ships and fields were measured by hands and paces – the closest thing to universal common units available – to being embodied within texts. Although with the scientific revolution the </w:t>
      </w:r>
      <w:r w:rsidRPr="003037D2">
        <w:rPr>
          <w:rFonts w:ascii="Garamond" w:eastAsia="Calibri" w:hAnsi="Garamond" w:cs="Arial"/>
        </w:rPr>
        <w:lastRenderedPageBreak/>
        <w:t xml:space="preserve">responsibility for finding the truth was increasingly placed on direct observation, this information then had to move away from the human and the body and be recorded in the corpus of a book. In the case of the almanac, what is being made visible is the passage of time and the movements of the heavens. </w:t>
      </w:r>
    </w:p>
    <w:p w14:paraId="23621B87" w14:textId="77777777" w:rsidR="00162224" w:rsidRPr="003037D2" w:rsidRDefault="00162224" w:rsidP="00162224">
      <w:pPr>
        <w:spacing w:line="360" w:lineRule="auto"/>
        <w:ind w:firstLine="720"/>
        <w:rPr>
          <w:rFonts w:ascii="Garamond" w:eastAsia="Calibri" w:hAnsi="Garamond" w:cs="Arial"/>
        </w:rPr>
      </w:pPr>
    </w:p>
    <w:p w14:paraId="05C6CD8F" w14:textId="5D8339AE" w:rsidR="00162224" w:rsidRPr="003037D2" w:rsidRDefault="00162224" w:rsidP="00162224">
      <w:pPr>
        <w:spacing w:line="360" w:lineRule="auto"/>
        <w:ind w:firstLine="567"/>
        <w:rPr>
          <w:rFonts w:ascii="Garamond" w:eastAsia="Calibri" w:hAnsi="Garamond" w:cs="Arial"/>
        </w:rPr>
      </w:pPr>
      <w:r w:rsidRPr="003037D2">
        <w:rPr>
          <w:rFonts w:ascii="Garamond" w:eastAsia="Calibri" w:hAnsi="Garamond" w:cs="Arial"/>
        </w:rPr>
        <w:t>One of the earliest examples of the ‘blank’ form of almanac was T.H.</w:t>
      </w:r>
      <w:r w:rsidR="00531ACA" w:rsidRPr="003037D2">
        <w:rPr>
          <w:rFonts w:ascii="Garamond" w:eastAsia="Calibri" w:hAnsi="Garamond" w:cs="Arial"/>
        </w:rPr>
        <w:t xml:space="preserve">’s </w:t>
      </w:r>
      <w:r w:rsidRPr="003037D2">
        <w:rPr>
          <w:rFonts w:ascii="Garamond" w:eastAsia="Calibri" w:hAnsi="Garamond" w:cs="Arial"/>
          <w:i/>
        </w:rPr>
        <w:t xml:space="preserve">An Almanack published at large, in </w:t>
      </w:r>
      <w:proofErr w:type="spellStart"/>
      <w:r w:rsidRPr="003037D2">
        <w:rPr>
          <w:rFonts w:ascii="Garamond" w:eastAsia="Calibri" w:hAnsi="Garamond" w:cs="Arial"/>
          <w:i/>
        </w:rPr>
        <w:t>forme</w:t>
      </w:r>
      <w:proofErr w:type="spellEnd"/>
      <w:r w:rsidRPr="003037D2">
        <w:rPr>
          <w:rFonts w:ascii="Garamond" w:eastAsia="Calibri" w:hAnsi="Garamond" w:cs="Arial"/>
          <w:i/>
        </w:rPr>
        <w:t xml:space="preserve"> of a </w:t>
      </w:r>
      <w:proofErr w:type="spellStart"/>
      <w:r w:rsidRPr="003037D2">
        <w:rPr>
          <w:rFonts w:ascii="Garamond" w:eastAsia="Calibri" w:hAnsi="Garamond" w:cs="Arial"/>
          <w:i/>
        </w:rPr>
        <w:t>Booke</w:t>
      </w:r>
      <w:proofErr w:type="spellEnd"/>
      <w:r w:rsidRPr="003037D2">
        <w:rPr>
          <w:rFonts w:ascii="Garamond" w:eastAsia="Calibri" w:hAnsi="Garamond" w:cs="Arial"/>
          <w:i/>
        </w:rPr>
        <w:t xml:space="preserve"> of </w:t>
      </w:r>
      <w:proofErr w:type="spellStart"/>
      <w:r w:rsidRPr="003037D2">
        <w:rPr>
          <w:rFonts w:ascii="Garamond" w:eastAsia="Calibri" w:hAnsi="Garamond" w:cs="Arial"/>
          <w:i/>
        </w:rPr>
        <w:t>Memorie</w:t>
      </w:r>
      <w:proofErr w:type="spellEnd"/>
      <w:r w:rsidR="00531ACA" w:rsidRPr="003037D2">
        <w:rPr>
          <w:rFonts w:ascii="Garamond" w:eastAsia="Calibri" w:hAnsi="Garamond" w:cs="Arial"/>
          <w:i/>
        </w:rPr>
        <w:t xml:space="preserve"> </w:t>
      </w:r>
      <w:r w:rsidR="00531ACA" w:rsidRPr="003037D2">
        <w:rPr>
          <w:rFonts w:ascii="Garamond" w:eastAsia="Calibri" w:hAnsi="Garamond" w:cs="Arial"/>
        </w:rPr>
        <w:t>(1571)</w:t>
      </w:r>
      <w:r w:rsidRPr="003037D2">
        <w:rPr>
          <w:rFonts w:ascii="Garamond" w:eastAsia="Calibri" w:hAnsi="Garamond" w:cs="Arial"/>
          <w:i/>
        </w:rPr>
        <w:t xml:space="preserve">, </w:t>
      </w:r>
      <w:r w:rsidRPr="003037D2">
        <w:rPr>
          <w:rFonts w:ascii="Garamond" w:eastAsia="Calibri" w:hAnsi="Garamond" w:cs="Arial"/>
        </w:rPr>
        <w:t>interleaved with blank pages to encourage owners to jot down their thoughts, appointments, and finances.</w:t>
      </w:r>
      <w:r w:rsidRPr="003037D2">
        <w:rPr>
          <w:rFonts w:ascii="Garamond" w:eastAsia="Calibri" w:hAnsi="Garamond" w:cs="Arial"/>
          <w:vertAlign w:val="superscript"/>
        </w:rPr>
        <w:footnoteReference w:id="91"/>
      </w:r>
      <w:r w:rsidRPr="003037D2">
        <w:rPr>
          <w:rFonts w:ascii="Garamond" w:eastAsia="Calibri" w:hAnsi="Garamond" w:cs="Arial"/>
        </w:rPr>
        <w:t xml:space="preserve"> This T.H. was Thomas Hill, a writer and translator who described himself as an autodidact, ‘</w:t>
      </w:r>
      <w:proofErr w:type="spellStart"/>
      <w:r w:rsidRPr="003037D2">
        <w:rPr>
          <w:rFonts w:ascii="Garamond" w:eastAsia="Calibri" w:hAnsi="Garamond" w:cs="Arial"/>
        </w:rPr>
        <w:t>alwayes</w:t>
      </w:r>
      <w:proofErr w:type="spellEnd"/>
      <w:r w:rsidRPr="003037D2">
        <w:rPr>
          <w:rFonts w:ascii="Garamond" w:eastAsia="Calibri" w:hAnsi="Garamond" w:cs="Arial"/>
        </w:rPr>
        <w:t xml:space="preserve"> rudely taught, </w:t>
      </w:r>
      <w:proofErr w:type="spellStart"/>
      <w:r w:rsidRPr="003037D2">
        <w:rPr>
          <w:rFonts w:ascii="Garamond" w:eastAsia="Calibri" w:hAnsi="Garamond" w:cs="Arial"/>
        </w:rPr>
        <w:t>amonge</w:t>
      </w:r>
      <w:proofErr w:type="spellEnd"/>
      <w:r w:rsidRPr="003037D2">
        <w:rPr>
          <w:rFonts w:ascii="Garamond" w:eastAsia="Calibri" w:hAnsi="Garamond" w:cs="Arial"/>
        </w:rPr>
        <w:t xml:space="preserve"> the </w:t>
      </w:r>
      <w:proofErr w:type="spellStart"/>
      <w:r w:rsidRPr="003037D2">
        <w:rPr>
          <w:rFonts w:ascii="Garamond" w:eastAsia="Calibri" w:hAnsi="Garamond" w:cs="Arial"/>
        </w:rPr>
        <w:t>Smythes</w:t>
      </w:r>
      <w:proofErr w:type="spellEnd"/>
      <w:r w:rsidRPr="003037D2">
        <w:rPr>
          <w:rFonts w:ascii="Garamond" w:eastAsia="Calibri" w:hAnsi="Garamond" w:cs="Arial"/>
        </w:rPr>
        <w:t xml:space="preserve"> of </w:t>
      </w:r>
      <w:proofErr w:type="spellStart"/>
      <w:r w:rsidRPr="003037D2">
        <w:rPr>
          <w:rFonts w:ascii="Garamond" w:eastAsia="Calibri" w:hAnsi="Garamond" w:cs="Arial"/>
        </w:rPr>
        <w:t>Vulcanus</w:t>
      </w:r>
      <w:proofErr w:type="spellEnd"/>
      <w:r w:rsidRPr="003037D2">
        <w:rPr>
          <w:rFonts w:ascii="Garamond" w:eastAsia="Calibri" w:hAnsi="Garamond" w:cs="Arial"/>
        </w:rPr>
        <w:t xml:space="preserve"> forge’.</w:t>
      </w:r>
      <w:r w:rsidRPr="003037D2">
        <w:rPr>
          <w:rFonts w:ascii="Garamond" w:eastAsia="Calibri" w:hAnsi="Garamond" w:cs="Arial"/>
          <w:vertAlign w:val="superscript"/>
        </w:rPr>
        <w:footnoteReference w:id="92"/>
      </w:r>
      <w:r w:rsidRPr="003037D2">
        <w:rPr>
          <w:rFonts w:ascii="Garamond" w:eastAsia="Calibri" w:hAnsi="Garamond" w:cs="Arial"/>
        </w:rPr>
        <w:t xml:space="preserve"> Hill was well versed in Latin and Italian, and translated a variety of popular books on science and the supernatural. He also produced a sequence of at least nine almanacs, making him one of the earliest English makers of such a series. In 1560, he was described as a leading almanac maker, ‘both </w:t>
      </w:r>
      <w:proofErr w:type="spellStart"/>
      <w:r w:rsidRPr="003037D2">
        <w:rPr>
          <w:rFonts w:ascii="Garamond" w:eastAsia="Calibri" w:hAnsi="Garamond" w:cs="Arial"/>
        </w:rPr>
        <w:t>learnd</w:t>
      </w:r>
      <w:proofErr w:type="spellEnd"/>
      <w:r w:rsidRPr="003037D2">
        <w:rPr>
          <w:rFonts w:ascii="Garamond" w:eastAsia="Calibri" w:hAnsi="Garamond" w:cs="Arial"/>
        </w:rPr>
        <w:t xml:space="preserve"> and honest’.</w:t>
      </w:r>
      <w:r w:rsidRPr="003037D2">
        <w:rPr>
          <w:rFonts w:ascii="Garamond" w:eastAsia="Calibri" w:hAnsi="Garamond" w:cs="Arial"/>
          <w:vertAlign w:val="superscript"/>
        </w:rPr>
        <w:footnoteReference w:id="93"/>
      </w:r>
      <w:r w:rsidRPr="003037D2">
        <w:rPr>
          <w:rFonts w:ascii="Garamond" w:eastAsia="Calibri" w:hAnsi="Garamond" w:cs="Arial"/>
        </w:rPr>
        <w:t xml:space="preserve"> A page headed ‘The Contents’ in the </w:t>
      </w:r>
      <w:proofErr w:type="spellStart"/>
      <w:r w:rsidRPr="003037D2">
        <w:rPr>
          <w:rFonts w:ascii="Garamond" w:eastAsia="Calibri" w:hAnsi="Garamond" w:cs="Arial"/>
          <w:i/>
        </w:rPr>
        <w:t>Booke</w:t>
      </w:r>
      <w:proofErr w:type="spellEnd"/>
      <w:r w:rsidRPr="003037D2">
        <w:rPr>
          <w:rFonts w:ascii="Garamond" w:eastAsia="Calibri" w:hAnsi="Garamond" w:cs="Arial"/>
          <w:i/>
        </w:rPr>
        <w:t xml:space="preserve"> of </w:t>
      </w:r>
      <w:proofErr w:type="spellStart"/>
      <w:r w:rsidRPr="003037D2">
        <w:rPr>
          <w:rFonts w:ascii="Garamond" w:eastAsia="Calibri" w:hAnsi="Garamond" w:cs="Arial"/>
          <w:i/>
        </w:rPr>
        <w:t>Memorie</w:t>
      </w:r>
      <w:proofErr w:type="spellEnd"/>
      <w:r w:rsidRPr="003037D2">
        <w:rPr>
          <w:rFonts w:ascii="Garamond" w:eastAsia="Calibri" w:hAnsi="Garamond" w:cs="Arial"/>
          <w:i/>
        </w:rPr>
        <w:t xml:space="preserve"> </w:t>
      </w:r>
      <w:r w:rsidRPr="003037D2">
        <w:rPr>
          <w:rFonts w:ascii="Garamond" w:eastAsia="Calibri" w:hAnsi="Garamond" w:cs="Arial"/>
        </w:rPr>
        <w:t xml:space="preserve">makes clear the way in which time and the physical form of the book are linked. In some ways the leaf functions like a contents page, setting out the order in which certain items appear in the book: </w:t>
      </w:r>
    </w:p>
    <w:p w14:paraId="46E20FE7" w14:textId="77777777" w:rsidR="00162224" w:rsidRPr="003037D2" w:rsidRDefault="00162224" w:rsidP="002F1250">
      <w:pPr>
        <w:ind w:left="737" w:right="567"/>
        <w:rPr>
          <w:rFonts w:ascii="Garamond" w:eastAsia="Calibri" w:hAnsi="Garamond" w:cs="Arial"/>
        </w:rPr>
      </w:pPr>
      <w:r w:rsidRPr="003037D2">
        <w:rPr>
          <w:rFonts w:ascii="Garamond" w:eastAsia="Calibri" w:hAnsi="Garamond" w:cs="Arial"/>
        </w:rPr>
        <w:t xml:space="preserve">The </w:t>
      </w:r>
      <w:proofErr w:type="spellStart"/>
      <w:r w:rsidRPr="003037D2">
        <w:rPr>
          <w:rFonts w:ascii="Garamond" w:eastAsia="Calibri" w:hAnsi="Garamond" w:cs="Arial"/>
        </w:rPr>
        <w:t>discription</w:t>
      </w:r>
      <w:proofErr w:type="spellEnd"/>
      <w:r w:rsidRPr="003037D2">
        <w:rPr>
          <w:rFonts w:ascii="Garamond" w:eastAsia="Calibri" w:hAnsi="Garamond" w:cs="Arial"/>
        </w:rPr>
        <w:t xml:space="preserve"> of the seven Planets…</w:t>
      </w:r>
    </w:p>
    <w:p w14:paraId="6988E296" w14:textId="77777777" w:rsidR="00162224" w:rsidRPr="003037D2" w:rsidRDefault="00162224" w:rsidP="002F1250">
      <w:pPr>
        <w:ind w:left="737" w:right="567"/>
        <w:rPr>
          <w:rFonts w:ascii="Garamond" w:eastAsia="Calibri" w:hAnsi="Garamond" w:cs="Arial"/>
        </w:rPr>
      </w:pPr>
      <w:r w:rsidRPr="003037D2">
        <w:rPr>
          <w:rFonts w:ascii="Garamond" w:eastAsia="Calibri" w:hAnsi="Garamond" w:cs="Arial"/>
        </w:rPr>
        <w:t xml:space="preserve">The </w:t>
      </w:r>
      <w:proofErr w:type="spellStart"/>
      <w:r w:rsidRPr="003037D2">
        <w:rPr>
          <w:rFonts w:ascii="Garamond" w:eastAsia="Calibri" w:hAnsi="Garamond" w:cs="Arial"/>
        </w:rPr>
        <w:t>discription</w:t>
      </w:r>
      <w:proofErr w:type="spellEnd"/>
      <w:r w:rsidRPr="003037D2">
        <w:rPr>
          <w:rFonts w:ascii="Garamond" w:eastAsia="Calibri" w:hAnsi="Garamond" w:cs="Arial"/>
        </w:rPr>
        <w:t xml:space="preserve"> also of the twelve </w:t>
      </w:r>
      <w:proofErr w:type="spellStart"/>
      <w:r w:rsidRPr="003037D2">
        <w:rPr>
          <w:rFonts w:ascii="Garamond" w:eastAsia="Calibri" w:hAnsi="Garamond" w:cs="Arial"/>
        </w:rPr>
        <w:t>signes</w:t>
      </w:r>
      <w:proofErr w:type="spellEnd"/>
      <w:r w:rsidRPr="003037D2">
        <w:rPr>
          <w:rFonts w:ascii="Garamond" w:eastAsia="Calibri" w:hAnsi="Garamond" w:cs="Arial"/>
        </w:rPr>
        <w:t xml:space="preserve">, </w:t>
      </w:r>
      <w:proofErr w:type="spellStart"/>
      <w:r w:rsidRPr="003037D2">
        <w:rPr>
          <w:rFonts w:ascii="Garamond" w:eastAsia="Calibri" w:hAnsi="Garamond" w:cs="Arial"/>
        </w:rPr>
        <w:t>howe</w:t>
      </w:r>
      <w:proofErr w:type="spellEnd"/>
      <w:r w:rsidRPr="003037D2">
        <w:rPr>
          <w:rFonts w:ascii="Garamond" w:eastAsia="Calibri" w:hAnsi="Garamond" w:cs="Arial"/>
        </w:rPr>
        <w:t xml:space="preserve"> </w:t>
      </w:r>
      <w:proofErr w:type="spellStart"/>
      <w:r w:rsidRPr="003037D2">
        <w:rPr>
          <w:rFonts w:ascii="Garamond" w:eastAsia="Calibri" w:hAnsi="Garamond" w:cs="Arial"/>
        </w:rPr>
        <w:t>everye</w:t>
      </w:r>
      <w:proofErr w:type="spellEnd"/>
      <w:r w:rsidRPr="003037D2">
        <w:rPr>
          <w:rFonts w:ascii="Garamond" w:eastAsia="Calibri" w:hAnsi="Garamond" w:cs="Arial"/>
        </w:rPr>
        <w:t xml:space="preserve"> one hath his dominion in man… </w:t>
      </w:r>
    </w:p>
    <w:p w14:paraId="4369943F" w14:textId="77777777" w:rsidR="00162224" w:rsidRPr="003037D2" w:rsidRDefault="00162224" w:rsidP="002F1250">
      <w:pPr>
        <w:ind w:left="737" w:right="567"/>
        <w:rPr>
          <w:rFonts w:ascii="Garamond" w:eastAsia="Calibri" w:hAnsi="Garamond" w:cs="Arial"/>
        </w:rPr>
      </w:pPr>
      <w:proofErr w:type="gramStart"/>
      <w:r w:rsidRPr="003037D2">
        <w:rPr>
          <w:rFonts w:ascii="Garamond" w:eastAsia="Calibri" w:hAnsi="Garamond" w:cs="Arial"/>
        </w:rPr>
        <w:t>Also</w:t>
      </w:r>
      <w:proofErr w:type="gramEnd"/>
      <w:r w:rsidRPr="003037D2">
        <w:rPr>
          <w:rFonts w:ascii="Garamond" w:eastAsia="Calibri" w:hAnsi="Garamond" w:cs="Arial"/>
        </w:rPr>
        <w:t xml:space="preserve"> a Table </w:t>
      </w:r>
      <w:proofErr w:type="spellStart"/>
      <w:r w:rsidRPr="003037D2">
        <w:rPr>
          <w:rFonts w:ascii="Garamond" w:eastAsia="Calibri" w:hAnsi="Garamond" w:cs="Arial"/>
        </w:rPr>
        <w:t>briefely</w:t>
      </w:r>
      <w:proofErr w:type="spellEnd"/>
      <w:r w:rsidRPr="003037D2">
        <w:rPr>
          <w:rFonts w:ascii="Garamond" w:eastAsia="Calibri" w:hAnsi="Garamond" w:cs="Arial"/>
        </w:rPr>
        <w:t xml:space="preserve"> declaring the </w:t>
      </w:r>
      <w:proofErr w:type="spellStart"/>
      <w:r w:rsidRPr="003037D2">
        <w:rPr>
          <w:rFonts w:ascii="Garamond" w:eastAsia="Calibri" w:hAnsi="Garamond" w:cs="Arial"/>
        </w:rPr>
        <w:t>aptest</w:t>
      </w:r>
      <w:proofErr w:type="spellEnd"/>
      <w:r w:rsidRPr="003037D2">
        <w:rPr>
          <w:rFonts w:ascii="Garamond" w:eastAsia="Calibri" w:hAnsi="Garamond" w:cs="Arial"/>
        </w:rPr>
        <w:t xml:space="preserve"> </w:t>
      </w:r>
      <w:proofErr w:type="spellStart"/>
      <w:r w:rsidRPr="003037D2">
        <w:rPr>
          <w:rFonts w:ascii="Garamond" w:eastAsia="Calibri" w:hAnsi="Garamond" w:cs="Arial"/>
        </w:rPr>
        <w:t>tyme</w:t>
      </w:r>
      <w:proofErr w:type="spellEnd"/>
      <w:r w:rsidRPr="003037D2">
        <w:rPr>
          <w:rFonts w:ascii="Garamond" w:eastAsia="Calibri" w:hAnsi="Garamond" w:cs="Arial"/>
        </w:rPr>
        <w:t xml:space="preserve"> to let </w:t>
      </w:r>
      <w:proofErr w:type="spellStart"/>
      <w:r w:rsidRPr="003037D2">
        <w:rPr>
          <w:rFonts w:ascii="Garamond" w:eastAsia="Calibri" w:hAnsi="Garamond" w:cs="Arial"/>
        </w:rPr>
        <w:t>bloude</w:t>
      </w:r>
      <w:proofErr w:type="spellEnd"/>
      <w:r w:rsidRPr="003037D2">
        <w:rPr>
          <w:rFonts w:ascii="Garamond" w:eastAsia="Calibri" w:hAnsi="Garamond" w:cs="Arial"/>
        </w:rPr>
        <w:t xml:space="preserve">. </w:t>
      </w:r>
    </w:p>
    <w:p w14:paraId="4469031D" w14:textId="77777777" w:rsidR="00162224" w:rsidRPr="003037D2" w:rsidRDefault="00162224" w:rsidP="002F1250">
      <w:pPr>
        <w:ind w:left="737" w:right="567"/>
        <w:rPr>
          <w:rFonts w:ascii="Garamond" w:eastAsia="Calibri" w:hAnsi="Garamond" w:cs="Arial"/>
        </w:rPr>
      </w:pPr>
      <w:r w:rsidRPr="003037D2">
        <w:rPr>
          <w:rFonts w:ascii="Garamond" w:eastAsia="Calibri" w:hAnsi="Garamond" w:cs="Arial"/>
        </w:rPr>
        <w:t xml:space="preserve">To sow, set, plant or </w:t>
      </w:r>
      <w:proofErr w:type="spellStart"/>
      <w:r w:rsidRPr="003037D2">
        <w:rPr>
          <w:rFonts w:ascii="Garamond" w:eastAsia="Calibri" w:hAnsi="Garamond" w:cs="Arial"/>
        </w:rPr>
        <w:t>grasse</w:t>
      </w:r>
      <w:proofErr w:type="spellEnd"/>
      <w:r w:rsidRPr="003037D2">
        <w:rPr>
          <w:rFonts w:ascii="Garamond" w:eastAsia="Calibri" w:hAnsi="Garamond" w:cs="Arial"/>
        </w:rPr>
        <w:t xml:space="preserve">, to </w:t>
      </w:r>
      <w:proofErr w:type="spellStart"/>
      <w:r w:rsidRPr="003037D2">
        <w:rPr>
          <w:rFonts w:ascii="Garamond" w:eastAsia="Calibri" w:hAnsi="Garamond" w:cs="Arial"/>
        </w:rPr>
        <w:t>loppe</w:t>
      </w:r>
      <w:proofErr w:type="spellEnd"/>
      <w:r w:rsidRPr="003037D2">
        <w:rPr>
          <w:rFonts w:ascii="Garamond" w:eastAsia="Calibri" w:hAnsi="Garamond" w:cs="Arial"/>
        </w:rPr>
        <w:t xml:space="preserve"> or cut.</w:t>
      </w:r>
    </w:p>
    <w:p w14:paraId="0BA93B4B" w14:textId="77777777" w:rsidR="00162224" w:rsidRPr="003037D2" w:rsidRDefault="00162224" w:rsidP="002F1250">
      <w:pPr>
        <w:ind w:left="737" w:right="567"/>
        <w:rPr>
          <w:rFonts w:ascii="Garamond" w:eastAsia="Calibri" w:hAnsi="Garamond" w:cs="Arial"/>
        </w:rPr>
      </w:pPr>
      <w:r w:rsidRPr="003037D2">
        <w:rPr>
          <w:rFonts w:ascii="Garamond" w:eastAsia="Calibri" w:hAnsi="Garamond" w:cs="Arial"/>
        </w:rPr>
        <w:t xml:space="preserve">Good to purge, good to bath… </w:t>
      </w:r>
      <w:r w:rsidRPr="003037D2">
        <w:rPr>
          <w:rFonts w:ascii="Garamond" w:eastAsia="Calibri" w:hAnsi="Garamond" w:cs="Arial"/>
          <w:vertAlign w:val="superscript"/>
        </w:rPr>
        <w:footnoteReference w:id="94"/>
      </w:r>
    </w:p>
    <w:p w14:paraId="765451DB" w14:textId="77777777" w:rsidR="00162224" w:rsidRPr="003037D2" w:rsidRDefault="00162224" w:rsidP="0056489A">
      <w:pPr>
        <w:ind w:left="567" w:right="567"/>
        <w:rPr>
          <w:rFonts w:ascii="Garamond" w:eastAsia="Calibri" w:hAnsi="Garamond" w:cs="Arial"/>
        </w:rPr>
      </w:pPr>
    </w:p>
    <w:p w14:paraId="1BD545CF" w14:textId="77777777" w:rsidR="00162224" w:rsidRPr="003037D2" w:rsidRDefault="00162224" w:rsidP="00162224">
      <w:pPr>
        <w:spacing w:line="360" w:lineRule="auto"/>
        <w:ind w:right="567"/>
        <w:rPr>
          <w:rFonts w:ascii="Garamond" w:eastAsia="Calibri" w:hAnsi="Garamond" w:cs="Arial"/>
        </w:rPr>
      </w:pPr>
      <w:r w:rsidRPr="003037D2">
        <w:rPr>
          <w:rFonts w:ascii="Garamond" w:eastAsia="Calibri" w:hAnsi="Garamond" w:cs="Arial"/>
        </w:rPr>
        <w:t xml:space="preserve">However, this page also includes important dates of the year as though they too are leaves in the book: </w:t>
      </w:r>
    </w:p>
    <w:p w14:paraId="3FF38C93" w14:textId="77777777" w:rsidR="00162224" w:rsidRPr="003037D2" w:rsidRDefault="00162224" w:rsidP="002F1250">
      <w:pPr>
        <w:ind w:left="737" w:right="567"/>
        <w:rPr>
          <w:rFonts w:ascii="Garamond" w:eastAsia="Calibri" w:hAnsi="Garamond" w:cs="Arial"/>
        </w:rPr>
      </w:pPr>
      <w:proofErr w:type="spellStart"/>
      <w:r w:rsidRPr="003037D2">
        <w:rPr>
          <w:rFonts w:ascii="Garamond" w:eastAsia="Calibri" w:hAnsi="Garamond" w:cs="Arial"/>
        </w:rPr>
        <w:t>Septugasima</w:t>
      </w:r>
      <w:proofErr w:type="spellEnd"/>
      <w:r w:rsidRPr="003037D2">
        <w:rPr>
          <w:rFonts w:ascii="Garamond" w:eastAsia="Calibri" w:hAnsi="Garamond" w:cs="Arial"/>
        </w:rPr>
        <w:t xml:space="preserve">, the 11. Day of February. </w:t>
      </w:r>
    </w:p>
    <w:p w14:paraId="7D64AA5B" w14:textId="77777777" w:rsidR="00162224" w:rsidRPr="003037D2" w:rsidRDefault="00162224" w:rsidP="002F1250">
      <w:pPr>
        <w:ind w:left="737" w:right="567"/>
        <w:rPr>
          <w:rFonts w:ascii="Garamond" w:eastAsia="Calibri" w:hAnsi="Garamond" w:cs="Arial"/>
        </w:rPr>
      </w:pPr>
      <w:proofErr w:type="spellStart"/>
      <w:r w:rsidRPr="003037D2">
        <w:rPr>
          <w:rFonts w:ascii="Garamond" w:eastAsia="Calibri" w:hAnsi="Garamond" w:cs="Arial"/>
        </w:rPr>
        <w:t>Quadragensima</w:t>
      </w:r>
      <w:proofErr w:type="spellEnd"/>
      <w:r w:rsidRPr="003037D2">
        <w:rPr>
          <w:rFonts w:ascii="Garamond" w:eastAsia="Calibri" w:hAnsi="Garamond" w:cs="Arial"/>
        </w:rPr>
        <w:t xml:space="preserve"> the first day of Lent, the fourth of March, </w:t>
      </w:r>
    </w:p>
    <w:p w14:paraId="19E865CA" w14:textId="77777777" w:rsidR="00162224" w:rsidRPr="003037D2" w:rsidRDefault="00162224" w:rsidP="002F1250">
      <w:pPr>
        <w:ind w:left="737" w:right="567"/>
        <w:rPr>
          <w:rFonts w:ascii="Garamond" w:eastAsia="Calibri" w:hAnsi="Garamond" w:cs="Arial"/>
        </w:rPr>
      </w:pPr>
      <w:proofErr w:type="spellStart"/>
      <w:r w:rsidRPr="003037D2">
        <w:rPr>
          <w:rFonts w:ascii="Garamond" w:eastAsia="Calibri" w:hAnsi="Garamond" w:cs="Arial"/>
        </w:rPr>
        <w:t>Shrovesunday</w:t>
      </w:r>
      <w:proofErr w:type="spellEnd"/>
      <w:r w:rsidRPr="003037D2">
        <w:rPr>
          <w:rFonts w:ascii="Garamond" w:eastAsia="Calibri" w:hAnsi="Garamond" w:cs="Arial"/>
        </w:rPr>
        <w:t>, is the. 15. of February…</w:t>
      </w:r>
    </w:p>
    <w:p w14:paraId="0395AC43" w14:textId="77777777" w:rsidR="00162224" w:rsidRPr="003037D2" w:rsidRDefault="00162224" w:rsidP="002F1250">
      <w:pPr>
        <w:ind w:left="737" w:right="567"/>
        <w:rPr>
          <w:rFonts w:ascii="Garamond" w:eastAsia="Calibri" w:hAnsi="Garamond" w:cs="Arial"/>
        </w:rPr>
      </w:pPr>
      <w:proofErr w:type="spellStart"/>
      <w:r w:rsidRPr="003037D2">
        <w:rPr>
          <w:rFonts w:ascii="Garamond" w:eastAsia="Calibri" w:hAnsi="Garamond" w:cs="Arial"/>
        </w:rPr>
        <w:t>Betweene</w:t>
      </w:r>
      <w:proofErr w:type="spellEnd"/>
      <w:r w:rsidRPr="003037D2">
        <w:rPr>
          <w:rFonts w:ascii="Garamond" w:eastAsia="Calibri" w:hAnsi="Garamond" w:cs="Arial"/>
        </w:rPr>
        <w:t xml:space="preserve"> </w:t>
      </w:r>
      <w:proofErr w:type="spellStart"/>
      <w:r w:rsidRPr="003037D2">
        <w:rPr>
          <w:rFonts w:ascii="Garamond" w:eastAsia="Calibri" w:hAnsi="Garamond" w:cs="Arial"/>
        </w:rPr>
        <w:t>Newyeres</w:t>
      </w:r>
      <w:proofErr w:type="spellEnd"/>
      <w:r w:rsidRPr="003037D2">
        <w:rPr>
          <w:rFonts w:ascii="Garamond" w:eastAsia="Calibri" w:hAnsi="Garamond" w:cs="Arial"/>
        </w:rPr>
        <w:t xml:space="preserve"> day and Septuagesima, is </w:t>
      </w:r>
      <w:proofErr w:type="spellStart"/>
      <w:r w:rsidRPr="003037D2">
        <w:rPr>
          <w:rFonts w:ascii="Garamond" w:eastAsia="Calibri" w:hAnsi="Garamond" w:cs="Arial"/>
        </w:rPr>
        <w:t>sixe</w:t>
      </w:r>
      <w:proofErr w:type="spellEnd"/>
      <w:r w:rsidRPr="003037D2">
        <w:rPr>
          <w:rFonts w:ascii="Garamond" w:eastAsia="Calibri" w:hAnsi="Garamond" w:cs="Arial"/>
        </w:rPr>
        <w:t xml:space="preserve"> </w:t>
      </w:r>
      <w:proofErr w:type="spellStart"/>
      <w:r w:rsidRPr="003037D2">
        <w:rPr>
          <w:rFonts w:ascii="Garamond" w:eastAsia="Calibri" w:hAnsi="Garamond" w:cs="Arial"/>
        </w:rPr>
        <w:t>weekes</w:t>
      </w:r>
      <w:proofErr w:type="spellEnd"/>
      <w:r w:rsidRPr="003037D2">
        <w:rPr>
          <w:rFonts w:ascii="Garamond" w:eastAsia="Calibri" w:hAnsi="Garamond" w:cs="Arial"/>
        </w:rPr>
        <w:t xml:space="preserve">. </w:t>
      </w:r>
    </w:p>
    <w:p w14:paraId="1FFE2A75" w14:textId="77777777" w:rsidR="00162224" w:rsidRPr="003037D2" w:rsidRDefault="00162224" w:rsidP="002F1250">
      <w:pPr>
        <w:ind w:left="737" w:right="567"/>
        <w:rPr>
          <w:rFonts w:ascii="Garamond" w:eastAsia="Calibri" w:hAnsi="Garamond" w:cs="Arial"/>
        </w:rPr>
      </w:pPr>
      <w:proofErr w:type="spellStart"/>
      <w:r w:rsidRPr="003037D2">
        <w:rPr>
          <w:rFonts w:ascii="Garamond" w:eastAsia="Calibri" w:hAnsi="Garamond" w:cs="Arial"/>
        </w:rPr>
        <w:t>Betweene</w:t>
      </w:r>
      <w:proofErr w:type="spellEnd"/>
      <w:r w:rsidRPr="003037D2">
        <w:rPr>
          <w:rFonts w:ascii="Garamond" w:eastAsia="Calibri" w:hAnsi="Garamond" w:cs="Arial"/>
        </w:rPr>
        <w:t xml:space="preserve"> Easter day and </w:t>
      </w:r>
      <w:proofErr w:type="spellStart"/>
      <w:r w:rsidRPr="003037D2">
        <w:rPr>
          <w:rFonts w:ascii="Garamond" w:eastAsia="Calibri" w:hAnsi="Garamond" w:cs="Arial"/>
        </w:rPr>
        <w:t>Midsommer</w:t>
      </w:r>
      <w:proofErr w:type="spellEnd"/>
      <w:r w:rsidRPr="003037D2">
        <w:rPr>
          <w:rFonts w:ascii="Garamond" w:eastAsia="Calibri" w:hAnsi="Garamond" w:cs="Arial"/>
        </w:rPr>
        <w:t xml:space="preserve">, is three </w:t>
      </w:r>
      <w:proofErr w:type="spellStart"/>
      <w:r w:rsidRPr="003037D2">
        <w:rPr>
          <w:rFonts w:ascii="Garamond" w:eastAsia="Calibri" w:hAnsi="Garamond" w:cs="Arial"/>
        </w:rPr>
        <w:t>weekes</w:t>
      </w:r>
      <w:proofErr w:type="spellEnd"/>
      <w:r w:rsidRPr="003037D2">
        <w:rPr>
          <w:rFonts w:ascii="Garamond" w:eastAsia="Calibri" w:hAnsi="Garamond" w:cs="Arial"/>
        </w:rPr>
        <w:t>.</w:t>
      </w:r>
      <w:r w:rsidRPr="003037D2">
        <w:rPr>
          <w:rFonts w:ascii="Garamond" w:eastAsia="Calibri" w:hAnsi="Garamond" w:cs="Arial"/>
          <w:vertAlign w:val="superscript"/>
        </w:rPr>
        <w:footnoteReference w:id="95"/>
      </w:r>
    </w:p>
    <w:p w14:paraId="74AF931B" w14:textId="77777777" w:rsidR="00162224" w:rsidRPr="003037D2" w:rsidRDefault="00162224" w:rsidP="002F1250">
      <w:pPr>
        <w:spacing w:line="360" w:lineRule="auto"/>
        <w:ind w:left="737" w:right="567"/>
        <w:rPr>
          <w:rFonts w:ascii="Garamond" w:eastAsia="Calibri" w:hAnsi="Garamond" w:cs="Arial"/>
        </w:rPr>
      </w:pPr>
    </w:p>
    <w:p w14:paraId="0EAB7364" w14:textId="35310353" w:rsidR="00162224" w:rsidRPr="003037D2" w:rsidRDefault="00162224" w:rsidP="00162224">
      <w:pPr>
        <w:spacing w:line="360" w:lineRule="auto"/>
        <w:rPr>
          <w:rFonts w:ascii="Garamond" w:eastAsia="Calibri" w:hAnsi="Garamond" w:cs="Arial"/>
        </w:rPr>
      </w:pPr>
      <w:r w:rsidRPr="003037D2">
        <w:rPr>
          <w:rFonts w:ascii="Garamond" w:eastAsia="Calibri" w:hAnsi="Garamond" w:cs="Arial"/>
        </w:rPr>
        <w:lastRenderedPageBreak/>
        <w:t xml:space="preserve">In the </w:t>
      </w:r>
      <w:r w:rsidRPr="003037D2">
        <w:rPr>
          <w:rFonts w:ascii="Garamond" w:eastAsia="Calibri" w:hAnsi="Garamond" w:cs="Arial"/>
          <w:i/>
        </w:rPr>
        <w:t xml:space="preserve">Book of </w:t>
      </w:r>
      <w:proofErr w:type="spellStart"/>
      <w:r w:rsidRPr="003037D2">
        <w:rPr>
          <w:rFonts w:ascii="Garamond" w:eastAsia="Calibri" w:hAnsi="Garamond" w:cs="Arial"/>
          <w:i/>
        </w:rPr>
        <w:t>Memorie</w:t>
      </w:r>
      <w:proofErr w:type="spellEnd"/>
      <w:r w:rsidRPr="003037D2">
        <w:rPr>
          <w:rFonts w:ascii="Garamond" w:eastAsia="Calibri" w:hAnsi="Garamond" w:cs="Arial"/>
          <w:i/>
        </w:rPr>
        <w:t xml:space="preserve">, </w:t>
      </w:r>
      <w:r w:rsidRPr="003037D2">
        <w:rPr>
          <w:rFonts w:ascii="Garamond" w:eastAsia="Calibri" w:hAnsi="Garamond" w:cs="Arial"/>
        </w:rPr>
        <w:t xml:space="preserve">each double page spread is three quarters blank, with only a slim column on the left-hand side of the left page, setting out the day of the month, the dominical number (which indicates the day of the week), saints’ days, and astrological information. </w:t>
      </w:r>
      <w:proofErr w:type="gramStart"/>
      <w:r w:rsidRPr="003037D2">
        <w:rPr>
          <w:rFonts w:ascii="Garamond" w:eastAsia="Calibri" w:hAnsi="Garamond" w:cs="Arial"/>
        </w:rPr>
        <w:t>Similarly</w:t>
      </w:r>
      <w:proofErr w:type="gramEnd"/>
      <w:r w:rsidRPr="003037D2">
        <w:rPr>
          <w:rFonts w:ascii="Garamond" w:eastAsia="Calibri" w:hAnsi="Garamond" w:cs="Arial"/>
        </w:rPr>
        <w:t xml:space="preserve"> to the Pond almanac, Sundays and particularly important Christian festivals are highlighted in red, and information is given about when the sun rises and sets. For instance, in March, ‘Quadragesima’, ‘Ember </w:t>
      </w:r>
      <w:proofErr w:type="spellStart"/>
      <w:r w:rsidRPr="003037D2">
        <w:rPr>
          <w:rFonts w:ascii="Garamond" w:eastAsia="Calibri" w:hAnsi="Garamond" w:cs="Arial"/>
        </w:rPr>
        <w:t>weeke</w:t>
      </w:r>
      <w:proofErr w:type="spellEnd"/>
      <w:r w:rsidRPr="003037D2">
        <w:rPr>
          <w:rFonts w:ascii="Garamond" w:eastAsia="Calibri" w:hAnsi="Garamond" w:cs="Arial"/>
        </w:rPr>
        <w:t>’, ‘Sun in Aries’, and ‘</w:t>
      </w:r>
      <w:proofErr w:type="spellStart"/>
      <w:r w:rsidRPr="003037D2">
        <w:rPr>
          <w:rFonts w:ascii="Garamond" w:eastAsia="Calibri" w:hAnsi="Garamond" w:cs="Arial"/>
        </w:rPr>
        <w:t>Annun</w:t>
      </w:r>
      <w:proofErr w:type="spellEnd"/>
      <w:r w:rsidRPr="003037D2">
        <w:rPr>
          <w:rFonts w:ascii="Garamond" w:eastAsia="Calibri" w:hAnsi="Garamond" w:cs="Arial"/>
        </w:rPr>
        <w:t>. Of Ma.’ (Lady Day) are all highlighted in red.</w:t>
      </w:r>
      <w:r w:rsidRPr="003037D2">
        <w:rPr>
          <w:rFonts w:ascii="Garamond" w:eastAsia="Calibri" w:hAnsi="Garamond" w:cs="Arial"/>
          <w:vertAlign w:val="superscript"/>
        </w:rPr>
        <w:footnoteReference w:id="96"/>
      </w:r>
      <w:r w:rsidRPr="003037D2">
        <w:rPr>
          <w:rFonts w:ascii="Garamond" w:eastAsia="Calibri" w:hAnsi="Garamond" w:cs="Arial"/>
        </w:rPr>
        <w:t xml:space="preserve"> The title of the 1571 almanac is perhaps suggestive of how new, and unknown this format was. Hill specifies that this is intended to be used ‘as a </w:t>
      </w:r>
      <w:proofErr w:type="spellStart"/>
      <w:r w:rsidRPr="003037D2">
        <w:rPr>
          <w:rFonts w:ascii="Garamond" w:eastAsia="Calibri" w:hAnsi="Garamond" w:cs="Arial"/>
        </w:rPr>
        <w:t>booke</w:t>
      </w:r>
      <w:proofErr w:type="spellEnd"/>
      <w:r w:rsidRPr="003037D2">
        <w:rPr>
          <w:rFonts w:ascii="Garamond" w:eastAsia="Calibri" w:hAnsi="Garamond" w:cs="Arial"/>
        </w:rPr>
        <w:t xml:space="preserve"> of </w:t>
      </w:r>
      <w:proofErr w:type="spellStart"/>
      <w:r w:rsidRPr="003037D2">
        <w:rPr>
          <w:rFonts w:ascii="Garamond" w:eastAsia="Calibri" w:hAnsi="Garamond" w:cs="Arial"/>
        </w:rPr>
        <w:t>memorie</w:t>
      </w:r>
      <w:proofErr w:type="spellEnd"/>
      <w:r w:rsidRPr="003037D2">
        <w:rPr>
          <w:rFonts w:ascii="Garamond" w:eastAsia="Calibri" w:hAnsi="Garamond" w:cs="Arial"/>
        </w:rPr>
        <w:t xml:space="preserve">, necessary for all such, as have occasion </w:t>
      </w:r>
      <w:proofErr w:type="spellStart"/>
      <w:r w:rsidRPr="003037D2">
        <w:rPr>
          <w:rFonts w:ascii="Garamond" w:eastAsia="Calibri" w:hAnsi="Garamond" w:cs="Arial"/>
        </w:rPr>
        <w:t>daylie</w:t>
      </w:r>
      <w:proofErr w:type="spellEnd"/>
      <w:r w:rsidRPr="003037D2">
        <w:rPr>
          <w:rFonts w:ascii="Garamond" w:eastAsia="Calibri" w:hAnsi="Garamond" w:cs="Arial"/>
        </w:rPr>
        <w:t xml:space="preserve"> to note sundry </w:t>
      </w:r>
      <w:proofErr w:type="spellStart"/>
      <w:r w:rsidRPr="003037D2">
        <w:rPr>
          <w:rFonts w:ascii="Garamond" w:eastAsia="Calibri" w:hAnsi="Garamond" w:cs="Arial"/>
        </w:rPr>
        <w:t>affayres</w:t>
      </w:r>
      <w:proofErr w:type="spellEnd"/>
      <w:r w:rsidRPr="003037D2">
        <w:rPr>
          <w:rFonts w:ascii="Garamond" w:eastAsia="Calibri" w:hAnsi="Garamond" w:cs="Arial"/>
        </w:rPr>
        <w:t xml:space="preserve">, </w:t>
      </w:r>
      <w:proofErr w:type="spellStart"/>
      <w:r w:rsidRPr="003037D2">
        <w:rPr>
          <w:rFonts w:ascii="Garamond" w:eastAsia="Calibri" w:hAnsi="Garamond" w:cs="Arial"/>
        </w:rPr>
        <w:t>eyther</w:t>
      </w:r>
      <w:proofErr w:type="spellEnd"/>
      <w:r w:rsidRPr="003037D2">
        <w:rPr>
          <w:rFonts w:ascii="Garamond" w:eastAsia="Calibri" w:hAnsi="Garamond" w:cs="Arial"/>
        </w:rPr>
        <w:t xml:space="preserve"> for </w:t>
      </w:r>
      <w:proofErr w:type="spellStart"/>
      <w:r w:rsidRPr="003037D2">
        <w:rPr>
          <w:rFonts w:ascii="Garamond" w:eastAsia="Calibri" w:hAnsi="Garamond" w:cs="Arial"/>
        </w:rPr>
        <w:t>receytes</w:t>
      </w:r>
      <w:proofErr w:type="spellEnd"/>
      <w:r w:rsidRPr="003037D2">
        <w:rPr>
          <w:rFonts w:ascii="Garamond" w:eastAsia="Calibri" w:hAnsi="Garamond" w:cs="Arial"/>
        </w:rPr>
        <w:t xml:space="preserve">, payments, or such </w:t>
      </w:r>
      <w:proofErr w:type="spellStart"/>
      <w:r w:rsidRPr="003037D2">
        <w:rPr>
          <w:rFonts w:ascii="Garamond" w:eastAsia="Calibri" w:hAnsi="Garamond" w:cs="Arial"/>
        </w:rPr>
        <w:t>lyke</w:t>
      </w:r>
      <w:proofErr w:type="spellEnd"/>
      <w:r w:rsidRPr="003037D2">
        <w:rPr>
          <w:rFonts w:ascii="Garamond" w:eastAsia="Calibri" w:hAnsi="Garamond" w:cs="Arial"/>
        </w:rPr>
        <w:t>’.</w:t>
      </w:r>
      <w:r w:rsidRPr="003037D2">
        <w:rPr>
          <w:rFonts w:ascii="Garamond" w:eastAsia="Calibri" w:hAnsi="Garamond" w:cs="Arial"/>
          <w:i/>
        </w:rPr>
        <w:t xml:space="preserve"> </w:t>
      </w:r>
      <w:r w:rsidRPr="003037D2">
        <w:rPr>
          <w:rFonts w:ascii="Garamond" w:eastAsia="Calibri" w:hAnsi="Garamond" w:cs="Arial"/>
        </w:rPr>
        <w:t>There is perhaps a gendered, upper-class readership and ownership suggested in this</w:t>
      </w:r>
      <w:r w:rsidR="00C03F06" w:rsidRPr="003037D2">
        <w:rPr>
          <w:rFonts w:ascii="Garamond" w:eastAsia="Calibri" w:hAnsi="Garamond" w:cs="Arial"/>
        </w:rPr>
        <w:t>:</w:t>
      </w:r>
      <w:r w:rsidRPr="003037D2">
        <w:rPr>
          <w:rFonts w:ascii="Garamond" w:eastAsia="Calibri" w:hAnsi="Garamond" w:cs="Arial"/>
        </w:rPr>
        <w:t xml:space="preserve"> the book seems aimed at an individual who has control of a flow of money and who is often engaged in commerce. </w:t>
      </w:r>
    </w:p>
    <w:p w14:paraId="62766B1D" w14:textId="77777777" w:rsidR="00162224" w:rsidRPr="003037D2" w:rsidRDefault="00162224" w:rsidP="00162224">
      <w:pPr>
        <w:spacing w:line="360" w:lineRule="auto"/>
        <w:rPr>
          <w:rFonts w:ascii="Garamond" w:eastAsia="Calibri" w:hAnsi="Garamond" w:cs="Arial"/>
        </w:rPr>
      </w:pPr>
    </w:p>
    <w:p w14:paraId="73F822AE" w14:textId="1C8332EB" w:rsidR="00162224" w:rsidRPr="003037D2" w:rsidRDefault="00162224" w:rsidP="00162224">
      <w:pPr>
        <w:spacing w:before="240" w:line="360" w:lineRule="auto"/>
        <w:ind w:firstLine="720"/>
        <w:rPr>
          <w:rFonts w:ascii="Garamond" w:eastAsia="Calibri" w:hAnsi="Garamond" w:cs="Arial"/>
        </w:rPr>
      </w:pPr>
      <w:r w:rsidRPr="003037D2">
        <w:rPr>
          <w:rFonts w:ascii="Garamond" w:eastAsia="Calibri" w:hAnsi="Garamond" w:cs="Arial"/>
        </w:rPr>
        <w:t>As previously discussed the control of time has often been linked to the rise of capitalism, most famously by Thompson, who declared that in the sixteenth century, ‘time is starting to become money, the employer’s money’.</w:t>
      </w:r>
      <w:r w:rsidRPr="003037D2">
        <w:rPr>
          <w:rFonts w:ascii="Garamond" w:eastAsia="Calibri" w:hAnsi="Garamond" w:cs="Arial"/>
          <w:vertAlign w:val="superscript"/>
        </w:rPr>
        <w:footnoteReference w:id="97"/>
      </w:r>
      <w:r w:rsidRPr="003037D2">
        <w:rPr>
          <w:rFonts w:ascii="Garamond" w:eastAsia="Calibri" w:hAnsi="Garamond" w:cs="Arial"/>
        </w:rPr>
        <w:t xml:space="preserve"> </w:t>
      </w:r>
      <w:r w:rsidRPr="003037D2">
        <w:rPr>
          <w:rFonts w:ascii="Garamond" w:eastAsia="Calibri" w:hAnsi="Garamond" w:cs="Arial"/>
          <w:bCs/>
        </w:rPr>
        <w:t xml:space="preserve">A practical application of this principle can be seen in a table at the back of </w:t>
      </w:r>
      <w:proofErr w:type="spellStart"/>
      <w:r w:rsidRPr="003037D2">
        <w:rPr>
          <w:rFonts w:ascii="Garamond" w:eastAsia="Calibri" w:hAnsi="Garamond" w:cs="Arial"/>
          <w:bCs/>
        </w:rPr>
        <w:t>Peregine</w:t>
      </w:r>
      <w:proofErr w:type="spellEnd"/>
      <w:r w:rsidRPr="003037D2">
        <w:rPr>
          <w:rFonts w:ascii="Garamond" w:eastAsia="Calibri" w:hAnsi="Garamond" w:cs="Arial"/>
          <w:bCs/>
        </w:rPr>
        <w:t xml:space="preserve"> Rivers</w:t>
      </w:r>
      <w:r w:rsidR="00C03F06" w:rsidRPr="003037D2">
        <w:rPr>
          <w:rFonts w:ascii="Garamond" w:eastAsia="Calibri" w:hAnsi="Garamond" w:cs="Arial"/>
          <w:bCs/>
        </w:rPr>
        <w:t>’</w:t>
      </w:r>
      <w:r w:rsidRPr="003037D2">
        <w:rPr>
          <w:rFonts w:ascii="Garamond" w:eastAsia="Calibri" w:hAnsi="Garamond" w:cs="Arial"/>
          <w:bCs/>
        </w:rPr>
        <w:t xml:space="preserve"> 1634 </w:t>
      </w:r>
      <w:r w:rsidRPr="003037D2">
        <w:rPr>
          <w:rFonts w:ascii="Garamond" w:eastAsia="Calibri" w:hAnsi="Garamond" w:cs="Arial"/>
          <w:bCs/>
          <w:i/>
        </w:rPr>
        <w:t xml:space="preserve">Almanac… calculated for the famous University and Towne of Cambridge. </w:t>
      </w:r>
      <w:r w:rsidRPr="003037D2">
        <w:rPr>
          <w:rFonts w:ascii="Garamond" w:eastAsia="Calibri" w:hAnsi="Garamond" w:cs="Arial"/>
          <w:bCs/>
        </w:rPr>
        <w:t xml:space="preserve">A short rhyme at the top proclaims, ‘What man is now but doth desire to </w:t>
      </w:r>
      <w:proofErr w:type="gramStart"/>
      <w:r w:rsidRPr="003037D2">
        <w:rPr>
          <w:rFonts w:ascii="Garamond" w:eastAsia="Calibri" w:hAnsi="Garamond" w:cs="Arial"/>
          <w:bCs/>
        </w:rPr>
        <w:t>count,/</w:t>
      </w:r>
      <w:proofErr w:type="gramEnd"/>
      <w:r w:rsidRPr="003037D2">
        <w:rPr>
          <w:rFonts w:ascii="Garamond" w:eastAsia="Calibri" w:hAnsi="Garamond" w:cs="Arial"/>
          <w:bCs/>
        </w:rPr>
        <w:t xml:space="preserve"> If comings in, or </w:t>
      </w:r>
      <w:proofErr w:type="spellStart"/>
      <w:r w:rsidRPr="003037D2">
        <w:rPr>
          <w:rFonts w:ascii="Garamond" w:eastAsia="Calibri" w:hAnsi="Garamond" w:cs="Arial"/>
          <w:bCs/>
        </w:rPr>
        <w:t>layings</w:t>
      </w:r>
      <w:proofErr w:type="spellEnd"/>
      <w:r w:rsidRPr="003037D2">
        <w:rPr>
          <w:rFonts w:ascii="Garamond" w:eastAsia="Calibri" w:hAnsi="Garamond" w:cs="Arial"/>
          <w:bCs/>
        </w:rPr>
        <w:t xml:space="preserve"> out surmount?/ Within this Table plain it doth </w:t>
      </w:r>
      <w:proofErr w:type="spellStart"/>
      <w:r w:rsidRPr="003037D2">
        <w:rPr>
          <w:rFonts w:ascii="Garamond" w:eastAsia="Calibri" w:hAnsi="Garamond" w:cs="Arial"/>
          <w:bCs/>
        </w:rPr>
        <w:t>appeare</w:t>
      </w:r>
      <w:proofErr w:type="spellEnd"/>
      <w:r w:rsidRPr="003037D2">
        <w:rPr>
          <w:rFonts w:ascii="Garamond" w:eastAsia="Calibri" w:hAnsi="Garamond" w:cs="Arial"/>
          <w:bCs/>
        </w:rPr>
        <w:t xml:space="preserve">,/ Thy daily charge to cast each </w:t>
      </w:r>
      <w:proofErr w:type="spellStart"/>
      <w:r w:rsidRPr="003037D2">
        <w:rPr>
          <w:rFonts w:ascii="Garamond" w:eastAsia="Calibri" w:hAnsi="Garamond" w:cs="Arial"/>
          <w:bCs/>
        </w:rPr>
        <w:t>Moneth</w:t>
      </w:r>
      <w:proofErr w:type="spellEnd"/>
      <w:r w:rsidRPr="003037D2">
        <w:rPr>
          <w:rFonts w:ascii="Garamond" w:eastAsia="Calibri" w:hAnsi="Garamond" w:cs="Arial"/>
          <w:bCs/>
        </w:rPr>
        <w:t xml:space="preserve"> and </w:t>
      </w:r>
      <w:proofErr w:type="spellStart"/>
      <w:r w:rsidRPr="003037D2">
        <w:rPr>
          <w:rFonts w:ascii="Garamond" w:eastAsia="Calibri" w:hAnsi="Garamond" w:cs="Arial"/>
          <w:bCs/>
        </w:rPr>
        <w:t>Yeare</w:t>
      </w:r>
      <w:proofErr w:type="spellEnd"/>
      <w:r w:rsidRPr="003037D2">
        <w:rPr>
          <w:rFonts w:ascii="Garamond" w:eastAsia="Calibri" w:hAnsi="Garamond" w:cs="Arial"/>
          <w:bCs/>
        </w:rPr>
        <w:t xml:space="preserve">’. The chart below helps the reader calculate what monthly and yearly charges will build up from a certain daily rate: from ‘1 </w:t>
      </w:r>
      <w:proofErr w:type="spellStart"/>
      <w:r w:rsidRPr="003037D2">
        <w:rPr>
          <w:rFonts w:ascii="Garamond" w:eastAsia="Calibri" w:hAnsi="Garamond" w:cs="Arial"/>
          <w:bCs/>
        </w:rPr>
        <w:t>pennie</w:t>
      </w:r>
      <w:proofErr w:type="spellEnd"/>
      <w:r w:rsidRPr="003037D2">
        <w:rPr>
          <w:rFonts w:ascii="Garamond" w:eastAsia="Calibri" w:hAnsi="Garamond" w:cs="Arial"/>
          <w:bCs/>
        </w:rPr>
        <w:t>’ to ‘</w:t>
      </w:r>
      <w:proofErr w:type="spellStart"/>
      <w:r w:rsidRPr="003037D2">
        <w:rPr>
          <w:rFonts w:ascii="Garamond" w:eastAsia="Calibri" w:hAnsi="Garamond" w:cs="Arial"/>
          <w:bCs/>
        </w:rPr>
        <w:t>Shil</w:t>
      </w:r>
      <w:proofErr w:type="spellEnd"/>
      <w:r w:rsidRPr="003037D2">
        <w:rPr>
          <w:rFonts w:ascii="Garamond" w:eastAsia="Calibri" w:hAnsi="Garamond" w:cs="Arial"/>
          <w:bCs/>
        </w:rPr>
        <w:t xml:space="preserve">. 4d.’ per month, to ‘1 </w:t>
      </w:r>
      <w:proofErr w:type="spellStart"/>
      <w:r w:rsidRPr="003037D2">
        <w:rPr>
          <w:rFonts w:ascii="Garamond" w:eastAsia="Calibri" w:hAnsi="Garamond" w:cs="Arial"/>
          <w:bCs/>
        </w:rPr>
        <w:t>Poun</w:t>
      </w:r>
      <w:proofErr w:type="spellEnd"/>
      <w:r w:rsidRPr="003037D2">
        <w:rPr>
          <w:rFonts w:ascii="Garamond" w:eastAsia="Calibri" w:hAnsi="Garamond" w:cs="Arial"/>
          <w:bCs/>
        </w:rPr>
        <w:t xml:space="preserve">. 10 sh. 5d.’ in a year. At the other end of that scale, 10 pounds per day, equals 280 a month and 3650 a year (a month is ‘28 </w:t>
      </w:r>
      <w:proofErr w:type="spellStart"/>
      <w:r w:rsidRPr="003037D2">
        <w:rPr>
          <w:rFonts w:ascii="Garamond" w:eastAsia="Calibri" w:hAnsi="Garamond" w:cs="Arial"/>
          <w:bCs/>
        </w:rPr>
        <w:t>dayes</w:t>
      </w:r>
      <w:proofErr w:type="spellEnd"/>
      <w:r w:rsidRPr="003037D2">
        <w:rPr>
          <w:rFonts w:ascii="Garamond" w:eastAsia="Calibri" w:hAnsi="Garamond" w:cs="Arial"/>
          <w:bCs/>
        </w:rPr>
        <w:t xml:space="preserve">’ in these calculations). This chart can be used both to work out what you might be owed for </w:t>
      </w:r>
      <w:proofErr w:type="spellStart"/>
      <w:r w:rsidRPr="003037D2">
        <w:rPr>
          <w:rFonts w:ascii="Garamond" w:eastAsia="Calibri" w:hAnsi="Garamond" w:cs="Arial"/>
          <w:bCs/>
        </w:rPr>
        <w:t>labour</w:t>
      </w:r>
      <w:proofErr w:type="spellEnd"/>
      <w:r w:rsidRPr="003037D2">
        <w:rPr>
          <w:rFonts w:ascii="Garamond" w:eastAsia="Calibri" w:hAnsi="Garamond" w:cs="Arial"/>
          <w:bCs/>
        </w:rPr>
        <w:t>, or what you would owe others.</w:t>
      </w:r>
      <w:r w:rsidRPr="003037D2">
        <w:rPr>
          <w:rFonts w:ascii="Garamond" w:eastAsia="Calibri" w:hAnsi="Garamond" w:cs="Arial"/>
          <w:bCs/>
          <w:vertAlign w:val="superscript"/>
        </w:rPr>
        <w:footnoteReference w:id="98"/>
      </w:r>
      <w:r w:rsidRPr="003037D2">
        <w:rPr>
          <w:rFonts w:ascii="Garamond" w:eastAsia="Calibri" w:hAnsi="Garamond" w:cs="Arial"/>
          <w:bCs/>
        </w:rPr>
        <w:t xml:space="preserve"> (See </w:t>
      </w:r>
      <w:r w:rsidRPr="003037D2">
        <w:rPr>
          <w:rFonts w:ascii="Garamond" w:eastAsia="Calibri" w:hAnsi="Garamond" w:cs="Arial"/>
          <w:bCs/>
        </w:rPr>
        <w:fldChar w:fldCharType="begin"/>
      </w:r>
      <w:r w:rsidRPr="003037D2">
        <w:rPr>
          <w:rFonts w:ascii="Garamond" w:eastAsia="Calibri" w:hAnsi="Garamond" w:cs="Arial"/>
          <w:bCs/>
        </w:rPr>
        <w:instrText xml:space="preserve"> REF _Ref527733191 \h  \* MERGEFORMAT </w:instrText>
      </w:r>
      <w:r w:rsidRPr="003037D2">
        <w:rPr>
          <w:rFonts w:ascii="Garamond" w:eastAsia="Calibri" w:hAnsi="Garamond" w:cs="Arial"/>
          <w:bCs/>
        </w:rPr>
      </w:r>
      <w:r w:rsidRPr="003037D2">
        <w:rPr>
          <w:rFonts w:ascii="Garamond" w:eastAsia="Calibri" w:hAnsi="Garamond" w:cs="Arial"/>
          <w:bCs/>
        </w:rPr>
        <w:fldChar w:fldCharType="separate"/>
      </w:r>
      <w:r w:rsidR="001117A3" w:rsidRPr="003037D2">
        <w:rPr>
          <w:rFonts w:ascii="Garamond" w:eastAsia="Calibri" w:hAnsi="Garamond" w:cs="Arial"/>
        </w:rPr>
        <w:t xml:space="preserve">Figure </w:t>
      </w:r>
      <w:r w:rsidR="001117A3" w:rsidRPr="003037D2">
        <w:rPr>
          <w:rFonts w:ascii="Garamond" w:eastAsia="Calibri" w:hAnsi="Garamond" w:cs="Arial"/>
          <w:noProof/>
        </w:rPr>
        <w:t>3</w:t>
      </w:r>
      <w:r w:rsidR="001117A3" w:rsidRPr="003037D2">
        <w:rPr>
          <w:rFonts w:ascii="Garamond" w:hAnsi="Garamond"/>
        </w:rPr>
        <w:t xml:space="preserve"> Peregrine Rivers (1634), C4v.</w:t>
      </w:r>
      <w:r w:rsidRPr="003037D2">
        <w:rPr>
          <w:rFonts w:ascii="Garamond" w:eastAsia="Calibri" w:hAnsi="Garamond" w:cs="Arial"/>
          <w:bCs/>
        </w:rPr>
        <w:fldChar w:fldCharType="end"/>
      </w:r>
      <w:r w:rsidRPr="003037D2">
        <w:rPr>
          <w:rFonts w:ascii="Garamond" w:eastAsia="Calibri" w:hAnsi="Garamond" w:cs="Arial"/>
          <w:bCs/>
        </w:rPr>
        <w:t xml:space="preserve">) </w:t>
      </w:r>
      <w:r w:rsidR="004F590E">
        <w:rPr>
          <w:rFonts w:ascii="Garamond" w:eastAsia="Calibri" w:hAnsi="Garamond" w:cs="Arial"/>
        </w:rPr>
        <w:t>Mid-seventeenth-</w:t>
      </w:r>
      <w:r w:rsidRPr="003037D2">
        <w:rPr>
          <w:rFonts w:ascii="Garamond" w:eastAsia="Calibri" w:hAnsi="Garamond" w:cs="Arial"/>
        </w:rPr>
        <w:t xml:space="preserve">century farmers calculated employed </w:t>
      </w:r>
      <w:proofErr w:type="spellStart"/>
      <w:r w:rsidRPr="003037D2">
        <w:rPr>
          <w:rFonts w:ascii="Garamond" w:eastAsia="Calibri" w:hAnsi="Garamond" w:cs="Arial"/>
        </w:rPr>
        <w:t>labour</w:t>
      </w:r>
      <w:proofErr w:type="spellEnd"/>
      <w:r w:rsidRPr="003037D2">
        <w:rPr>
          <w:rFonts w:ascii="Garamond" w:eastAsia="Calibri" w:hAnsi="Garamond" w:cs="Arial"/>
        </w:rPr>
        <w:t xml:space="preserve"> in ‘</w:t>
      </w:r>
      <w:proofErr w:type="spellStart"/>
      <w:r w:rsidRPr="003037D2">
        <w:rPr>
          <w:rFonts w:ascii="Garamond" w:eastAsia="Calibri" w:hAnsi="Garamond" w:cs="Arial"/>
        </w:rPr>
        <w:t>dayworkes</w:t>
      </w:r>
      <w:proofErr w:type="spellEnd"/>
      <w:r w:rsidRPr="003037D2">
        <w:rPr>
          <w:rFonts w:ascii="Garamond" w:eastAsia="Calibri" w:hAnsi="Garamond" w:cs="Arial"/>
        </w:rPr>
        <w:t>’, and in doing so created a distinction between the employers</w:t>
      </w:r>
      <w:r w:rsidR="00C03F06" w:rsidRPr="003037D2">
        <w:rPr>
          <w:rFonts w:ascii="Garamond" w:eastAsia="Calibri" w:hAnsi="Garamond" w:cs="Arial"/>
        </w:rPr>
        <w:t>’</w:t>
      </w:r>
      <w:r w:rsidRPr="003037D2">
        <w:rPr>
          <w:rFonts w:ascii="Garamond" w:eastAsia="Calibri" w:hAnsi="Garamond" w:cs="Arial"/>
        </w:rPr>
        <w:t xml:space="preserve"> time and the employees</w:t>
      </w:r>
      <w:r w:rsidR="00C03F06" w:rsidRPr="003037D2">
        <w:rPr>
          <w:rFonts w:ascii="Garamond" w:eastAsia="Calibri" w:hAnsi="Garamond" w:cs="Arial"/>
        </w:rPr>
        <w:t>’</w:t>
      </w:r>
      <w:r w:rsidRPr="003037D2">
        <w:rPr>
          <w:rFonts w:ascii="Garamond" w:eastAsia="Calibri" w:hAnsi="Garamond" w:cs="Arial"/>
        </w:rPr>
        <w:t xml:space="preserve"> time.</w:t>
      </w:r>
      <w:r w:rsidRPr="003037D2">
        <w:rPr>
          <w:rFonts w:ascii="Garamond" w:eastAsia="Calibri" w:hAnsi="Garamond" w:cs="Arial"/>
          <w:vertAlign w:val="superscript"/>
        </w:rPr>
        <w:footnoteReference w:id="99"/>
      </w:r>
      <w:r w:rsidRPr="003037D2">
        <w:rPr>
          <w:rFonts w:ascii="Garamond" w:eastAsia="Calibri" w:hAnsi="Garamond" w:cs="Arial"/>
        </w:rPr>
        <w:t xml:space="preserve"> Time could now be used, and should not be wasted. In </w:t>
      </w:r>
      <w:r w:rsidRPr="003037D2">
        <w:rPr>
          <w:rFonts w:ascii="Garamond" w:eastAsia="Calibri" w:hAnsi="Garamond" w:cs="Arial"/>
          <w:i/>
        </w:rPr>
        <w:t xml:space="preserve">The Boke of </w:t>
      </w:r>
      <w:proofErr w:type="spellStart"/>
      <w:r w:rsidRPr="003037D2">
        <w:rPr>
          <w:rFonts w:ascii="Garamond" w:eastAsia="Calibri" w:hAnsi="Garamond" w:cs="Arial"/>
          <w:i/>
        </w:rPr>
        <w:t>Memorie</w:t>
      </w:r>
      <w:proofErr w:type="spellEnd"/>
      <w:r w:rsidRPr="003037D2">
        <w:rPr>
          <w:rFonts w:ascii="Garamond" w:eastAsia="Calibri" w:hAnsi="Garamond" w:cs="Arial"/>
          <w:i/>
        </w:rPr>
        <w:t xml:space="preserve">, </w:t>
      </w:r>
      <w:r w:rsidRPr="003037D2">
        <w:rPr>
          <w:rFonts w:ascii="Garamond" w:eastAsia="Calibri" w:hAnsi="Garamond" w:cs="Arial"/>
        </w:rPr>
        <w:t xml:space="preserve">Hill provides details about how </w:t>
      </w:r>
      <w:r w:rsidRPr="003037D2">
        <w:rPr>
          <w:rFonts w:ascii="Garamond" w:eastAsia="Calibri" w:hAnsi="Garamond" w:cs="Arial"/>
        </w:rPr>
        <w:lastRenderedPageBreak/>
        <w:t xml:space="preserve">to produce the most from the land, giving astrological information about the best times for particular farming activities He advises that it is ‘Good to </w:t>
      </w:r>
      <w:proofErr w:type="spellStart"/>
      <w:r w:rsidRPr="003037D2">
        <w:rPr>
          <w:rFonts w:ascii="Garamond" w:eastAsia="Calibri" w:hAnsi="Garamond" w:cs="Arial"/>
        </w:rPr>
        <w:t>sowe</w:t>
      </w:r>
      <w:proofErr w:type="spellEnd"/>
      <w:r w:rsidRPr="003037D2">
        <w:rPr>
          <w:rFonts w:ascii="Garamond" w:eastAsia="Calibri" w:hAnsi="Garamond" w:cs="Arial"/>
        </w:rPr>
        <w:t xml:space="preserve">, set, plant and </w:t>
      </w:r>
      <w:proofErr w:type="spellStart"/>
      <w:r w:rsidRPr="003037D2">
        <w:rPr>
          <w:rFonts w:ascii="Garamond" w:eastAsia="Calibri" w:hAnsi="Garamond" w:cs="Arial"/>
        </w:rPr>
        <w:t>grasse</w:t>
      </w:r>
      <w:proofErr w:type="spellEnd"/>
      <w:r w:rsidRPr="003037D2">
        <w:rPr>
          <w:rFonts w:ascii="Garamond" w:eastAsia="Calibri" w:hAnsi="Garamond" w:cs="Arial"/>
        </w:rPr>
        <w:t xml:space="preserve">, in the increase of the </w:t>
      </w:r>
      <w:proofErr w:type="spellStart"/>
      <w:r w:rsidRPr="003037D2">
        <w:rPr>
          <w:rFonts w:ascii="Garamond" w:eastAsia="Calibri" w:hAnsi="Garamond" w:cs="Arial"/>
        </w:rPr>
        <w:t>Moone</w:t>
      </w:r>
      <w:proofErr w:type="spellEnd"/>
      <w:r w:rsidRPr="003037D2">
        <w:rPr>
          <w:rFonts w:ascii="Garamond" w:eastAsia="Calibri" w:hAnsi="Garamond" w:cs="Arial"/>
        </w:rPr>
        <w:t xml:space="preserve">, In </w:t>
      </w:r>
      <w:proofErr w:type="spellStart"/>
      <w:r w:rsidRPr="003037D2">
        <w:rPr>
          <w:rFonts w:ascii="Garamond" w:eastAsia="Calibri" w:hAnsi="Garamond" w:cs="Arial"/>
        </w:rPr>
        <w:t>Taur</w:t>
      </w:r>
      <w:proofErr w:type="spellEnd"/>
      <w:r w:rsidRPr="003037D2">
        <w:rPr>
          <w:rFonts w:ascii="Garamond" w:eastAsia="Calibri" w:hAnsi="Garamond" w:cs="Arial"/>
        </w:rPr>
        <w:t xml:space="preserve">[us], Cancer, Virgo, and </w:t>
      </w:r>
      <w:proofErr w:type="spellStart"/>
      <w:r w:rsidRPr="003037D2">
        <w:rPr>
          <w:rFonts w:ascii="Garamond" w:eastAsia="Calibri" w:hAnsi="Garamond" w:cs="Arial"/>
        </w:rPr>
        <w:t>Capricorne</w:t>
      </w:r>
      <w:proofErr w:type="spellEnd"/>
      <w:r w:rsidRPr="003037D2">
        <w:rPr>
          <w:rFonts w:ascii="Garamond" w:eastAsia="Calibri" w:hAnsi="Garamond" w:cs="Arial"/>
        </w:rPr>
        <w:t xml:space="preserve">. The best times to </w:t>
      </w:r>
      <w:proofErr w:type="spellStart"/>
      <w:r w:rsidRPr="003037D2">
        <w:rPr>
          <w:rFonts w:ascii="Garamond" w:eastAsia="Calibri" w:hAnsi="Garamond" w:cs="Arial"/>
        </w:rPr>
        <w:t>loppe</w:t>
      </w:r>
      <w:proofErr w:type="spellEnd"/>
      <w:r w:rsidRPr="003037D2">
        <w:rPr>
          <w:rFonts w:ascii="Garamond" w:eastAsia="Calibri" w:hAnsi="Garamond" w:cs="Arial"/>
        </w:rPr>
        <w:t xml:space="preserve"> or cut, the </w:t>
      </w:r>
      <w:proofErr w:type="spellStart"/>
      <w:r w:rsidRPr="003037D2">
        <w:rPr>
          <w:rFonts w:ascii="Garamond" w:eastAsia="Calibri" w:hAnsi="Garamond" w:cs="Arial"/>
        </w:rPr>
        <w:t>Moone</w:t>
      </w:r>
      <w:proofErr w:type="spellEnd"/>
      <w:r w:rsidRPr="003037D2">
        <w:rPr>
          <w:rFonts w:ascii="Garamond" w:eastAsia="Calibri" w:hAnsi="Garamond" w:cs="Arial"/>
        </w:rPr>
        <w:t xml:space="preserve"> decreasing in Cancer, Scorpio, and Pisces’.</w:t>
      </w:r>
      <w:r w:rsidRPr="003037D2">
        <w:rPr>
          <w:rFonts w:ascii="Garamond" w:eastAsia="Calibri" w:hAnsi="Garamond" w:cs="Arial"/>
          <w:vertAlign w:val="superscript"/>
        </w:rPr>
        <w:footnoteReference w:id="100"/>
      </w:r>
      <w:r w:rsidRPr="003037D2">
        <w:rPr>
          <w:rFonts w:ascii="Garamond" w:eastAsia="Calibri" w:hAnsi="Garamond" w:cs="Arial"/>
        </w:rPr>
        <w:t xml:space="preserve"> This practical information not only reveals the quasi-scientific principles that underlay farming in the early modern period, but also speaks to the way in which the book buyer’s identity may have been bolstered or </w:t>
      </w:r>
      <w:proofErr w:type="spellStart"/>
      <w:r w:rsidRPr="003037D2">
        <w:rPr>
          <w:rFonts w:ascii="Garamond" w:eastAsia="Calibri" w:hAnsi="Garamond" w:cs="Arial"/>
        </w:rPr>
        <w:t>moulded</w:t>
      </w:r>
      <w:proofErr w:type="spellEnd"/>
      <w:r w:rsidRPr="003037D2">
        <w:rPr>
          <w:rFonts w:ascii="Garamond" w:eastAsia="Calibri" w:hAnsi="Garamond" w:cs="Arial"/>
        </w:rPr>
        <w:t xml:space="preserve"> by this text. They were a polymath: interested in astrology, medicine, and the effective use of time. </w:t>
      </w:r>
    </w:p>
    <w:p w14:paraId="115763AD" w14:textId="77777777" w:rsidR="00162224" w:rsidRPr="003037D2" w:rsidRDefault="00162224" w:rsidP="00162224">
      <w:pPr>
        <w:spacing w:before="240" w:line="360" w:lineRule="auto"/>
        <w:ind w:firstLine="720"/>
        <w:rPr>
          <w:rFonts w:ascii="Garamond" w:eastAsia="Calibri" w:hAnsi="Garamond" w:cs="Arial"/>
        </w:rPr>
      </w:pPr>
    </w:p>
    <w:p w14:paraId="697F560D" w14:textId="5479603F" w:rsidR="00094FAC"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color w:val="252525"/>
          <w:shd w:val="clear" w:color="auto" w:fill="FFFFFF"/>
        </w:rPr>
        <w:t>Hill’s works were popular because they made visible (or at least purported to make visible) principles which underpinned daily life</w:t>
      </w:r>
      <w:r w:rsidR="00531ACA" w:rsidRPr="003037D2">
        <w:rPr>
          <w:rFonts w:ascii="Garamond" w:eastAsia="Calibri" w:hAnsi="Garamond" w:cs="Arial"/>
          <w:color w:val="252525"/>
          <w:shd w:val="clear" w:color="auto" w:fill="FFFFFF"/>
        </w:rPr>
        <w:t>,</w:t>
      </w:r>
      <w:r w:rsidRPr="003037D2">
        <w:rPr>
          <w:rFonts w:ascii="Garamond" w:eastAsia="Calibri" w:hAnsi="Garamond" w:cs="Arial"/>
          <w:color w:val="252525"/>
          <w:shd w:val="clear" w:color="auto" w:fill="FFFFFF"/>
        </w:rPr>
        <w:t xml:space="preserve"> and the processes of the world. Hill’s most successful work was </w:t>
      </w:r>
      <w:r w:rsidRPr="003037D2">
        <w:rPr>
          <w:rFonts w:ascii="Garamond" w:eastAsia="Calibri" w:hAnsi="Garamond" w:cs="Arial"/>
          <w:i/>
          <w:iCs/>
        </w:rPr>
        <w:t>The Gardener’s Labyrinth</w:t>
      </w:r>
      <w:r w:rsidRPr="003037D2">
        <w:rPr>
          <w:rFonts w:ascii="Garamond" w:eastAsia="Calibri" w:hAnsi="Garamond" w:cs="Arial"/>
          <w:color w:val="252525"/>
          <w:shd w:val="clear" w:color="auto" w:fill="FFFFFF"/>
        </w:rPr>
        <w:t xml:space="preserve"> (1577), which ran to nine editions over the following six decades providing advice for gardeners and landscapers. The book provides a series of illustrations demonstrating the layout of knot-gardens and other designs. The physical space of the garden is made more easily comprehensible, and containable, by being presented from a birds-eye view. (See </w:t>
      </w:r>
      <w:r w:rsidRPr="003037D2">
        <w:rPr>
          <w:rFonts w:ascii="Garamond" w:eastAsia="Calibri" w:hAnsi="Garamond" w:cs="Arial"/>
          <w:color w:val="252525"/>
          <w:shd w:val="clear" w:color="auto" w:fill="FFFFFF"/>
        </w:rPr>
        <w:fldChar w:fldCharType="begin"/>
      </w:r>
      <w:r w:rsidRPr="003037D2">
        <w:rPr>
          <w:rFonts w:ascii="Garamond" w:eastAsia="Calibri" w:hAnsi="Garamond" w:cs="Arial"/>
          <w:color w:val="252525"/>
          <w:shd w:val="clear" w:color="auto" w:fill="FFFFFF"/>
        </w:rPr>
        <w:instrText xml:space="preserve"> REF _Ref529306313 \h  \* MERGEFORMAT </w:instrText>
      </w:r>
      <w:r w:rsidRPr="003037D2">
        <w:rPr>
          <w:rFonts w:ascii="Garamond" w:eastAsia="Calibri" w:hAnsi="Garamond" w:cs="Arial"/>
          <w:color w:val="252525"/>
          <w:shd w:val="clear" w:color="auto" w:fill="FFFFFF"/>
        </w:rPr>
      </w:r>
      <w:r w:rsidRPr="003037D2">
        <w:rPr>
          <w:rFonts w:ascii="Garamond" w:eastAsia="Calibri" w:hAnsi="Garamond" w:cs="Arial"/>
          <w:color w:val="252525"/>
          <w:shd w:val="clear" w:color="auto" w:fill="FFFFFF"/>
        </w:rPr>
        <w:fldChar w:fldCharType="separate"/>
      </w:r>
      <w:r w:rsidR="001117A3" w:rsidRPr="003037D2">
        <w:rPr>
          <w:rFonts w:ascii="Garamond" w:eastAsia="Calibri" w:hAnsi="Garamond" w:cs="Arial"/>
        </w:rPr>
        <w:t xml:space="preserve">Figure </w:t>
      </w:r>
      <w:r w:rsidR="001117A3" w:rsidRPr="003037D2">
        <w:rPr>
          <w:rFonts w:ascii="Garamond" w:eastAsia="Calibri" w:hAnsi="Garamond" w:cs="Arial"/>
          <w:noProof/>
        </w:rPr>
        <w:t>5</w:t>
      </w:r>
      <w:r w:rsidRPr="003037D2">
        <w:rPr>
          <w:rFonts w:ascii="Garamond" w:eastAsia="Calibri" w:hAnsi="Garamond" w:cs="Arial"/>
          <w:color w:val="252525"/>
          <w:shd w:val="clear" w:color="auto" w:fill="FFFFFF"/>
        </w:rPr>
        <w:fldChar w:fldCharType="end"/>
      </w:r>
      <w:r w:rsidR="00ED0F4C">
        <w:rPr>
          <w:rFonts w:ascii="Garamond" w:eastAsia="Calibri" w:hAnsi="Garamond" w:cs="Arial"/>
          <w:color w:val="252525"/>
          <w:shd w:val="clear" w:color="auto" w:fill="FFFFFF"/>
        </w:rPr>
        <w:t>.</w:t>
      </w:r>
      <w:r w:rsidRPr="003037D2">
        <w:rPr>
          <w:rFonts w:ascii="Garamond" w:eastAsia="Calibri" w:hAnsi="Garamond" w:cs="Arial"/>
          <w:color w:val="252525"/>
          <w:shd w:val="clear" w:color="auto" w:fill="FFFFFF"/>
        </w:rPr>
        <w:t xml:space="preserve">) </w:t>
      </w:r>
      <w:r w:rsidRPr="003037D2">
        <w:rPr>
          <w:rFonts w:ascii="Garamond" w:eastAsia="Calibri" w:hAnsi="Garamond" w:cs="Arial"/>
          <w:iCs/>
          <w:color w:val="252525"/>
          <w:shd w:val="clear" w:color="auto" w:fill="FFFFFF"/>
        </w:rPr>
        <w:t>In early modern England, m</w:t>
      </w:r>
      <w:r w:rsidRPr="003037D2">
        <w:rPr>
          <w:rFonts w:ascii="Garamond" w:eastAsia="Calibri" w:hAnsi="Garamond" w:cs="Arial"/>
        </w:rPr>
        <w:t xml:space="preserve">easuring was an act of power. When writing on ‘decimal </w:t>
      </w:r>
      <w:proofErr w:type="spellStart"/>
      <w:r w:rsidRPr="003037D2">
        <w:rPr>
          <w:rFonts w:ascii="Garamond" w:eastAsia="Calibri" w:hAnsi="Garamond" w:cs="Arial"/>
        </w:rPr>
        <w:t>arithmenticke</w:t>
      </w:r>
      <w:proofErr w:type="spellEnd"/>
      <w:r w:rsidRPr="003037D2">
        <w:rPr>
          <w:rFonts w:ascii="Garamond" w:eastAsia="Calibri" w:hAnsi="Garamond" w:cs="Arial"/>
        </w:rPr>
        <w:t>’, Simon Stevin addresses the world makers: ‘To Astronomers, Land-</w:t>
      </w:r>
      <w:proofErr w:type="spellStart"/>
      <w:r w:rsidRPr="003037D2">
        <w:rPr>
          <w:rFonts w:ascii="Garamond" w:eastAsia="Calibri" w:hAnsi="Garamond" w:cs="Arial"/>
        </w:rPr>
        <w:t>meaters</w:t>
      </w:r>
      <w:proofErr w:type="spellEnd"/>
      <w:r w:rsidRPr="003037D2">
        <w:rPr>
          <w:rFonts w:ascii="Garamond" w:eastAsia="Calibri" w:hAnsi="Garamond" w:cs="Arial"/>
        </w:rPr>
        <w:t xml:space="preserve">, Measurers of </w:t>
      </w:r>
      <w:proofErr w:type="spellStart"/>
      <w:r w:rsidRPr="003037D2">
        <w:rPr>
          <w:rFonts w:ascii="Garamond" w:eastAsia="Calibri" w:hAnsi="Garamond" w:cs="Arial"/>
        </w:rPr>
        <w:t>Tapistry</w:t>
      </w:r>
      <w:proofErr w:type="spellEnd"/>
      <w:r w:rsidRPr="003037D2">
        <w:rPr>
          <w:rFonts w:ascii="Garamond" w:eastAsia="Calibri" w:hAnsi="Garamond" w:cs="Arial"/>
        </w:rPr>
        <w:t xml:space="preserve">, </w:t>
      </w:r>
      <w:proofErr w:type="spellStart"/>
      <w:r w:rsidRPr="003037D2">
        <w:rPr>
          <w:rFonts w:ascii="Garamond" w:eastAsia="Calibri" w:hAnsi="Garamond" w:cs="Arial"/>
        </w:rPr>
        <w:t>Gaudgers</w:t>
      </w:r>
      <w:proofErr w:type="spellEnd"/>
      <w:r w:rsidRPr="003037D2">
        <w:rPr>
          <w:rFonts w:ascii="Garamond" w:eastAsia="Calibri" w:hAnsi="Garamond" w:cs="Arial"/>
        </w:rPr>
        <w:t xml:space="preserve">, </w:t>
      </w:r>
      <w:proofErr w:type="spellStart"/>
      <w:r w:rsidRPr="003037D2">
        <w:rPr>
          <w:rFonts w:ascii="Garamond" w:eastAsia="Calibri" w:hAnsi="Garamond" w:cs="Arial"/>
        </w:rPr>
        <w:t>Stereometers</w:t>
      </w:r>
      <w:proofErr w:type="spellEnd"/>
      <w:r w:rsidRPr="003037D2">
        <w:rPr>
          <w:rFonts w:ascii="Garamond" w:eastAsia="Calibri" w:hAnsi="Garamond" w:cs="Arial"/>
        </w:rPr>
        <w:t xml:space="preserve"> in </w:t>
      </w:r>
      <w:proofErr w:type="spellStart"/>
      <w:r w:rsidRPr="003037D2">
        <w:rPr>
          <w:rFonts w:ascii="Garamond" w:eastAsia="Calibri" w:hAnsi="Garamond" w:cs="Arial"/>
        </w:rPr>
        <w:t>generall</w:t>
      </w:r>
      <w:proofErr w:type="spellEnd"/>
      <w:r w:rsidRPr="003037D2">
        <w:rPr>
          <w:rFonts w:ascii="Garamond" w:eastAsia="Calibri" w:hAnsi="Garamond" w:cs="Arial"/>
        </w:rPr>
        <w:t xml:space="preserve">, Monty-Masters, and to all </w:t>
      </w:r>
      <w:proofErr w:type="spellStart"/>
      <w:r w:rsidRPr="003037D2">
        <w:rPr>
          <w:rFonts w:ascii="Garamond" w:eastAsia="Calibri" w:hAnsi="Garamond" w:cs="Arial"/>
        </w:rPr>
        <w:t>Marchants</w:t>
      </w:r>
      <w:proofErr w:type="spellEnd"/>
      <w:r w:rsidRPr="003037D2">
        <w:rPr>
          <w:rFonts w:ascii="Garamond" w:eastAsia="Calibri" w:hAnsi="Garamond" w:cs="Arial"/>
        </w:rPr>
        <w:t>’.</w:t>
      </w:r>
      <w:r w:rsidRPr="003037D2">
        <w:rPr>
          <w:rFonts w:ascii="Garamond" w:eastAsia="Calibri" w:hAnsi="Garamond" w:cs="Arial"/>
          <w:vertAlign w:val="superscript"/>
        </w:rPr>
        <w:footnoteReference w:id="101"/>
      </w:r>
      <w:r w:rsidRPr="003037D2">
        <w:rPr>
          <w:rFonts w:ascii="Garamond" w:eastAsia="Calibri" w:hAnsi="Garamond" w:cs="Arial"/>
        </w:rPr>
        <w:t xml:space="preserve"> Katherine Acheson has argued, with reference to Hill’s manual of garden design, that there was a close relationship between militarism and gardening in the period.</w:t>
      </w:r>
      <w:r w:rsidRPr="003037D2">
        <w:rPr>
          <w:rFonts w:ascii="Garamond" w:eastAsia="Calibri" w:hAnsi="Garamond" w:cs="Arial"/>
          <w:vertAlign w:val="superscript"/>
        </w:rPr>
        <w:footnoteReference w:id="102"/>
      </w:r>
      <w:r w:rsidRPr="003037D2">
        <w:rPr>
          <w:rFonts w:ascii="Garamond" w:eastAsia="Calibri" w:hAnsi="Garamond" w:cs="Arial"/>
        </w:rPr>
        <w:t xml:space="preserve"> Acheson suggests that both garden design and books of military strategy were ‘forms by which the early modern subject, or the early modern society, might </w:t>
      </w:r>
      <w:r w:rsidR="00531ACA" w:rsidRPr="003037D2">
        <w:rPr>
          <w:rFonts w:ascii="Garamond" w:eastAsia="Calibri" w:hAnsi="Garamond" w:cs="Arial"/>
        </w:rPr>
        <w:t>“</w:t>
      </w:r>
      <w:r w:rsidRPr="003037D2">
        <w:rPr>
          <w:rFonts w:ascii="Garamond" w:eastAsia="Calibri" w:hAnsi="Garamond" w:cs="Arial"/>
        </w:rPr>
        <w:t>measure out their place</w:t>
      </w:r>
      <w:r w:rsidR="00531ACA" w:rsidRPr="003037D2">
        <w:rPr>
          <w:rFonts w:ascii="Garamond" w:eastAsia="Calibri" w:hAnsi="Garamond" w:cs="Arial"/>
        </w:rPr>
        <w:t>”</w:t>
      </w:r>
      <w:r w:rsidRPr="003037D2">
        <w:rPr>
          <w:rFonts w:ascii="Garamond" w:eastAsia="Calibri" w:hAnsi="Garamond" w:cs="Arial"/>
        </w:rPr>
        <w:t>’</w:t>
      </w:r>
      <w:r w:rsidR="00094FAC" w:rsidRPr="003037D2">
        <w:rPr>
          <w:rFonts w:ascii="Garamond" w:eastAsia="Calibri" w:hAnsi="Garamond" w:cs="Arial"/>
        </w:rPr>
        <w:t>.</w:t>
      </w:r>
      <w:r w:rsidRPr="003037D2">
        <w:rPr>
          <w:rFonts w:ascii="Garamond" w:eastAsia="Calibri" w:hAnsi="Garamond" w:cs="Arial"/>
          <w:vertAlign w:val="superscript"/>
        </w:rPr>
        <w:footnoteReference w:id="103"/>
      </w:r>
      <w:r w:rsidRPr="003037D2">
        <w:rPr>
          <w:rFonts w:ascii="Garamond" w:eastAsia="Calibri" w:hAnsi="Garamond" w:cs="Arial"/>
        </w:rPr>
        <w:t xml:space="preserve"> Ideas and practices of mensuration, the means ‘through which earth was measured and thereby transformed into territory, property, or </w:t>
      </w:r>
      <w:r w:rsidR="00161762">
        <w:rPr>
          <w:rFonts w:ascii="Garamond" w:eastAsia="Calibri" w:hAnsi="Garamond" w:cs="Arial"/>
        </w:rPr>
        <w:t>“</w:t>
      </w:r>
      <w:r w:rsidRPr="003037D2">
        <w:rPr>
          <w:rFonts w:ascii="Garamond" w:eastAsia="Calibri" w:hAnsi="Garamond" w:cs="Arial"/>
        </w:rPr>
        <w:t>land</w:t>
      </w:r>
      <w:r w:rsidR="00161762">
        <w:rPr>
          <w:rFonts w:ascii="Garamond" w:eastAsia="Calibri" w:hAnsi="Garamond" w:cs="Arial"/>
        </w:rPr>
        <w:t>”</w:t>
      </w:r>
      <w:r w:rsidRPr="003037D2">
        <w:rPr>
          <w:rFonts w:ascii="Garamond" w:eastAsia="Calibri" w:hAnsi="Garamond" w:cs="Arial"/>
        </w:rPr>
        <w:t>’, were key to the conceptualization of space in the period.</w:t>
      </w:r>
      <w:r w:rsidRPr="003037D2">
        <w:rPr>
          <w:rFonts w:ascii="Garamond" w:eastAsia="Calibri" w:hAnsi="Garamond" w:cs="Arial"/>
          <w:vertAlign w:val="superscript"/>
        </w:rPr>
        <w:footnoteReference w:id="104"/>
      </w:r>
      <w:r w:rsidRPr="003037D2">
        <w:rPr>
          <w:rFonts w:ascii="Garamond" w:eastAsia="Calibri" w:hAnsi="Garamond" w:cs="Arial"/>
        </w:rPr>
        <w:t xml:space="preserve"> Interestingly, the British Library copy of Hill’s </w:t>
      </w:r>
      <w:r w:rsidRPr="003037D2">
        <w:rPr>
          <w:rFonts w:ascii="Garamond" w:eastAsia="Calibri" w:hAnsi="Garamond" w:cs="Arial"/>
          <w:i/>
          <w:iCs/>
        </w:rPr>
        <w:t xml:space="preserve">A most </w:t>
      </w:r>
      <w:proofErr w:type="spellStart"/>
      <w:r w:rsidRPr="003037D2">
        <w:rPr>
          <w:rFonts w:ascii="Garamond" w:eastAsia="Calibri" w:hAnsi="Garamond" w:cs="Arial"/>
          <w:i/>
          <w:iCs/>
        </w:rPr>
        <w:t>briefe</w:t>
      </w:r>
      <w:proofErr w:type="spellEnd"/>
      <w:r w:rsidRPr="003037D2">
        <w:rPr>
          <w:rFonts w:ascii="Garamond" w:eastAsia="Calibri" w:hAnsi="Garamond" w:cs="Arial"/>
          <w:i/>
          <w:iCs/>
        </w:rPr>
        <w:t xml:space="preserve"> and </w:t>
      </w:r>
      <w:proofErr w:type="spellStart"/>
      <w:r w:rsidRPr="003037D2">
        <w:rPr>
          <w:rFonts w:ascii="Garamond" w:eastAsia="Calibri" w:hAnsi="Garamond" w:cs="Arial"/>
          <w:i/>
          <w:iCs/>
        </w:rPr>
        <w:t>pleasaunt</w:t>
      </w:r>
      <w:proofErr w:type="spellEnd"/>
      <w:r w:rsidRPr="003037D2">
        <w:rPr>
          <w:rFonts w:ascii="Garamond" w:eastAsia="Calibri" w:hAnsi="Garamond" w:cs="Arial"/>
          <w:i/>
          <w:iCs/>
        </w:rPr>
        <w:t xml:space="preserve"> </w:t>
      </w:r>
      <w:proofErr w:type="spellStart"/>
      <w:r w:rsidRPr="003037D2">
        <w:rPr>
          <w:rFonts w:ascii="Garamond" w:eastAsia="Calibri" w:hAnsi="Garamond" w:cs="Arial"/>
          <w:i/>
          <w:iCs/>
        </w:rPr>
        <w:t>treatyse</w:t>
      </w:r>
      <w:proofErr w:type="spellEnd"/>
      <w:r w:rsidRPr="003037D2">
        <w:rPr>
          <w:rFonts w:ascii="Garamond" w:eastAsia="Calibri" w:hAnsi="Garamond" w:cs="Arial"/>
          <w:i/>
          <w:iCs/>
        </w:rPr>
        <w:t xml:space="preserve">, </w:t>
      </w:r>
      <w:proofErr w:type="spellStart"/>
      <w:r w:rsidRPr="003037D2">
        <w:rPr>
          <w:rFonts w:ascii="Garamond" w:eastAsia="Calibri" w:hAnsi="Garamond" w:cs="Arial"/>
          <w:i/>
          <w:iCs/>
        </w:rPr>
        <w:t>teachynge</w:t>
      </w:r>
      <w:proofErr w:type="spellEnd"/>
      <w:r w:rsidRPr="003037D2">
        <w:rPr>
          <w:rFonts w:ascii="Garamond" w:eastAsia="Calibri" w:hAnsi="Garamond" w:cs="Arial"/>
          <w:i/>
          <w:iCs/>
        </w:rPr>
        <w:t xml:space="preserve"> </w:t>
      </w:r>
      <w:proofErr w:type="spellStart"/>
      <w:r w:rsidRPr="003037D2">
        <w:rPr>
          <w:rFonts w:ascii="Garamond" w:eastAsia="Calibri" w:hAnsi="Garamond" w:cs="Arial"/>
          <w:i/>
          <w:iCs/>
        </w:rPr>
        <w:t>howe</w:t>
      </w:r>
      <w:proofErr w:type="spellEnd"/>
      <w:r w:rsidRPr="003037D2">
        <w:rPr>
          <w:rFonts w:ascii="Garamond" w:eastAsia="Calibri" w:hAnsi="Garamond" w:cs="Arial"/>
          <w:i/>
          <w:iCs/>
        </w:rPr>
        <w:t xml:space="preserve"> to dress, </w:t>
      </w:r>
      <w:proofErr w:type="spellStart"/>
      <w:r w:rsidRPr="003037D2">
        <w:rPr>
          <w:rFonts w:ascii="Garamond" w:eastAsia="Calibri" w:hAnsi="Garamond" w:cs="Arial"/>
          <w:i/>
          <w:iCs/>
        </w:rPr>
        <w:t>sowe</w:t>
      </w:r>
      <w:proofErr w:type="spellEnd"/>
      <w:r w:rsidRPr="003037D2">
        <w:rPr>
          <w:rFonts w:ascii="Garamond" w:eastAsia="Calibri" w:hAnsi="Garamond" w:cs="Arial"/>
          <w:i/>
          <w:iCs/>
        </w:rPr>
        <w:t>, and set a garden</w:t>
      </w:r>
      <w:r w:rsidRPr="003037D2">
        <w:rPr>
          <w:rFonts w:ascii="Garamond" w:eastAsia="Calibri" w:hAnsi="Garamond" w:cs="Arial"/>
          <w:i/>
        </w:rPr>
        <w:t xml:space="preserve"> </w:t>
      </w:r>
      <w:r w:rsidRPr="003037D2">
        <w:rPr>
          <w:rFonts w:ascii="Garamond" w:eastAsia="Calibri" w:hAnsi="Garamond" w:cs="Arial"/>
          <w:iCs/>
        </w:rPr>
        <w:t xml:space="preserve">(1563),  a precursor to </w:t>
      </w:r>
      <w:r w:rsidRPr="003037D2">
        <w:rPr>
          <w:rFonts w:ascii="Garamond" w:eastAsia="Calibri" w:hAnsi="Garamond" w:cs="Arial"/>
          <w:i/>
        </w:rPr>
        <w:t xml:space="preserve">The Gardener’s Labyrinth, </w:t>
      </w:r>
      <w:r w:rsidRPr="003037D2">
        <w:rPr>
          <w:rFonts w:ascii="Garamond" w:eastAsia="Calibri" w:hAnsi="Garamond" w:cs="Arial"/>
        </w:rPr>
        <w:t>includes marginal annotations suggesting that it has been used at least in part as an account book.</w:t>
      </w:r>
      <w:r w:rsidRPr="003037D2">
        <w:rPr>
          <w:rFonts w:ascii="Garamond" w:eastAsia="Calibri" w:hAnsi="Garamond" w:cs="Arial"/>
          <w:vertAlign w:val="superscript"/>
        </w:rPr>
        <w:footnoteReference w:id="105"/>
      </w:r>
      <w:r w:rsidRPr="003037D2">
        <w:rPr>
          <w:rFonts w:ascii="Garamond" w:eastAsia="Calibri" w:hAnsi="Garamond" w:cs="Arial"/>
        </w:rPr>
        <w:t xml:space="preserve"> A copy of Henry </w:t>
      </w:r>
      <w:proofErr w:type="spellStart"/>
      <w:r w:rsidRPr="003037D2">
        <w:rPr>
          <w:rFonts w:ascii="Garamond" w:eastAsia="Calibri" w:hAnsi="Garamond" w:cs="Arial"/>
        </w:rPr>
        <w:lastRenderedPageBreak/>
        <w:t>Phillippes</w:t>
      </w:r>
      <w:proofErr w:type="spellEnd"/>
      <w:r w:rsidRPr="003037D2">
        <w:rPr>
          <w:rFonts w:ascii="Garamond" w:eastAsia="Calibri" w:hAnsi="Garamond" w:cs="Arial"/>
        </w:rPr>
        <w:t xml:space="preserve">’ </w:t>
      </w:r>
      <w:r w:rsidRPr="003037D2">
        <w:rPr>
          <w:rFonts w:ascii="Garamond" w:eastAsia="Calibri" w:hAnsi="Garamond" w:cs="Arial"/>
          <w:i/>
          <w:iCs/>
        </w:rPr>
        <w:t xml:space="preserve">A Constant </w:t>
      </w:r>
      <w:proofErr w:type="spellStart"/>
      <w:r w:rsidRPr="003037D2">
        <w:rPr>
          <w:rFonts w:ascii="Garamond" w:eastAsia="Calibri" w:hAnsi="Garamond" w:cs="Arial"/>
          <w:i/>
          <w:iCs/>
        </w:rPr>
        <w:t>Kalender</w:t>
      </w:r>
      <w:proofErr w:type="spellEnd"/>
      <w:r w:rsidRPr="003037D2">
        <w:rPr>
          <w:rFonts w:ascii="Garamond" w:eastAsia="Calibri" w:hAnsi="Garamond" w:cs="Arial"/>
          <w:i/>
          <w:iCs/>
        </w:rPr>
        <w:t xml:space="preserve"> or, An Almanack for 300 years </w:t>
      </w:r>
      <w:r w:rsidRPr="003037D2">
        <w:rPr>
          <w:rFonts w:ascii="Garamond" w:eastAsia="Calibri" w:hAnsi="Garamond" w:cs="Arial"/>
        </w:rPr>
        <w:t xml:space="preserve">held in the Huntington Library is bound together with </w:t>
      </w:r>
      <w:r w:rsidRPr="003037D2">
        <w:rPr>
          <w:rFonts w:ascii="Garamond" w:eastAsia="Calibri" w:hAnsi="Garamond" w:cs="Arial"/>
          <w:i/>
          <w:iCs/>
        </w:rPr>
        <w:t xml:space="preserve">The Purchasers Pattern, </w:t>
      </w:r>
      <w:r w:rsidRPr="003037D2">
        <w:rPr>
          <w:rFonts w:ascii="Garamond" w:eastAsia="Calibri" w:hAnsi="Garamond" w:cs="Arial"/>
        </w:rPr>
        <w:t xml:space="preserve">also by </w:t>
      </w:r>
      <w:proofErr w:type="spellStart"/>
      <w:r w:rsidRPr="003037D2">
        <w:rPr>
          <w:rFonts w:ascii="Garamond" w:eastAsia="Calibri" w:hAnsi="Garamond" w:cs="Arial"/>
        </w:rPr>
        <w:t>Phillipes</w:t>
      </w:r>
      <w:proofErr w:type="spellEnd"/>
      <w:r w:rsidRPr="003037D2">
        <w:rPr>
          <w:rFonts w:ascii="Garamond" w:eastAsia="Calibri" w:hAnsi="Garamond" w:cs="Arial"/>
        </w:rPr>
        <w:t xml:space="preserve">. This thick volume contains details on property law, heavily annotated by the owner.  The same author is clearly interested and versed in both the measuring of land and the measuring of time. Indeed, considerations of land law necessarily come to involve both, as </w:t>
      </w:r>
      <w:r w:rsidRPr="003037D2">
        <w:rPr>
          <w:rFonts w:ascii="Garamond" w:eastAsia="Calibri" w:hAnsi="Garamond" w:cs="Arial"/>
          <w:i/>
          <w:iCs/>
        </w:rPr>
        <w:t xml:space="preserve">The Purchasers Pattern </w:t>
      </w:r>
      <w:r w:rsidRPr="003037D2">
        <w:rPr>
          <w:rFonts w:ascii="Garamond" w:eastAsia="Calibri" w:hAnsi="Garamond" w:cs="Arial"/>
        </w:rPr>
        <w:t>includes detailed tables enabling the owner to work out ‘rebate’ over decades.</w:t>
      </w:r>
      <w:r w:rsidRPr="003037D2">
        <w:rPr>
          <w:rFonts w:ascii="Garamond" w:eastAsia="Calibri" w:hAnsi="Garamond" w:cs="Arial"/>
          <w:vertAlign w:val="superscript"/>
        </w:rPr>
        <w:footnoteReference w:id="106"/>
      </w:r>
      <w:r w:rsidRPr="003037D2">
        <w:rPr>
          <w:rFonts w:ascii="Garamond" w:eastAsia="Calibri" w:hAnsi="Garamond" w:cs="Arial"/>
        </w:rPr>
        <w:t xml:space="preserve"> In Acheson’s terms</w:t>
      </w:r>
      <w:r w:rsidR="00094FAC" w:rsidRPr="003037D2">
        <w:rPr>
          <w:rFonts w:ascii="Garamond" w:eastAsia="Calibri" w:hAnsi="Garamond" w:cs="Arial"/>
        </w:rPr>
        <w:t>:</w:t>
      </w:r>
    </w:p>
    <w:p w14:paraId="310179A2" w14:textId="59A104F5" w:rsidR="00094FAC" w:rsidRPr="003037D2" w:rsidRDefault="00094FAC" w:rsidP="002F1250">
      <w:pPr>
        <w:ind w:left="737" w:right="737"/>
        <w:contextualSpacing/>
        <w:rPr>
          <w:rFonts w:ascii="Garamond" w:eastAsia="Calibri" w:hAnsi="Garamond" w:cs="Arial"/>
          <w:color w:val="252525"/>
          <w:shd w:val="clear" w:color="auto" w:fill="FFFFFF"/>
        </w:rPr>
      </w:pPr>
      <w:r w:rsidRPr="003037D2">
        <w:rPr>
          <w:rFonts w:ascii="Garamond" w:eastAsia="Calibri" w:hAnsi="Garamond" w:cs="Arial"/>
        </w:rPr>
        <w:t>[</w:t>
      </w:r>
      <w:r w:rsidR="00162224" w:rsidRPr="003037D2">
        <w:rPr>
          <w:rFonts w:ascii="Garamond" w:eastAsia="Calibri" w:hAnsi="Garamond" w:cs="Arial"/>
        </w:rPr>
        <w:t>the seventeenth</w:t>
      </w:r>
      <w:r w:rsidRPr="003037D2">
        <w:rPr>
          <w:rFonts w:ascii="Garamond" w:eastAsia="Calibri" w:hAnsi="Garamond" w:cs="Arial"/>
        </w:rPr>
        <w:t xml:space="preserve"> </w:t>
      </w:r>
      <w:r w:rsidR="00162224" w:rsidRPr="003037D2">
        <w:rPr>
          <w:rFonts w:ascii="Garamond" w:eastAsia="Calibri" w:hAnsi="Garamond" w:cs="Arial"/>
        </w:rPr>
        <w:t>century</w:t>
      </w:r>
      <w:r w:rsidRPr="003037D2">
        <w:rPr>
          <w:rFonts w:ascii="Garamond" w:eastAsia="Calibri" w:hAnsi="Garamond" w:cs="Arial"/>
        </w:rPr>
        <w:t xml:space="preserve">] </w:t>
      </w:r>
      <w:r w:rsidR="00162224" w:rsidRPr="003037D2">
        <w:rPr>
          <w:rFonts w:ascii="Garamond" w:eastAsia="Calibri" w:hAnsi="Garamond" w:cs="Arial"/>
        </w:rPr>
        <w:t>commodification of land, which contributed to the development of political theories, national ideologies, and structures of epistemology, required measurement and representation. Dominion, whether achieved through cultivation or conquest, had a length, a breadth, and a function, and was described through the arts of the diagram.</w:t>
      </w:r>
      <w:r w:rsidR="00C03F06" w:rsidRPr="003037D2">
        <w:rPr>
          <w:rFonts w:ascii="Garamond" w:eastAsia="Calibri" w:hAnsi="Garamond" w:cs="Arial"/>
          <w:vertAlign w:val="superscript"/>
        </w:rPr>
        <w:t xml:space="preserve"> </w:t>
      </w:r>
      <w:r w:rsidR="00C03F06" w:rsidRPr="003037D2">
        <w:rPr>
          <w:rFonts w:ascii="Garamond" w:eastAsia="Calibri" w:hAnsi="Garamond" w:cs="Arial"/>
          <w:vertAlign w:val="superscript"/>
        </w:rPr>
        <w:footnoteReference w:id="107"/>
      </w:r>
      <w:r w:rsidR="00162224" w:rsidRPr="003037D2">
        <w:rPr>
          <w:rFonts w:ascii="Garamond" w:eastAsia="Calibri" w:hAnsi="Garamond" w:cs="Arial"/>
          <w:color w:val="252525"/>
          <w:shd w:val="clear" w:color="auto" w:fill="FFFFFF"/>
        </w:rPr>
        <w:t xml:space="preserve"> </w:t>
      </w:r>
    </w:p>
    <w:p w14:paraId="6A915A90" w14:textId="77777777" w:rsidR="00094FAC" w:rsidRPr="003037D2" w:rsidRDefault="00094FAC" w:rsidP="00094FAC">
      <w:pPr>
        <w:ind w:left="737" w:right="737"/>
        <w:contextualSpacing/>
        <w:rPr>
          <w:rFonts w:ascii="Garamond" w:eastAsia="Calibri" w:hAnsi="Garamond" w:cs="Arial"/>
          <w:color w:val="252525"/>
          <w:shd w:val="clear" w:color="auto" w:fill="FFFFFF"/>
        </w:rPr>
      </w:pPr>
    </w:p>
    <w:p w14:paraId="60979E11" w14:textId="40DB1D57" w:rsidR="00162224" w:rsidRPr="003037D2" w:rsidRDefault="00162224" w:rsidP="00094FAC">
      <w:pPr>
        <w:spacing w:line="360" w:lineRule="auto"/>
        <w:rPr>
          <w:rFonts w:ascii="Garamond" w:eastAsia="Calibri" w:hAnsi="Garamond" w:cs="Arial"/>
          <w:color w:val="252525"/>
          <w:shd w:val="clear" w:color="auto" w:fill="FFFFFF"/>
        </w:rPr>
      </w:pPr>
      <w:r w:rsidRPr="003037D2">
        <w:rPr>
          <w:rFonts w:ascii="Garamond" w:eastAsia="Calibri" w:hAnsi="Garamond" w:cs="Arial"/>
          <w:color w:val="252525"/>
          <w:shd w:val="clear" w:color="auto" w:fill="FFFFFF"/>
        </w:rPr>
        <w:t xml:space="preserve">In the same way that the garden design manual allows, indeed invites, the reader to imagine themselves as master of the land, the almanac as a printed form suggests that the reader and owner can see themselves as masters of time. </w:t>
      </w:r>
    </w:p>
    <w:p w14:paraId="3397D130" w14:textId="77777777" w:rsidR="00162224" w:rsidRPr="003037D2" w:rsidRDefault="00162224" w:rsidP="00162224">
      <w:pPr>
        <w:spacing w:line="360" w:lineRule="auto"/>
        <w:ind w:firstLine="720"/>
        <w:rPr>
          <w:rFonts w:ascii="Garamond" w:eastAsia="Calibri" w:hAnsi="Garamond" w:cs="Arial"/>
        </w:rPr>
      </w:pPr>
    </w:p>
    <w:p w14:paraId="6240DE33" w14:textId="1BEE8896" w:rsidR="00162224" w:rsidRPr="003037D2" w:rsidRDefault="00162224" w:rsidP="00162224">
      <w:pPr>
        <w:spacing w:line="360" w:lineRule="auto"/>
        <w:ind w:firstLine="720"/>
        <w:rPr>
          <w:rFonts w:ascii="Garamond" w:eastAsia="Calibri" w:hAnsi="Garamond" w:cs="Arial"/>
          <w:color w:val="252525"/>
          <w:shd w:val="clear" w:color="auto" w:fill="FFFFFF"/>
        </w:rPr>
      </w:pPr>
      <w:r w:rsidRPr="003037D2">
        <w:rPr>
          <w:rFonts w:ascii="Garamond" w:eastAsia="Calibri" w:hAnsi="Garamond" w:cs="Arial"/>
          <w:iCs/>
          <w:color w:val="252525"/>
          <w:shd w:val="clear" w:color="auto" w:fill="FFFFFF"/>
        </w:rPr>
        <w:t xml:space="preserve">Nathaniel Nye’s almanac gives a helpful example of how closely linked the mastery of the space of the page and the spaces of land could be. Indeed, both these skills could be bought – either by purchasing lessons or by buying a book. The frontispiece to Nye’s </w:t>
      </w:r>
      <w:r w:rsidRPr="003037D2">
        <w:rPr>
          <w:rFonts w:ascii="Garamond" w:eastAsia="Calibri" w:hAnsi="Garamond" w:cs="Arial"/>
          <w:color w:val="252525"/>
          <w:shd w:val="clear" w:color="auto" w:fill="FFFFFF"/>
        </w:rPr>
        <w:t xml:space="preserve">1645 </w:t>
      </w:r>
      <w:r w:rsidRPr="003037D2">
        <w:rPr>
          <w:rFonts w:ascii="Garamond" w:eastAsia="Calibri" w:hAnsi="Garamond" w:cs="Arial"/>
          <w:i/>
          <w:iCs/>
          <w:color w:val="252525"/>
          <w:shd w:val="clear" w:color="auto" w:fill="FFFFFF"/>
        </w:rPr>
        <w:t xml:space="preserve">A New </w:t>
      </w:r>
      <w:proofErr w:type="spellStart"/>
      <w:r w:rsidRPr="003037D2">
        <w:rPr>
          <w:rFonts w:ascii="Garamond" w:eastAsia="Calibri" w:hAnsi="Garamond" w:cs="Arial"/>
          <w:i/>
          <w:iCs/>
          <w:color w:val="252525"/>
          <w:shd w:val="clear" w:color="auto" w:fill="FFFFFF"/>
        </w:rPr>
        <w:t>Almanacke</w:t>
      </w:r>
      <w:proofErr w:type="spellEnd"/>
      <w:r w:rsidRPr="003037D2">
        <w:rPr>
          <w:rFonts w:ascii="Garamond" w:eastAsia="Calibri" w:hAnsi="Garamond" w:cs="Arial"/>
          <w:i/>
          <w:iCs/>
          <w:color w:val="252525"/>
          <w:shd w:val="clear" w:color="auto" w:fill="FFFFFF"/>
        </w:rPr>
        <w:t xml:space="preserve"> and prognostication </w:t>
      </w:r>
      <w:r w:rsidRPr="003037D2">
        <w:rPr>
          <w:rFonts w:ascii="Garamond" w:eastAsia="Calibri" w:hAnsi="Garamond" w:cs="Arial"/>
          <w:color w:val="252525"/>
          <w:shd w:val="clear" w:color="auto" w:fill="FFFFFF"/>
        </w:rPr>
        <w:t xml:space="preserve">announces: ‘Arts </w:t>
      </w:r>
      <w:proofErr w:type="spellStart"/>
      <w:r w:rsidRPr="003037D2">
        <w:rPr>
          <w:rFonts w:ascii="Garamond" w:eastAsia="Calibri" w:hAnsi="Garamond" w:cs="Arial"/>
          <w:color w:val="252525"/>
          <w:shd w:val="clear" w:color="auto" w:fill="FFFFFF"/>
        </w:rPr>
        <w:t>Mathematicall</w:t>
      </w:r>
      <w:proofErr w:type="spellEnd"/>
      <w:r w:rsidRPr="003037D2">
        <w:rPr>
          <w:rFonts w:ascii="Garamond" w:eastAsia="Calibri" w:hAnsi="Garamond" w:cs="Arial"/>
          <w:color w:val="252525"/>
          <w:shd w:val="clear" w:color="auto" w:fill="FFFFFF"/>
        </w:rPr>
        <w:t xml:space="preserve"> in </w:t>
      </w:r>
      <w:r w:rsidRPr="003037D2">
        <w:rPr>
          <w:rFonts w:ascii="Garamond" w:eastAsia="Calibri" w:hAnsi="Garamond" w:cs="Arial"/>
          <w:i/>
          <w:iCs/>
          <w:color w:val="252525"/>
          <w:shd w:val="clear" w:color="auto" w:fill="FFFFFF"/>
        </w:rPr>
        <w:t xml:space="preserve">Coventry </w:t>
      </w:r>
      <w:r w:rsidRPr="003037D2">
        <w:rPr>
          <w:rFonts w:ascii="Garamond" w:eastAsia="Calibri" w:hAnsi="Garamond" w:cs="Arial"/>
          <w:color w:val="252525"/>
          <w:shd w:val="clear" w:color="auto" w:fill="FFFFFF"/>
        </w:rPr>
        <w:t xml:space="preserve">taught by </w:t>
      </w:r>
      <w:r w:rsidRPr="003037D2">
        <w:rPr>
          <w:rFonts w:ascii="Garamond" w:eastAsia="Calibri" w:hAnsi="Garamond" w:cs="Arial"/>
          <w:i/>
          <w:iCs/>
          <w:color w:val="252525"/>
          <w:shd w:val="clear" w:color="auto" w:fill="FFFFFF"/>
        </w:rPr>
        <w:t xml:space="preserve">N. Nye </w:t>
      </w:r>
      <w:proofErr w:type="spellStart"/>
      <w:r w:rsidRPr="003037D2">
        <w:rPr>
          <w:rFonts w:ascii="Garamond" w:eastAsia="Calibri" w:hAnsi="Garamond" w:cs="Arial"/>
          <w:color w:val="252525"/>
          <w:shd w:val="clear" w:color="auto" w:fill="FFFFFF"/>
        </w:rPr>
        <w:t>Mathematitian</w:t>
      </w:r>
      <w:proofErr w:type="spellEnd"/>
      <w:r w:rsidRPr="003037D2">
        <w:rPr>
          <w:rFonts w:ascii="Garamond" w:eastAsia="Calibri" w:hAnsi="Garamond" w:cs="Arial"/>
          <w:color w:val="252525"/>
          <w:shd w:val="clear" w:color="auto" w:fill="FFFFFF"/>
        </w:rPr>
        <w:t xml:space="preserve">, these Artes, Sciences, and Faculties hereunder expressed… </w:t>
      </w:r>
      <w:proofErr w:type="spellStart"/>
      <w:r w:rsidRPr="003037D2">
        <w:rPr>
          <w:rFonts w:ascii="Garamond" w:eastAsia="Calibri" w:hAnsi="Garamond" w:cs="Arial"/>
          <w:color w:val="252525"/>
          <w:shd w:val="clear" w:color="auto" w:fill="FFFFFF"/>
        </w:rPr>
        <w:t>Arithme</w:t>
      </w:r>
      <w:proofErr w:type="spellEnd"/>
      <w:r w:rsidRPr="003037D2">
        <w:rPr>
          <w:rFonts w:ascii="Garamond" w:eastAsia="Calibri" w:hAnsi="Garamond" w:cs="Arial"/>
          <w:color w:val="252525"/>
          <w:shd w:val="clear" w:color="auto" w:fill="FFFFFF"/>
        </w:rPr>
        <w:t xml:space="preserve">[tic]/ Geometry/ Music/ </w:t>
      </w:r>
      <w:proofErr w:type="spellStart"/>
      <w:r w:rsidRPr="003037D2">
        <w:rPr>
          <w:rFonts w:ascii="Garamond" w:eastAsia="Calibri" w:hAnsi="Garamond" w:cs="Arial"/>
          <w:color w:val="252525"/>
          <w:shd w:val="clear" w:color="auto" w:fill="FFFFFF"/>
        </w:rPr>
        <w:t>Astronome</w:t>
      </w:r>
      <w:proofErr w:type="spellEnd"/>
      <w:r w:rsidRPr="003037D2">
        <w:rPr>
          <w:rFonts w:ascii="Garamond" w:eastAsia="Calibri" w:hAnsi="Garamond" w:cs="Arial"/>
          <w:color w:val="252525"/>
          <w:shd w:val="clear" w:color="auto" w:fill="FFFFFF"/>
        </w:rPr>
        <w:t xml:space="preserve"> / Navigation’.</w:t>
      </w:r>
      <w:r w:rsidRPr="003037D2">
        <w:rPr>
          <w:rFonts w:ascii="Garamond" w:eastAsia="Calibri" w:hAnsi="Garamond" w:cs="Arial"/>
          <w:color w:val="252525"/>
          <w:shd w:val="clear" w:color="auto" w:fill="FFFFFF"/>
          <w:vertAlign w:val="superscript"/>
        </w:rPr>
        <w:footnoteReference w:id="108"/>
      </w:r>
      <w:r w:rsidRPr="003037D2">
        <w:rPr>
          <w:rFonts w:ascii="Garamond" w:eastAsia="Calibri" w:hAnsi="Garamond" w:cs="Arial"/>
          <w:color w:val="252525"/>
          <w:shd w:val="clear" w:color="auto" w:fill="FFFFFF"/>
        </w:rPr>
        <w:t xml:space="preserve"> As shown in </w:t>
      </w:r>
      <w:r w:rsidRPr="003037D2">
        <w:rPr>
          <w:rFonts w:ascii="Garamond" w:eastAsia="Calibri" w:hAnsi="Garamond" w:cs="Arial"/>
          <w:color w:val="252525"/>
          <w:shd w:val="clear" w:color="auto" w:fill="FFFFFF"/>
        </w:rPr>
        <w:fldChar w:fldCharType="begin"/>
      </w:r>
      <w:r w:rsidRPr="003037D2">
        <w:rPr>
          <w:rFonts w:ascii="Garamond" w:eastAsia="Calibri" w:hAnsi="Garamond" w:cs="Arial"/>
          <w:color w:val="252525"/>
          <w:shd w:val="clear" w:color="auto" w:fill="FFFFFF"/>
        </w:rPr>
        <w:instrText xml:space="preserve"> REF _Ref530143311 \h  \* MERGEFORMAT </w:instrText>
      </w:r>
      <w:r w:rsidRPr="003037D2">
        <w:rPr>
          <w:rFonts w:ascii="Garamond" w:eastAsia="Calibri" w:hAnsi="Garamond" w:cs="Arial"/>
          <w:color w:val="252525"/>
          <w:shd w:val="clear" w:color="auto" w:fill="FFFFFF"/>
        </w:rPr>
      </w:r>
      <w:r w:rsidRPr="003037D2">
        <w:rPr>
          <w:rFonts w:ascii="Garamond" w:eastAsia="Calibri" w:hAnsi="Garamond" w:cs="Arial"/>
          <w:color w:val="252525"/>
          <w:shd w:val="clear" w:color="auto" w:fill="FFFFFF"/>
        </w:rPr>
        <w:fldChar w:fldCharType="separate"/>
      </w:r>
      <w:r w:rsidR="001117A3" w:rsidRPr="003037D2">
        <w:rPr>
          <w:rFonts w:ascii="Garamond" w:eastAsia="Calibri" w:hAnsi="Garamond" w:cs="Arial"/>
        </w:rPr>
        <w:t xml:space="preserve">Figure </w:t>
      </w:r>
      <w:r w:rsidR="001117A3" w:rsidRPr="003037D2">
        <w:rPr>
          <w:rFonts w:ascii="Garamond" w:eastAsia="Calibri" w:hAnsi="Garamond" w:cs="Arial"/>
          <w:noProof/>
        </w:rPr>
        <w:t>6</w:t>
      </w:r>
      <w:r w:rsidRPr="003037D2">
        <w:rPr>
          <w:rFonts w:ascii="Garamond" w:eastAsia="Calibri" w:hAnsi="Garamond" w:cs="Arial"/>
          <w:color w:val="252525"/>
          <w:shd w:val="clear" w:color="auto" w:fill="FFFFFF"/>
        </w:rPr>
        <w:fldChar w:fldCharType="end"/>
      </w:r>
      <w:r w:rsidRPr="003037D2">
        <w:rPr>
          <w:rFonts w:ascii="Garamond" w:eastAsia="Calibri" w:hAnsi="Garamond" w:cs="Arial"/>
          <w:color w:val="252525"/>
          <w:shd w:val="clear" w:color="auto" w:fill="FFFFFF"/>
        </w:rPr>
        <w:t xml:space="preserve">, these different disciplines are broken into their practical applications, whether that be the ‘measuring of Land, and reducing of Plots or Maps to any proportion’, the use of a ‘Quadrant, </w:t>
      </w:r>
      <w:proofErr w:type="spellStart"/>
      <w:r w:rsidRPr="003037D2">
        <w:rPr>
          <w:rFonts w:ascii="Garamond" w:eastAsia="Calibri" w:hAnsi="Garamond" w:cs="Arial"/>
          <w:color w:val="252525"/>
          <w:shd w:val="clear" w:color="auto" w:fill="FFFFFF"/>
        </w:rPr>
        <w:t>Teoledite</w:t>
      </w:r>
      <w:proofErr w:type="spellEnd"/>
      <w:r w:rsidRPr="003037D2">
        <w:rPr>
          <w:rFonts w:ascii="Garamond" w:eastAsia="Calibri" w:hAnsi="Garamond" w:cs="Arial"/>
          <w:color w:val="252525"/>
          <w:shd w:val="clear" w:color="auto" w:fill="FFFFFF"/>
        </w:rPr>
        <w:t xml:space="preserve">, </w:t>
      </w:r>
      <w:proofErr w:type="spellStart"/>
      <w:r w:rsidRPr="003037D2">
        <w:rPr>
          <w:rFonts w:ascii="Garamond" w:eastAsia="Calibri" w:hAnsi="Garamond" w:cs="Arial"/>
          <w:color w:val="252525"/>
          <w:shd w:val="clear" w:color="auto" w:fill="FFFFFF"/>
        </w:rPr>
        <w:t>Plaine</w:t>
      </w:r>
      <w:proofErr w:type="spellEnd"/>
      <w:r w:rsidRPr="003037D2">
        <w:rPr>
          <w:rFonts w:ascii="Garamond" w:eastAsia="Calibri" w:hAnsi="Garamond" w:cs="Arial"/>
          <w:color w:val="252525"/>
          <w:shd w:val="clear" w:color="auto" w:fill="FFFFFF"/>
        </w:rPr>
        <w:t xml:space="preserve"> Table </w:t>
      </w:r>
      <w:proofErr w:type="spellStart"/>
      <w:r w:rsidRPr="003037D2">
        <w:rPr>
          <w:rFonts w:ascii="Garamond" w:eastAsia="Calibri" w:hAnsi="Garamond" w:cs="Arial"/>
          <w:color w:val="252525"/>
          <w:shd w:val="clear" w:color="auto" w:fill="FFFFFF"/>
        </w:rPr>
        <w:t>Circumferencer</w:t>
      </w:r>
      <w:proofErr w:type="spellEnd"/>
      <w:r w:rsidRPr="003037D2">
        <w:rPr>
          <w:rFonts w:ascii="Garamond" w:eastAsia="Calibri" w:hAnsi="Garamond" w:cs="Arial"/>
          <w:color w:val="252525"/>
          <w:shd w:val="clear" w:color="auto" w:fill="FFFFFF"/>
        </w:rPr>
        <w:t xml:space="preserve">, Circular Seale, </w:t>
      </w:r>
      <w:proofErr w:type="spellStart"/>
      <w:r w:rsidRPr="003037D2">
        <w:rPr>
          <w:rFonts w:ascii="Garamond" w:eastAsia="Calibri" w:hAnsi="Garamond" w:cs="Arial"/>
          <w:color w:val="252525"/>
          <w:shd w:val="clear" w:color="auto" w:fill="FFFFFF"/>
        </w:rPr>
        <w:t>Mathematicall</w:t>
      </w:r>
      <w:proofErr w:type="spellEnd"/>
      <w:r w:rsidRPr="003037D2">
        <w:rPr>
          <w:rFonts w:ascii="Garamond" w:eastAsia="Calibri" w:hAnsi="Garamond" w:cs="Arial"/>
          <w:color w:val="252525"/>
          <w:shd w:val="clear" w:color="auto" w:fill="FFFFFF"/>
        </w:rPr>
        <w:t xml:space="preserve"> Seale, or Rector Rules’, or ‘to calculate the true motion of the Heavens’.</w:t>
      </w:r>
      <w:r w:rsidRPr="003037D2">
        <w:rPr>
          <w:rFonts w:ascii="Garamond" w:eastAsia="Calibri" w:hAnsi="Garamond" w:cs="Arial"/>
          <w:color w:val="252525"/>
          <w:shd w:val="clear" w:color="auto" w:fill="FFFFFF"/>
          <w:vertAlign w:val="superscript"/>
        </w:rPr>
        <w:footnoteReference w:id="109"/>
      </w:r>
      <w:r w:rsidRPr="003037D2">
        <w:rPr>
          <w:rFonts w:ascii="Garamond" w:eastAsia="Calibri" w:hAnsi="Garamond" w:cs="Arial"/>
          <w:color w:val="252525"/>
          <w:shd w:val="clear" w:color="auto" w:fill="FFFFFF"/>
        </w:rPr>
        <w:t xml:space="preserve"> Different fields of knowledge have been very obviously and literally diagrammed, their relationships to one another spatially defined within the page. Nye’s status as a teacher of mensuration (‘measuring of lands’) </w:t>
      </w:r>
      <w:r w:rsidRPr="003037D2">
        <w:rPr>
          <w:rFonts w:ascii="Garamond" w:eastAsia="Calibri" w:hAnsi="Garamond" w:cs="Arial"/>
          <w:color w:val="252525"/>
          <w:shd w:val="clear" w:color="auto" w:fill="FFFFFF"/>
        </w:rPr>
        <w:lastRenderedPageBreak/>
        <w:t>functions in both the macro and the microcosm. One who can measure out space creates land, in the same way that one who can measure out the day, or year, gains power. Indeed, almanacs were extremely successful commercial objects. Some almanac compilers, Lilly, Wharton, and Booker amongst them, were so in demand that opportunist publishers would produce almanacs falsely under their names for sale.</w:t>
      </w:r>
      <w:r w:rsidRPr="003037D2">
        <w:rPr>
          <w:rFonts w:ascii="Garamond" w:eastAsia="Calibri" w:hAnsi="Garamond" w:cs="Arial"/>
          <w:color w:val="252525"/>
          <w:shd w:val="clear" w:color="auto" w:fill="FFFFFF"/>
          <w:vertAlign w:val="superscript"/>
        </w:rPr>
        <w:footnoteReference w:id="110"/>
      </w:r>
      <w:r w:rsidRPr="003037D2">
        <w:rPr>
          <w:rFonts w:ascii="Garamond" w:eastAsia="Calibri" w:hAnsi="Garamond" w:cs="Arial"/>
          <w:color w:val="252525"/>
          <w:shd w:val="clear" w:color="auto" w:fill="FFFFFF"/>
        </w:rPr>
        <w:t xml:space="preserve"> The Stationers Company held control of English stock, which included almanacs. Capp describes the company’s vigilance in tracking down and fining printers who flouted their monopoly, often confiscating their stocks and sometimes their presses. The company used its powers to both oust its rivals, and ‘conduct its business with maximum efficiency and minimal costs’.</w:t>
      </w:r>
      <w:r w:rsidRPr="003037D2">
        <w:rPr>
          <w:rFonts w:ascii="Garamond" w:eastAsia="Calibri" w:hAnsi="Garamond" w:cs="Arial"/>
          <w:color w:val="252525"/>
          <w:shd w:val="clear" w:color="auto" w:fill="FFFFFF"/>
          <w:vertAlign w:val="superscript"/>
        </w:rPr>
        <w:t xml:space="preserve"> </w:t>
      </w:r>
      <w:r w:rsidRPr="003037D2">
        <w:rPr>
          <w:rFonts w:ascii="Garamond" w:eastAsia="Calibri" w:hAnsi="Garamond" w:cs="Arial"/>
          <w:color w:val="252525"/>
          <w:shd w:val="clear" w:color="auto" w:fill="FFFFFF"/>
          <w:vertAlign w:val="superscript"/>
        </w:rPr>
        <w:footnoteReference w:id="111"/>
      </w:r>
      <w:r w:rsidRPr="003037D2">
        <w:rPr>
          <w:rFonts w:ascii="Garamond" w:eastAsia="Calibri" w:hAnsi="Garamond" w:cs="Arial"/>
          <w:color w:val="252525"/>
          <w:shd w:val="clear" w:color="auto" w:fill="FFFFFF"/>
        </w:rPr>
        <w:t xml:space="preserve">  In order to keep these costs as low as possible, tables of fairs, tides, and the like were often not updated year to year.</w:t>
      </w:r>
      <w:r w:rsidRPr="003037D2">
        <w:rPr>
          <w:rFonts w:ascii="Garamond" w:eastAsia="Calibri" w:hAnsi="Garamond" w:cs="Arial"/>
          <w:color w:val="252525"/>
          <w:shd w:val="clear" w:color="auto" w:fill="FFFFFF"/>
          <w:vertAlign w:val="superscript"/>
        </w:rPr>
        <w:footnoteReference w:id="112"/>
      </w:r>
      <w:r w:rsidRPr="003037D2">
        <w:rPr>
          <w:rFonts w:ascii="Garamond" w:eastAsia="Calibri" w:hAnsi="Garamond" w:cs="Arial"/>
          <w:color w:val="252525"/>
          <w:shd w:val="clear" w:color="auto" w:fill="FFFFFF"/>
        </w:rPr>
        <w:t xml:space="preserve"> Time had become commodified through the process of mapping it. With this came time-saving, cost-cutting procedures.</w:t>
      </w:r>
    </w:p>
    <w:p w14:paraId="6D993A78" w14:textId="77777777" w:rsidR="00162224" w:rsidRPr="003037D2" w:rsidRDefault="00162224" w:rsidP="00162224">
      <w:pPr>
        <w:spacing w:line="360" w:lineRule="auto"/>
        <w:ind w:firstLine="720"/>
        <w:rPr>
          <w:rFonts w:ascii="Garamond" w:eastAsia="Calibri" w:hAnsi="Garamond" w:cs="Arial"/>
          <w:color w:val="252525"/>
          <w:shd w:val="clear" w:color="auto" w:fill="FFFFFF"/>
        </w:rPr>
      </w:pPr>
    </w:p>
    <w:p w14:paraId="2A64F5AC" w14:textId="77777777" w:rsidR="00162224" w:rsidRPr="003037D2" w:rsidRDefault="00162224" w:rsidP="00162224">
      <w:pPr>
        <w:keepNext/>
        <w:keepLines/>
        <w:numPr>
          <w:ilvl w:val="0"/>
          <w:numId w:val="23"/>
        </w:numPr>
        <w:spacing w:before="40" w:line="360" w:lineRule="auto"/>
        <w:outlineLvl w:val="1"/>
        <w:rPr>
          <w:rFonts w:ascii="Garamond" w:eastAsia="DengXian Light" w:hAnsi="Garamond" w:cs="Arial"/>
          <w:b/>
          <w:bCs/>
          <w:color w:val="252525"/>
          <w:sz w:val="28"/>
          <w:szCs w:val="28"/>
          <w:shd w:val="clear" w:color="auto" w:fill="FFFFFF"/>
        </w:rPr>
      </w:pPr>
      <w:bookmarkStart w:id="10" w:name="_Toc3967163"/>
      <w:r w:rsidRPr="003037D2">
        <w:rPr>
          <w:rFonts w:ascii="Garamond" w:eastAsia="DengXian Light" w:hAnsi="Garamond" w:cs="Arial"/>
          <w:b/>
          <w:bCs/>
          <w:color w:val="252525"/>
          <w:sz w:val="28"/>
          <w:szCs w:val="28"/>
          <w:shd w:val="clear" w:color="auto" w:fill="FFFFFF"/>
        </w:rPr>
        <w:t>Writing History</w:t>
      </w:r>
      <w:bookmarkEnd w:id="10"/>
      <w:r w:rsidRPr="003037D2">
        <w:rPr>
          <w:rFonts w:ascii="Garamond" w:eastAsia="DengXian Light" w:hAnsi="Garamond" w:cs="Arial"/>
          <w:b/>
          <w:bCs/>
          <w:color w:val="252525"/>
          <w:sz w:val="28"/>
          <w:szCs w:val="28"/>
          <w:shd w:val="clear" w:color="auto" w:fill="FFFFFF"/>
        </w:rPr>
        <w:t xml:space="preserve"> </w:t>
      </w:r>
    </w:p>
    <w:p w14:paraId="7E31867F" w14:textId="77777777" w:rsidR="00162224" w:rsidRPr="003037D2" w:rsidRDefault="00162224" w:rsidP="00162224">
      <w:pPr>
        <w:spacing w:line="360" w:lineRule="auto"/>
        <w:rPr>
          <w:rFonts w:ascii="Garamond" w:eastAsia="Calibri" w:hAnsi="Garamond" w:cs="Arial"/>
        </w:rPr>
      </w:pPr>
    </w:p>
    <w:p w14:paraId="4D01AD1F" w14:textId="76B8C769" w:rsidR="00162224" w:rsidRPr="003037D2" w:rsidRDefault="00162224" w:rsidP="002F1250">
      <w:pPr>
        <w:spacing w:line="360" w:lineRule="auto"/>
        <w:ind w:firstLine="720"/>
        <w:rPr>
          <w:rFonts w:ascii="Garamond" w:eastAsia="Calibri" w:hAnsi="Garamond" w:cs="Arial"/>
        </w:rPr>
      </w:pPr>
      <w:r w:rsidRPr="003037D2">
        <w:rPr>
          <w:rFonts w:ascii="Garamond" w:eastAsia="Calibri" w:hAnsi="Garamond" w:cs="Arial"/>
        </w:rPr>
        <w:t xml:space="preserve">The power of measuring out time can be clearly seen in the early modern interest in chronologies. Chronologies are now commonly discounted by historians as bare lists of facts, but in early modern Europe they were an important part of historiography, alongside the analogous form of genealogy. Both these accounts of the past work in extremely similar ways, using lists to move linearly through time. Early modern readers, and indeed even the illiterate, would have been familiar with this style of history telling from the Bible. </w:t>
      </w:r>
      <w:r w:rsidRPr="003037D2">
        <w:rPr>
          <w:rFonts w:ascii="Garamond" w:eastAsia="Calibri" w:hAnsi="Garamond" w:cs="Arial"/>
          <w:i/>
        </w:rPr>
        <w:t>The Geneva Bible</w:t>
      </w:r>
      <w:r w:rsidRPr="003037D2">
        <w:rPr>
          <w:rFonts w:ascii="Garamond" w:eastAsia="Calibri" w:hAnsi="Garamond" w:cs="Arial"/>
        </w:rPr>
        <w:t xml:space="preserve"> (1559) describes 1 Chronicles as ‘The genealogy of Adam and Noah until Abraham. And from Abraham to Esau. His children. Kings and Dukes came of him’, offering a footnote glossing the term Chronicles as ‘words of days’ in Hebrew.</w:t>
      </w:r>
      <w:r w:rsidRPr="003037D2">
        <w:rPr>
          <w:rFonts w:ascii="Garamond" w:eastAsia="Calibri" w:hAnsi="Garamond" w:cs="Arial"/>
          <w:vertAlign w:val="superscript"/>
        </w:rPr>
        <w:footnoteReference w:id="113"/>
      </w:r>
      <w:r w:rsidRPr="003037D2">
        <w:rPr>
          <w:rFonts w:ascii="Garamond" w:eastAsia="Calibri" w:hAnsi="Garamond" w:cs="Arial"/>
        </w:rPr>
        <w:t xml:space="preserve"> Many early modern bibles included genealogical charts or timelines, discussed later in Chapter II, part </w:t>
      </w:r>
      <w:r w:rsidRPr="003037D2">
        <w:rPr>
          <w:rFonts w:ascii="Garamond" w:eastAsia="Calibri" w:hAnsi="Garamond" w:cs="Arial"/>
        </w:rPr>
        <w:fldChar w:fldCharType="begin"/>
      </w:r>
      <w:r w:rsidRPr="003037D2">
        <w:rPr>
          <w:rFonts w:ascii="Garamond" w:eastAsia="Calibri" w:hAnsi="Garamond" w:cs="Arial"/>
        </w:rPr>
        <w:instrText xml:space="preserve"> REF _Ref532547999 \w \h </w:instrText>
      </w:r>
      <w:r w:rsidR="003037D2">
        <w:rPr>
          <w:rFonts w:ascii="Garamond" w:eastAsia="Calibri" w:hAnsi="Garamond" w:cs="Arial"/>
        </w:rPr>
        <w:instrText xml:space="preserve"> \* MERGEFORMAT </w:instrText>
      </w:r>
      <w:r w:rsidRPr="003037D2">
        <w:rPr>
          <w:rFonts w:ascii="Garamond" w:eastAsia="Calibri" w:hAnsi="Garamond" w:cs="Arial"/>
        </w:rPr>
      </w:r>
      <w:r w:rsidRPr="003037D2">
        <w:rPr>
          <w:rFonts w:ascii="Garamond" w:eastAsia="Calibri" w:hAnsi="Garamond" w:cs="Arial"/>
        </w:rPr>
        <w:fldChar w:fldCharType="separate"/>
      </w:r>
      <w:r w:rsidR="001117A3" w:rsidRPr="003037D2">
        <w:rPr>
          <w:rFonts w:ascii="Garamond" w:eastAsia="Calibri" w:hAnsi="Garamond" w:cs="Arial"/>
        </w:rPr>
        <w:t>I</w:t>
      </w:r>
      <w:r w:rsidRPr="003037D2">
        <w:rPr>
          <w:rFonts w:ascii="Garamond" w:eastAsia="Calibri" w:hAnsi="Garamond" w:cs="Arial"/>
        </w:rPr>
        <w:fldChar w:fldCharType="end"/>
      </w:r>
      <w:r w:rsidRPr="003037D2">
        <w:rPr>
          <w:rFonts w:ascii="Garamond" w:eastAsia="Calibri" w:hAnsi="Garamond" w:cs="Arial"/>
        </w:rPr>
        <w:t xml:space="preserve">. </w:t>
      </w:r>
      <w:proofErr w:type="spellStart"/>
      <w:r w:rsidRPr="003037D2">
        <w:rPr>
          <w:rFonts w:ascii="Garamond" w:eastAsia="Calibri" w:hAnsi="Garamond" w:cs="Arial"/>
        </w:rPr>
        <w:t>Romila</w:t>
      </w:r>
      <w:proofErr w:type="spellEnd"/>
      <w:r w:rsidRPr="003037D2">
        <w:rPr>
          <w:rFonts w:ascii="Garamond" w:eastAsia="Calibri" w:hAnsi="Garamond" w:cs="Arial"/>
        </w:rPr>
        <w:t xml:space="preserve"> Thapar has discussed the way chronologies and genealogies are often overlooked and undermined as historical method, dismissed on grounds which are often based on western-centric, racist preconceptions of what history means. Discussing the </w:t>
      </w:r>
      <w:r w:rsidRPr="003037D2">
        <w:rPr>
          <w:rFonts w:ascii="Garamond" w:eastAsia="Calibri" w:hAnsi="Garamond" w:cs="Arial"/>
          <w:i/>
        </w:rPr>
        <w:t xml:space="preserve">Vishnu Purana, </w:t>
      </w:r>
      <w:r w:rsidRPr="003037D2">
        <w:rPr>
          <w:rFonts w:ascii="Garamond" w:eastAsia="Calibri" w:hAnsi="Garamond" w:cs="Arial"/>
        </w:rPr>
        <w:t>Thapar genealogies</w:t>
      </w:r>
      <w:r w:rsidR="002F1250">
        <w:rPr>
          <w:rFonts w:ascii="Garamond" w:eastAsia="Calibri" w:hAnsi="Garamond" w:cs="Arial"/>
        </w:rPr>
        <w:t xml:space="preserve"> express ‘what might be called “</w:t>
      </w:r>
      <w:r w:rsidRPr="003037D2">
        <w:rPr>
          <w:rFonts w:ascii="Garamond" w:eastAsia="Calibri" w:hAnsi="Garamond" w:cs="Arial"/>
        </w:rPr>
        <w:t>generational time</w:t>
      </w:r>
      <w:r w:rsidR="002F1250">
        <w:rPr>
          <w:rFonts w:ascii="Garamond" w:eastAsia="Calibri" w:hAnsi="Garamond" w:cs="Arial"/>
        </w:rPr>
        <w:t>”</w:t>
      </w:r>
      <w:r w:rsidRPr="003037D2">
        <w:rPr>
          <w:rFonts w:ascii="Garamond" w:eastAsia="Calibri" w:hAnsi="Garamond" w:cs="Arial"/>
        </w:rPr>
        <w:t xml:space="preserve"> seen as the flow of </w:t>
      </w:r>
      <w:r w:rsidRPr="003037D2">
        <w:rPr>
          <w:rFonts w:ascii="Garamond" w:eastAsia="Calibri" w:hAnsi="Garamond" w:cs="Arial"/>
        </w:rPr>
        <w:lastRenderedPageBreak/>
        <w:t>generations’.</w:t>
      </w:r>
      <w:r w:rsidRPr="003037D2">
        <w:rPr>
          <w:rFonts w:ascii="Garamond" w:eastAsia="Calibri" w:hAnsi="Garamond" w:cs="Arial"/>
          <w:vertAlign w:val="superscript"/>
        </w:rPr>
        <w:footnoteReference w:id="114"/>
      </w:r>
      <w:r w:rsidRPr="003037D2">
        <w:rPr>
          <w:rFonts w:ascii="Garamond" w:eastAsia="Calibri" w:hAnsi="Garamond" w:cs="Arial"/>
        </w:rPr>
        <w:t xml:space="preserve"> Thapar argues that following the introduction of genealogies and dynasties ‘the presence of what is conventionally regarded as history begins to surface’, in a move that may have been closely associated with the creation of eras.</w:t>
      </w:r>
      <w:r w:rsidRPr="003037D2">
        <w:rPr>
          <w:rFonts w:ascii="Garamond" w:eastAsia="Calibri" w:hAnsi="Garamond" w:cs="Arial"/>
          <w:vertAlign w:val="superscript"/>
        </w:rPr>
        <w:footnoteReference w:id="115"/>
      </w:r>
      <w:r w:rsidRPr="003037D2">
        <w:rPr>
          <w:rFonts w:ascii="Garamond" w:eastAsia="Calibri" w:hAnsi="Garamond" w:cs="Arial"/>
        </w:rPr>
        <w:t xml:space="preserve"> Thapar suggests that ‘[g]</w:t>
      </w:r>
      <w:proofErr w:type="spellStart"/>
      <w:r w:rsidRPr="003037D2">
        <w:rPr>
          <w:rFonts w:ascii="Garamond" w:eastAsia="Calibri" w:hAnsi="Garamond" w:cs="Arial"/>
        </w:rPr>
        <w:t>eneaological</w:t>
      </w:r>
      <w:proofErr w:type="spellEnd"/>
      <w:r w:rsidRPr="003037D2">
        <w:rPr>
          <w:rFonts w:ascii="Garamond" w:eastAsia="Calibri" w:hAnsi="Garamond" w:cs="Arial"/>
        </w:rPr>
        <w:t xml:space="preserve"> time based on a succession of generations is always the start of the record and precedes what we would call the known and the historical’. The format both ‘underlines continuity’, and differentiates between ‘two categories of the past with the deliberate and consistent placing of one before the other’.</w:t>
      </w:r>
      <w:r w:rsidRPr="003037D2">
        <w:rPr>
          <w:rFonts w:ascii="Garamond" w:eastAsia="Calibri" w:hAnsi="Garamond" w:cs="Arial"/>
          <w:vertAlign w:val="superscript"/>
        </w:rPr>
        <w:footnoteReference w:id="116"/>
      </w:r>
      <w:r w:rsidRPr="003037D2">
        <w:rPr>
          <w:rFonts w:ascii="Garamond" w:eastAsia="Calibri" w:hAnsi="Garamond" w:cs="Arial"/>
        </w:rPr>
        <w:t xml:space="preserve"> A manuscript once part of the Bridgewater Library, and now found in the Huntington Library in San Marino, CA, entitled </w:t>
      </w:r>
      <w:r w:rsidRPr="003037D2">
        <w:rPr>
          <w:rFonts w:ascii="Garamond" w:eastAsia="Calibri" w:hAnsi="Garamond" w:cs="Arial"/>
          <w:i/>
        </w:rPr>
        <w:t>A History of England from the foundation of the world to the 8</w:t>
      </w:r>
      <w:r w:rsidRPr="003037D2">
        <w:rPr>
          <w:rFonts w:ascii="Garamond" w:eastAsia="Calibri" w:hAnsi="Garamond" w:cs="Arial"/>
          <w:i/>
          <w:vertAlign w:val="superscript"/>
        </w:rPr>
        <w:t>th</w:t>
      </w:r>
      <w:r w:rsidRPr="003037D2">
        <w:rPr>
          <w:rFonts w:ascii="Garamond" w:eastAsia="Calibri" w:hAnsi="Garamond" w:cs="Arial"/>
          <w:i/>
        </w:rPr>
        <w:t xml:space="preserve"> February 1591</w:t>
      </w:r>
      <w:r w:rsidRPr="003037D2">
        <w:rPr>
          <w:rFonts w:ascii="Garamond" w:eastAsia="Calibri" w:hAnsi="Garamond" w:cs="Arial"/>
        </w:rPr>
        <w:t xml:space="preserve"> makes uses of genealogical lists to trace the early history of England, separating out different tribes and running through their members.</w:t>
      </w:r>
      <w:r w:rsidRPr="003037D2">
        <w:rPr>
          <w:rFonts w:ascii="Garamond" w:eastAsia="Calibri" w:hAnsi="Garamond" w:cs="Arial"/>
          <w:vertAlign w:val="superscript"/>
        </w:rPr>
        <w:footnoteReference w:id="117"/>
      </w:r>
      <w:r w:rsidRPr="003037D2">
        <w:rPr>
          <w:rFonts w:ascii="Garamond" w:eastAsia="Calibri" w:hAnsi="Garamond" w:cs="Arial"/>
        </w:rPr>
        <w:t xml:space="preserve"> In some cases, the familial relationship between these rulers are explained, ‘</w:t>
      </w:r>
      <w:proofErr w:type="spellStart"/>
      <w:r w:rsidRPr="003037D2">
        <w:rPr>
          <w:rFonts w:ascii="Garamond" w:eastAsia="Calibri" w:hAnsi="Garamond" w:cs="Arial"/>
        </w:rPr>
        <w:t>Virthred</w:t>
      </w:r>
      <w:proofErr w:type="spellEnd"/>
      <w:r w:rsidRPr="003037D2">
        <w:rPr>
          <w:rFonts w:ascii="Garamond" w:eastAsia="Calibri" w:hAnsi="Garamond" w:cs="Arial"/>
        </w:rPr>
        <w:t xml:space="preserve"> </w:t>
      </w:r>
      <w:proofErr w:type="spellStart"/>
      <w:r w:rsidRPr="003037D2">
        <w:rPr>
          <w:rFonts w:ascii="Garamond" w:eastAsia="Calibri" w:hAnsi="Garamond" w:cs="Arial"/>
        </w:rPr>
        <w:t>sonne</w:t>
      </w:r>
      <w:proofErr w:type="spellEnd"/>
      <w:r w:rsidRPr="003037D2">
        <w:rPr>
          <w:rFonts w:ascii="Garamond" w:eastAsia="Calibri" w:hAnsi="Garamond" w:cs="Arial"/>
        </w:rPr>
        <w:t xml:space="preserve"> of Egbert… </w:t>
      </w:r>
      <w:proofErr w:type="spellStart"/>
      <w:r w:rsidRPr="003037D2">
        <w:rPr>
          <w:rFonts w:ascii="Garamond" w:eastAsia="Calibri" w:hAnsi="Garamond" w:cs="Arial"/>
        </w:rPr>
        <w:t>Edberth</w:t>
      </w:r>
      <w:proofErr w:type="spellEnd"/>
      <w:r w:rsidRPr="003037D2">
        <w:rPr>
          <w:rFonts w:ascii="Garamond" w:eastAsia="Calibri" w:hAnsi="Garamond" w:cs="Arial"/>
        </w:rPr>
        <w:t xml:space="preserve"> hi</w:t>
      </w:r>
      <w:r w:rsidR="002F1250">
        <w:rPr>
          <w:rFonts w:ascii="Garamond" w:eastAsia="Calibri" w:hAnsi="Garamond" w:cs="Arial"/>
        </w:rPr>
        <w:t xml:space="preserve">s </w:t>
      </w:r>
      <w:proofErr w:type="spellStart"/>
      <w:r w:rsidR="002F1250">
        <w:rPr>
          <w:rFonts w:ascii="Garamond" w:eastAsia="Calibri" w:hAnsi="Garamond" w:cs="Arial"/>
        </w:rPr>
        <w:t>sonne</w:t>
      </w:r>
      <w:proofErr w:type="spellEnd"/>
      <w:r w:rsidR="002F1250">
        <w:rPr>
          <w:rFonts w:ascii="Garamond" w:eastAsia="Calibri" w:hAnsi="Garamond" w:cs="Arial"/>
        </w:rPr>
        <w:t>/ Ethelbert, his Brother</w:t>
      </w:r>
      <w:r w:rsidRPr="003037D2">
        <w:rPr>
          <w:rFonts w:ascii="Garamond" w:eastAsia="Calibri" w:hAnsi="Garamond" w:cs="Arial"/>
        </w:rPr>
        <w:t>’</w:t>
      </w:r>
      <w:r w:rsidR="002F1250">
        <w:rPr>
          <w:rFonts w:ascii="Garamond" w:eastAsia="Calibri" w:hAnsi="Garamond" w:cs="Arial"/>
        </w:rPr>
        <w:t>.</w:t>
      </w:r>
      <w:r w:rsidRPr="003037D2">
        <w:rPr>
          <w:rFonts w:ascii="Garamond" w:eastAsia="Calibri" w:hAnsi="Garamond" w:cs="Arial"/>
          <w:vertAlign w:val="superscript"/>
        </w:rPr>
        <w:footnoteReference w:id="118"/>
      </w:r>
      <w:r w:rsidRPr="003037D2">
        <w:rPr>
          <w:rFonts w:ascii="Garamond" w:eastAsia="Calibri" w:hAnsi="Garamond" w:cs="Arial"/>
        </w:rPr>
        <w:t xml:space="preserve"> For others, additional information is provided: ‘Ethelbert the first Christian … The first enlarger of the Kingdom with </w:t>
      </w:r>
      <w:proofErr w:type="spellStart"/>
      <w:r w:rsidRPr="003037D2">
        <w:rPr>
          <w:rFonts w:ascii="Garamond" w:eastAsia="Calibri" w:hAnsi="Garamond" w:cs="Arial"/>
        </w:rPr>
        <w:t>Landes</w:t>
      </w:r>
      <w:proofErr w:type="spellEnd"/>
      <w:r w:rsidRPr="003037D2">
        <w:rPr>
          <w:rFonts w:ascii="Garamond" w:eastAsia="Calibri" w:hAnsi="Garamond" w:cs="Arial"/>
        </w:rPr>
        <w:t xml:space="preserve">… and the translation of the </w:t>
      </w:r>
      <w:proofErr w:type="spellStart"/>
      <w:r w:rsidRPr="003037D2">
        <w:rPr>
          <w:rFonts w:ascii="Garamond" w:eastAsia="Calibri" w:hAnsi="Garamond" w:cs="Arial"/>
        </w:rPr>
        <w:t>Archiepistollasie</w:t>
      </w:r>
      <w:proofErr w:type="spellEnd"/>
      <w:r w:rsidRPr="003037D2">
        <w:rPr>
          <w:rFonts w:ascii="Garamond" w:eastAsia="Calibri" w:hAnsi="Garamond" w:cs="Arial"/>
        </w:rPr>
        <w:t xml:space="preserve">, from </w:t>
      </w:r>
      <w:proofErr w:type="spellStart"/>
      <w:r w:rsidRPr="003037D2">
        <w:rPr>
          <w:rFonts w:ascii="Garamond" w:eastAsia="Calibri" w:hAnsi="Garamond" w:cs="Arial"/>
        </w:rPr>
        <w:t>Londes</w:t>
      </w:r>
      <w:proofErr w:type="spellEnd"/>
      <w:r w:rsidRPr="003037D2">
        <w:rPr>
          <w:rFonts w:ascii="Garamond" w:eastAsia="Calibri" w:hAnsi="Garamond" w:cs="Arial"/>
        </w:rPr>
        <w:t xml:space="preserve"> to Canterbury, making Augustine the first </w:t>
      </w:r>
      <w:proofErr w:type="spellStart"/>
      <w:r w:rsidRPr="003037D2">
        <w:rPr>
          <w:rFonts w:ascii="Garamond" w:eastAsia="Calibri" w:hAnsi="Garamond" w:cs="Arial"/>
        </w:rPr>
        <w:t>Archb</w:t>
      </w:r>
      <w:proofErr w:type="spellEnd"/>
      <w:r w:rsidRPr="003037D2">
        <w:rPr>
          <w:rFonts w:ascii="Garamond" w:eastAsia="Calibri" w:hAnsi="Garamond" w:cs="Arial"/>
        </w:rPr>
        <w:t>[</w:t>
      </w:r>
      <w:proofErr w:type="spellStart"/>
      <w:r w:rsidRPr="003037D2">
        <w:rPr>
          <w:rFonts w:ascii="Garamond" w:eastAsia="Calibri" w:hAnsi="Garamond" w:cs="Arial"/>
        </w:rPr>
        <w:t>ishop</w:t>
      </w:r>
      <w:proofErr w:type="spellEnd"/>
      <w:r w:rsidRPr="003037D2">
        <w:rPr>
          <w:rFonts w:ascii="Garamond" w:eastAsia="Calibri" w:hAnsi="Garamond" w:cs="Arial"/>
        </w:rPr>
        <w:t>] there’.</w:t>
      </w:r>
      <w:r w:rsidRPr="003037D2">
        <w:rPr>
          <w:rFonts w:ascii="Garamond" w:eastAsia="Calibri" w:hAnsi="Garamond" w:cs="Arial"/>
          <w:vertAlign w:val="superscript"/>
        </w:rPr>
        <w:footnoteReference w:id="119"/>
      </w:r>
      <w:r w:rsidRPr="003037D2">
        <w:rPr>
          <w:rFonts w:ascii="Garamond" w:eastAsia="Calibri" w:hAnsi="Garamond" w:cs="Arial"/>
        </w:rPr>
        <w:t xml:space="preserve"> As the history progresses, the manuscript is divided up into sections based upon the monarch, each with a few blank pages between.</w:t>
      </w:r>
    </w:p>
    <w:p w14:paraId="545B692F" w14:textId="77777777" w:rsidR="00162224" w:rsidRPr="003037D2" w:rsidRDefault="00162224" w:rsidP="00162224">
      <w:pPr>
        <w:spacing w:line="360" w:lineRule="auto"/>
        <w:ind w:firstLine="720"/>
        <w:rPr>
          <w:rFonts w:ascii="Garamond" w:eastAsia="Calibri" w:hAnsi="Garamond" w:cs="Arial"/>
        </w:rPr>
      </w:pPr>
    </w:p>
    <w:p w14:paraId="51DF11A1" w14:textId="77777777" w:rsidR="00162224" w:rsidRPr="003037D2" w:rsidRDefault="00162224" w:rsidP="00162224">
      <w:pPr>
        <w:spacing w:line="360" w:lineRule="auto"/>
        <w:ind w:firstLine="720"/>
        <w:rPr>
          <w:rFonts w:ascii="Garamond" w:eastAsia="Calibri" w:hAnsi="Garamond" w:cs="Arial"/>
          <w:color w:val="252525"/>
          <w:shd w:val="clear" w:color="auto" w:fill="FFFFFF"/>
        </w:rPr>
      </w:pPr>
      <w:r w:rsidRPr="003037D2">
        <w:rPr>
          <w:rFonts w:ascii="Garamond" w:eastAsia="Calibri" w:hAnsi="Garamond" w:cs="Arial"/>
          <w:bCs/>
        </w:rPr>
        <w:t xml:space="preserve">Nathaniel Nye’s 1645 </w:t>
      </w:r>
      <w:r w:rsidRPr="003037D2">
        <w:rPr>
          <w:rFonts w:ascii="Garamond" w:eastAsia="Calibri" w:hAnsi="Garamond" w:cs="Arial"/>
          <w:bCs/>
          <w:i/>
        </w:rPr>
        <w:t xml:space="preserve">New </w:t>
      </w:r>
      <w:proofErr w:type="spellStart"/>
      <w:r w:rsidRPr="003037D2">
        <w:rPr>
          <w:rFonts w:ascii="Garamond" w:eastAsia="Calibri" w:hAnsi="Garamond" w:cs="Arial"/>
          <w:bCs/>
          <w:i/>
        </w:rPr>
        <w:t>Almanacke</w:t>
      </w:r>
      <w:proofErr w:type="spellEnd"/>
      <w:r w:rsidRPr="003037D2">
        <w:rPr>
          <w:rFonts w:ascii="Garamond" w:eastAsia="Calibri" w:hAnsi="Garamond" w:cs="Arial"/>
          <w:bCs/>
          <w:i/>
        </w:rPr>
        <w:t xml:space="preserve"> </w:t>
      </w:r>
      <w:r w:rsidRPr="003037D2">
        <w:rPr>
          <w:rFonts w:ascii="Garamond" w:eastAsia="Calibri" w:hAnsi="Garamond" w:cs="Arial"/>
          <w:bCs/>
        </w:rPr>
        <w:t xml:space="preserve">opens with an </w:t>
      </w:r>
      <w:r w:rsidRPr="003037D2">
        <w:rPr>
          <w:rFonts w:ascii="Garamond" w:eastAsia="Calibri" w:hAnsi="Garamond" w:cs="Arial"/>
          <w:color w:val="252525"/>
          <w:shd w:val="clear" w:color="auto" w:fill="FFFFFF"/>
        </w:rPr>
        <w:t xml:space="preserve">address ‘To the reader’ which sets out the problems of typographically representing time, indeed the very literal problem of fitting a whole year into a pocket book. These problems are particularly pronounced because Nye provides a recent history of events over the last two years: </w:t>
      </w:r>
    </w:p>
    <w:p w14:paraId="75B43A5B" w14:textId="3D3C29CD" w:rsidR="00162224" w:rsidRDefault="00162224" w:rsidP="0056489A">
      <w:pPr>
        <w:ind w:left="567" w:right="567"/>
        <w:rPr>
          <w:rFonts w:ascii="Garamond" w:eastAsia="Calibri" w:hAnsi="Garamond" w:cs="Arial"/>
        </w:rPr>
      </w:pPr>
      <w:r w:rsidRPr="003037D2">
        <w:rPr>
          <w:rFonts w:ascii="Garamond" w:eastAsia="Calibri" w:hAnsi="Garamond" w:cs="Arial"/>
        </w:rPr>
        <w:t xml:space="preserve">The </w:t>
      </w:r>
      <w:proofErr w:type="spellStart"/>
      <w:r w:rsidRPr="003037D2">
        <w:rPr>
          <w:rFonts w:ascii="Garamond" w:eastAsia="Calibri" w:hAnsi="Garamond" w:cs="Arial"/>
        </w:rPr>
        <w:t>usuall</w:t>
      </w:r>
      <w:proofErr w:type="spellEnd"/>
      <w:r w:rsidRPr="003037D2">
        <w:rPr>
          <w:rFonts w:ascii="Garamond" w:eastAsia="Calibri" w:hAnsi="Garamond" w:cs="Arial"/>
        </w:rPr>
        <w:t xml:space="preserve"> method in things of this nature could not be observed in every </w:t>
      </w:r>
      <w:proofErr w:type="spellStart"/>
      <w:r w:rsidRPr="003037D2">
        <w:rPr>
          <w:rFonts w:ascii="Garamond" w:eastAsia="Calibri" w:hAnsi="Garamond" w:cs="Arial"/>
        </w:rPr>
        <w:t>moneth</w:t>
      </w:r>
      <w:proofErr w:type="spellEnd"/>
      <w:r w:rsidRPr="003037D2">
        <w:rPr>
          <w:rFonts w:ascii="Garamond" w:eastAsia="Calibri" w:hAnsi="Garamond" w:cs="Arial"/>
        </w:rPr>
        <w:t xml:space="preserve"> for this </w:t>
      </w:r>
      <w:proofErr w:type="spellStart"/>
      <w:r w:rsidRPr="003037D2">
        <w:rPr>
          <w:rFonts w:ascii="Garamond" w:eastAsia="Calibri" w:hAnsi="Garamond" w:cs="Arial"/>
        </w:rPr>
        <w:t>yeer</w:t>
      </w:r>
      <w:proofErr w:type="spellEnd"/>
      <w:r w:rsidRPr="003037D2">
        <w:rPr>
          <w:rFonts w:ascii="Garamond" w:eastAsia="Calibri" w:hAnsi="Garamond" w:cs="Arial"/>
        </w:rPr>
        <w:t xml:space="preserve"> (as in relation to the point of time) because </w:t>
      </w:r>
      <w:proofErr w:type="spellStart"/>
      <w:r w:rsidRPr="003037D2">
        <w:rPr>
          <w:rFonts w:ascii="Garamond" w:eastAsia="Calibri" w:hAnsi="Garamond" w:cs="Arial"/>
        </w:rPr>
        <w:t>eery</w:t>
      </w:r>
      <w:proofErr w:type="spellEnd"/>
      <w:r w:rsidRPr="003037D2">
        <w:rPr>
          <w:rFonts w:ascii="Garamond" w:eastAsia="Calibri" w:hAnsi="Garamond" w:cs="Arial"/>
        </w:rPr>
        <w:t xml:space="preserve"> </w:t>
      </w:r>
      <w:proofErr w:type="spellStart"/>
      <w:r w:rsidRPr="003037D2">
        <w:rPr>
          <w:rFonts w:ascii="Garamond" w:eastAsia="Calibri" w:hAnsi="Garamond" w:cs="Arial"/>
        </w:rPr>
        <w:t>moneth</w:t>
      </w:r>
      <w:proofErr w:type="spellEnd"/>
      <w:r w:rsidRPr="003037D2">
        <w:rPr>
          <w:rFonts w:ascii="Garamond" w:eastAsia="Calibri" w:hAnsi="Garamond" w:cs="Arial"/>
        </w:rPr>
        <w:t xml:space="preserve"> (except December) contains particular passages which </w:t>
      </w:r>
      <w:proofErr w:type="spellStart"/>
      <w:r w:rsidRPr="003037D2">
        <w:rPr>
          <w:rFonts w:ascii="Garamond" w:eastAsia="Calibri" w:hAnsi="Garamond" w:cs="Arial"/>
        </w:rPr>
        <w:t>hapned</w:t>
      </w:r>
      <w:proofErr w:type="spellEnd"/>
      <w:r w:rsidRPr="003037D2">
        <w:rPr>
          <w:rFonts w:ascii="Garamond" w:eastAsia="Calibri" w:hAnsi="Garamond" w:cs="Arial"/>
        </w:rPr>
        <w:t xml:space="preserve"> in such and such a </w:t>
      </w:r>
      <w:proofErr w:type="spellStart"/>
      <w:r w:rsidRPr="003037D2">
        <w:rPr>
          <w:rFonts w:ascii="Garamond" w:eastAsia="Calibri" w:hAnsi="Garamond" w:cs="Arial"/>
        </w:rPr>
        <w:t>moneth</w:t>
      </w:r>
      <w:proofErr w:type="spellEnd"/>
      <w:r w:rsidRPr="003037D2">
        <w:rPr>
          <w:rFonts w:ascii="Garamond" w:eastAsia="Calibri" w:hAnsi="Garamond" w:cs="Arial"/>
        </w:rPr>
        <w:t xml:space="preserve"> for two </w:t>
      </w:r>
      <w:proofErr w:type="spellStart"/>
      <w:r w:rsidRPr="003037D2">
        <w:rPr>
          <w:rFonts w:ascii="Garamond" w:eastAsia="Calibri" w:hAnsi="Garamond" w:cs="Arial"/>
        </w:rPr>
        <w:t>yeers</w:t>
      </w:r>
      <w:proofErr w:type="spellEnd"/>
      <w:r w:rsidRPr="003037D2">
        <w:rPr>
          <w:rFonts w:ascii="Garamond" w:eastAsia="Calibri" w:hAnsi="Garamond" w:cs="Arial"/>
        </w:rPr>
        <w:t xml:space="preserve"> last past, the pages where of hardly contains the </w:t>
      </w:r>
      <w:proofErr w:type="spellStart"/>
      <w:r w:rsidRPr="003037D2">
        <w:rPr>
          <w:rFonts w:ascii="Garamond" w:eastAsia="Calibri" w:hAnsi="Garamond" w:cs="Arial"/>
        </w:rPr>
        <w:t>severall</w:t>
      </w:r>
      <w:proofErr w:type="spellEnd"/>
      <w:r w:rsidRPr="003037D2">
        <w:rPr>
          <w:rFonts w:ascii="Garamond" w:eastAsia="Calibri" w:hAnsi="Garamond" w:cs="Arial"/>
        </w:rPr>
        <w:t xml:space="preserve"> passages that are observable in that time, wherefore some particulars immediately follow, which comes not within the </w:t>
      </w:r>
      <w:proofErr w:type="spellStart"/>
      <w:r w:rsidRPr="003037D2">
        <w:rPr>
          <w:rFonts w:ascii="Garamond" w:eastAsia="Calibri" w:hAnsi="Garamond" w:cs="Arial"/>
        </w:rPr>
        <w:t>compasse</w:t>
      </w:r>
      <w:proofErr w:type="spellEnd"/>
      <w:r w:rsidRPr="003037D2">
        <w:rPr>
          <w:rFonts w:ascii="Garamond" w:eastAsia="Calibri" w:hAnsi="Garamond" w:cs="Arial"/>
        </w:rPr>
        <w:t xml:space="preserve"> of the two </w:t>
      </w:r>
      <w:proofErr w:type="spellStart"/>
      <w:r w:rsidRPr="003037D2">
        <w:rPr>
          <w:rFonts w:ascii="Garamond" w:eastAsia="Calibri" w:hAnsi="Garamond" w:cs="Arial"/>
        </w:rPr>
        <w:t>yeers</w:t>
      </w:r>
      <w:proofErr w:type="spellEnd"/>
      <w:r w:rsidRPr="003037D2">
        <w:rPr>
          <w:rFonts w:ascii="Garamond" w:eastAsia="Calibri" w:hAnsi="Garamond" w:cs="Arial"/>
        </w:rPr>
        <w:t xml:space="preserve"> in order of time, yet necessary to be known…. A brief account... yet as true a one as an exact Observer of these times can collect. Many things there are very remarkable which are </w:t>
      </w:r>
      <w:proofErr w:type="gramStart"/>
      <w:r w:rsidRPr="003037D2">
        <w:rPr>
          <w:rFonts w:ascii="Garamond" w:eastAsia="Calibri" w:hAnsi="Garamond" w:cs="Arial"/>
        </w:rPr>
        <w:t>omitted, and</w:t>
      </w:r>
      <w:proofErr w:type="gramEnd"/>
      <w:r w:rsidRPr="003037D2">
        <w:rPr>
          <w:rFonts w:ascii="Garamond" w:eastAsia="Calibri" w:hAnsi="Garamond" w:cs="Arial"/>
        </w:rPr>
        <w:t xml:space="preserve"> reserved for </w:t>
      </w:r>
      <w:r w:rsidRPr="003037D2">
        <w:rPr>
          <w:rFonts w:ascii="Garamond" w:eastAsia="Calibri" w:hAnsi="Garamond" w:cs="Arial"/>
        </w:rPr>
        <w:lastRenderedPageBreak/>
        <w:t xml:space="preserve">a fuller relation… of such other things as shall hereafter be thought for </w:t>
      </w:r>
      <w:proofErr w:type="spellStart"/>
      <w:r w:rsidRPr="003037D2">
        <w:rPr>
          <w:rFonts w:ascii="Garamond" w:eastAsia="Calibri" w:hAnsi="Garamond" w:cs="Arial"/>
        </w:rPr>
        <w:t>publike</w:t>
      </w:r>
      <w:proofErr w:type="spellEnd"/>
      <w:r w:rsidRPr="003037D2">
        <w:rPr>
          <w:rFonts w:ascii="Garamond" w:eastAsia="Calibri" w:hAnsi="Garamond" w:cs="Arial"/>
        </w:rPr>
        <w:t xml:space="preserve"> view.</w:t>
      </w:r>
      <w:r w:rsidRPr="003037D2">
        <w:rPr>
          <w:rFonts w:ascii="Garamond" w:eastAsia="Calibri" w:hAnsi="Garamond" w:cs="Arial"/>
          <w:vertAlign w:val="superscript"/>
        </w:rPr>
        <w:footnoteReference w:id="120"/>
      </w:r>
      <w:r w:rsidRPr="003037D2">
        <w:rPr>
          <w:rFonts w:ascii="Garamond" w:eastAsia="Calibri" w:hAnsi="Garamond" w:cs="Arial"/>
        </w:rPr>
        <w:t xml:space="preserve"> </w:t>
      </w:r>
    </w:p>
    <w:p w14:paraId="481C72D1" w14:textId="77777777" w:rsidR="0056489A" w:rsidRPr="003037D2" w:rsidRDefault="0056489A" w:rsidP="0056489A">
      <w:pPr>
        <w:ind w:left="567" w:right="567"/>
        <w:rPr>
          <w:rFonts w:ascii="Garamond" w:eastAsia="Calibri" w:hAnsi="Garamond" w:cs="Arial"/>
        </w:rPr>
      </w:pPr>
    </w:p>
    <w:p w14:paraId="1E2FB257" w14:textId="77777777" w:rsidR="00162224" w:rsidRPr="003037D2" w:rsidRDefault="00162224" w:rsidP="00162224">
      <w:pPr>
        <w:spacing w:line="360" w:lineRule="auto"/>
        <w:rPr>
          <w:rFonts w:ascii="Garamond" w:eastAsia="Calibri" w:hAnsi="Garamond" w:cs="Arial"/>
        </w:rPr>
      </w:pPr>
      <w:r w:rsidRPr="003037D2">
        <w:rPr>
          <w:rFonts w:ascii="Garamond" w:eastAsia="Calibri" w:hAnsi="Garamond" w:cs="Arial"/>
        </w:rPr>
        <w:t xml:space="preserve">The difficulties of selecting and </w:t>
      </w:r>
      <w:proofErr w:type="spellStart"/>
      <w:r w:rsidRPr="003037D2">
        <w:rPr>
          <w:rFonts w:ascii="Garamond" w:eastAsia="Calibri" w:hAnsi="Garamond" w:cs="Arial"/>
        </w:rPr>
        <w:t>prioritising</w:t>
      </w:r>
      <w:proofErr w:type="spellEnd"/>
      <w:r w:rsidRPr="003037D2">
        <w:rPr>
          <w:rFonts w:ascii="Garamond" w:eastAsia="Calibri" w:hAnsi="Garamond" w:cs="Arial"/>
        </w:rPr>
        <w:t xml:space="preserve"> information are surely as keenly felt now by historians as in the seventeenth century. Nye presents this book of history as almost overflowing, with events ‘hardly </w:t>
      </w:r>
      <w:proofErr w:type="spellStart"/>
      <w:r w:rsidRPr="003037D2">
        <w:rPr>
          <w:rFonts w:ascii="Garamond" w:eastAsia="Calibri" w:hAnsi="Garamond" w:cs="Arial"/>
        </w:rPr>
        <w:t>cotain</w:t>
      </w:r>
      <w:proofErr w:type="spellEnd"/>
      <w:r w:rsidRPr="003037D2">
        <w:rPr>
          <w:rFonts w:ascii="Garamond" w:eastAsia="Calibri" w:hAnsi="Garamond" w:cs="Arial"/>
        </w:rPr>
        <w:t xml:space="preserve">[ed]’ within the pages. In 1645, the English Civil War had been raging for four years. Nye was from Birmingham, the </w:t>
      </w:r>
      <w:proofErr w:type="spellStart"/>
      <w:r w:rsidRPr="003037D2">
        <w:rPr>
          <w:rFonts w:ascii="Garamond" w:eastAsia="Calibri" w:hAnsi="Garamond" w:cs="Arial"/>
        </w:rPr>
        <w:t>centre</w:t>
      </w:r>
      <w:proofErr w:type="spellEnd"/>
      <w:r w:rsidRPr="003037D2">
        <w:rPr>
          <w:rFonts w:ascii="Garamond" w:eastAsia="Calibri" w:hAnsi="Garamond" w:cs="Arial"/>
        </w:rPr>
        <w:t xml:space="preserve"> of the arms trade, and his interest in gunnery saw him join the parliamentarian troops as the master gunner at the </w:t>
      </w:r>
      <w:proofErr w:type="spellStart"/>
      <w:r w:rsidRPr="003037D2">
        <w:rPr>
          <w:rFonts w:ascii="Garamond" w:eastAsia="Calibri" w:hAnsi="Garamond" w:cs="Arial"/>
        </w:rPr>
        <w:t>Evesham</w:t>
      </w:r>
      <w:proofErr w:type="spellEnd"/>
      <w:r w:rsidRPr="003037D2">
        <w:rPr>
          <w:rFonts w:ascii="Garamond" w:eastAsia="Calibri" w:hAnsi="Garamond" w:cs="Arial"/>
        </w:rPr>
        <w:t xml:space="preserve"> garrison in 1645. However, Nye’s political allegiances were complex. Two years later he would dedicate his work </w:t>
      </w:r>
      <w:r w:rsidRPr="003037D2">
        <w:rPr>
          <w:rFonts w:ascii="Garamond" w:eastAsia="Calibri" w:hAnsi="Garamond" w:cs="Arial"/>
          <w:i/>
        </w:rPr>
        <w:t xml:space="preserve">The Art of Gunnery </w:t>
      </w:r>
      <w:r w:rsidRPr="003037D2">
        <w:rPr>
          <w:rFonts w:ascii="Garamond" w:eastAsia="Calibri" w:hAnsi="Garamond" w:cs="Arial"/>
        </w:rPr>
        <w:t>(1647) to the prominent Royalist Montague Bertie, second earl of Lindsey.</w:t>
      </w:r>
      <w:r w:rsidRPr="003037D2">
        <w:rPr>
          <w:rFonts w:ascii="Garamond" w:eastAsia="Calibri" w:hAnsi="Garamond" w:cs="Arial"/>
          <w:vertAlign w:val="superscript"/>
        </w:rPr>
        <w:footnoteReference w:id="121"/>
      </w:r>
      <w:r w:rsidRPr="003037D2">
        <w:rPr>
          <w:rFonts w:ascii="Garamond" w:eastAsia="Calibri" w:hAnsi="Garamond" w:cs="Arial"/>
        </w:rPr>
        <w:t xml:space="preserve"> For Nye writing a history was particularly difficult, as he had to balance competing accounts. Nye’s discussion of the difficulties of representing time within the pages of a book had two applications for almanacs in the sixteenth and seventeenth centuries: the inclusion of chronologies or histories, and in plans for the year ahead.</w:t>
      </w:r>
    </w:p>
    <w:p w14:paraId="26D9820F" w14:textId="77777777" w:rsidR="00162224" w:rsidRPr="003037D2" w:rsidRDefault="00162224" w:rsidP="00162224">
      <w:pPr>
        <w:spacing w:line="360" w:lineRule="auto"/>
        <w:ind w:firstLine="720"/>
        <w:rPr>
          <w:rFonts w:ascii="Garamond" w:eastAsia="Calibri" w:hAnsi="Garamond" w:cs="Arial"/>
        </w:rPr>
      </w:pPr>
    </w:p>
    <w:p w14:paraId="015F33BF" w14:textId="77777777"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t xml:space="preserve">Most almanacs included a chronology of notable events, normally placed at the beginning of the volume. These would have constituted the most widely read histories in the early modern </w:t>
      </w:r>
      <w:proofErr w:type="gramStart"/>
      <w:r w:rsidRPr="003037D2">
        <w:rPr>
          <w:rFonts w:ascii="Garamond" w:eastAsia="Calibri" w:hAnsi="Garamond" w:cs="Arial"/>
        </w:rPr>
        <w:t>period, and</w:t>
      </w:r>
      <w:proofErr w:type="gramEnd"/>
      <w:r w:rsidRPr="003037D2">
        <w:rPr>
          <w:rFonts w:ascii="Garamond" w:eastAsia="Calibri" w:hAnsi="Garamond" w:cs="Arial"/>
        </w:rPr>
        <w:t xml:space="preserve"> are intriguing in their eclecticism. They commonly move from ‘the creation of the world’ forward year by year to the present day. The chronology of Thomas Gallen’s 1664 almanac begins with the creation of the world 5691 years ago, moving to ‘</w:t>
      </w:r>
      <w:proofErr w:type="spellStart"/>
      <w:r w:rsidRPr="003037D2">
        <w:rPr>
          <w:rFonts w:ascii="Garamond" w:eastAsia="Calibri" w:hAnsi="Garamond" w:cs="Arial"/>
        </w:rPr>
        <w:t>Noahs</w:t>
      </w:r>
      <w:proofErr w:type="spellEnd"/>
      <w:r w:rsidRPr="003037D2">
        <w:rPr>
          <w:rFonts w:ascii="Garamond" w:eastAsia="Calibri" w:hAnsi="Garamond" w:cs="Arial"/>
        </w:rPr>
        <w:t xml:space="preserve"> </w:t>
      </w:r>
      <w:proofErr w:type="spellStart"/>
      <w:r w:rsidRPr="003037D2">
        <w:rPr>
          <w:rFonts w:ascii="Garamond" w:eastAsia="Calibri" w:hAnsi="Garamond" w:cs="Arial"/>
        </w:rPr>
        <w:t>Floud</w:t>
      </w:r>
      <w:proofErr w:type="spellEnd"/>
      <w:r w:rsidRPr="003037D2">
        <w:rPr>
          <w:rFonts w:ascii="Garamond" w:eastAsia="Calibri" w:hAnsi="Garamond" w:cs="Arial"/>
        </w:rPr>
        <w:t xml:space="preserve">’ 3974 years past and then declares that ‘The Passion of our </w:t>
      </w:r>
      <w:proofErr w:type="spellStart"/>
      <w:r w:rsidRPr="003037D2">
        <w:rPr>
          <w:rFonts w:ascii="Garamond" w:eastAsia="Calibri" w:hAnsi="Garamond" w:cs="Arial"/>
        </w:rPr>
        <w:t>Saviour</w:t>
      </w:r>
      <w:proofErr w:type="spellEnd"/>
      <w:r w:rsidRPr="003037D2">
        <w:rPr>
          <w:rFonts w:ascii="Garamond" w:eastAsia="Calibri" w:hAnsi="Garamond" w:cs="Arial"/>
        </w:rPr>
        <w:t xml:space="preserve">’ occurred 1631 years before the present day. These global, biblical events are then followed by some more particular to Britain, with three dates given for when ‘the Christian Faith [was] generally received’ in England, Scotland, and Ireland respectively. This chronology states that Christianity was accepted in England two centuries before Ireland, reinforcing the dominant English narrative about Irish barbarity. Indeed, further on in the time line, the ‘Conquest of </w:t>
      </w:r>
      <w:r w:rsidRPr="003037D2">
        <w:rPr>
          <w:rFonts w:ascii="Garamond" w:eastAsia="Calibri" w:hAnsi="Garamond" w:cs="Arial"/>
          <w:i/>
        </w:rPr>
        <w:t xml:space="preserve">Ireland </w:t>
      </w:r>
      <w:r w:rsidRPr="003037D2">
        <w:rPr>
          <w:rFonts w:ascii="Garamond" w:eastAsia="Calibri" w:hAnsi="Garamond" w:cs="Arial"/>
        </w:rPr>
        <w:t xml:space="preserve">by </w:t>
      </w:r>
      <w:r w:rsidRPr="003037D2">
        <w:rPr>
          <w:rFonts w:ascii="Garamond" w:eastAsia="Calibri" w:hAnsi="Garamond" w:cs="Arial"/>
          <w:i/>
        </w:rPr>
        <w:t xml:space="preserve">Hen. </w:t>
      </w:r>
      <w:r w:rsidRPr="003037D2">
        <w:rPr>
          <w:rFonts w:ascii="Garamond" w:eastAsia="Calibri" w:hAnsi="Garamond" w:cs="Arial"/>
        </w:rPr>
        <w:t xml:space="preserve">2’ is </w:t>
      </w:r>
      <w:proofErr w:type="spellStart"/>
      <w:r w:rsidRPr="003037D2">
        <w:rPr>
          <w:rFonts w:ascii="Garamond" w:eastAsia="Calibri" w:hAnsi="Garamond" w:cs="Arial"/>
        </w:rPr>
        <w:t>memorialised</w:t>
      </w:r>
      <w:proofErr w:type="spellEnd"/>
      <w:r w:rsidRPr="003037D2">
        <w:rPr>
          <w:rFonts w:ascii="Garamond" w:eastAsia="Calibri" w:hAnsi="Garamond" w:cs="Arial"/>
        </w:rPr>
        <w:t>.</w:t>
      </w:r>
      <w:r w:rsidRPr="003037D2">
        <w:rPr>
          <w:rFonts w:ascii="Garamond" w:eastAsia="Calibri" w:hAnsi="Garamond" w:cs="Arial"/>
          <w:vertAlign w:val="superscript"/>
        </w:rPr>
        <w:footnoteReference w:id="122"/>
      </w:r>
      <w:r w:rsidRPr="003037D2">
        <w:rPr>
          <w:rFonts w:ascii="Garamond" w:eastAsia="Calibri" w:hAnsi="Garamond" w:cs="Arial"/>
        </w:rPr>
        <w:t xml:space="preserve"> The focus then turns to London-centric events, such as the founding of ‘New Exchange, Hires Hall, [and] </w:t>
      </w:r>
      <w:r w:rsidRPr="003037D2">
        <w:rPr>
          <w:rFonts w:ascii="Garamond" w:eastAsia="Calibri" w:hAnsi="Garamond" w:cs="Arial"/>
          <w:i/>
        </w:rPr>
        <w:t xml:space="preserve">Suttons </w:t>
      </w:r>
      <w:r w:rsidRPr="003037D2">
        <w:rPr>
          <w:rFonts w:ascii="Garamond" w:eastAsia="Calibri" w:hAnsi="Garamond" w:cs="Arial"/>
        </w:rPr>
        <w:t xml:space="preserve">Hospital’ and the ‘Paving of </w:t>
      </w:r>
      <w:r w:rsidRPr="003037D2">
        <w:rPr>
          <w:rFonts w:ascii="Garamond" w:eastAsia="Calibri" w:hAnsi="Garamond" w:cs="Arial"/>
          <w:i/>
        </w:rPr>
        <w:t xml:space="preserve">Smithfield’, </w:t>
      </w:r>
      <w:r w:rsidRPr="003037D2">
        <w:rPr>
          <w:rFonts w:ascii="Garamond" w:eastAsia="Calibri" w:hAnsi="Garamond" w:cs="Arial"/>
        </w:rPr>
        <w:t xml:space="preserve">historical occurrences which would have resonated strongly with Gallen’s readers, who would walk amongst these places daily. Almanacs became increasingly regionally </w:t>
      </w:r>
      <w:r w:rsidRPr="003037D2">
        <w:rPr>
          <w:rFonts w:ascii="Garamond" w:eastAsia="Calibri" w:hAnsi="Garamond" w:cs="Arial"/>
        </w:rPr>
        <w:lastRenderedPageBreak/>
        <w:t xml:space="preserve">specific in the seventeenth century, with the astronomical calculations often made for the home town of the compiler, such as Vincent Wing in North </w:t>
      </w:r>
      <w:proofErr w:type="spellStart"/>
      <w:r w:rsidRPr="003037D2">
        <w:rPr>
          <w:rFonts w:ascii="Garamond" w:eastAsia="Calibri" w:hAnsi="Garamond" w:cs="Arial"/>
        </w:rPr>
        <w:t>Luffenham</w:t>
      </w:r>
      <w:proofErr w:type="spellEnd"/>
      <w:r w:rsidRPr="003037D2">
        <w:rPr>
          <w:rFonts w:ascii="Garamond" w:eastAsia="Calibri" w:hAnsi="Garamond" w:cs="Arial"/>
        </w:rPr>
        <w:t>, Rutland.</w:t>
      </w:r>
      <w:r w:rsidRPr="003037D2">
        <w:rPr>
          <w:rFonts w:ascii="Garamond" w:eastAsia="Calibri" w:hAnsi="Garamond" w:cs="Arial"/>
          <w:vertAlign w:val="superscript"/>
        </w:rPr>
        <w:footnoteReference w:id="123"/>
      </w:r>
      <w:r w:rsidRPr="003037D2">
        <w:rPr>
          <w:rFonts w:ascii="Garamond" w:eastAsia="Calibri" w:hAnsi="Garamond" w:cs="Arial"/>
        </w:rPr>
        <w:t xml:space="preserve"> </w:t>
      </w:r>
    </w:p>
    <w:p w14:paraId="3C50E600" w14:textId="77777777" w:rsidR="00162224" w:rsidRPr="003037D2" w:rsidRDefault="00162224" w:rsidP="00162224">
      <w:pPr>
        <w:spacing w:line="360" w:lineRule="auto"/>
        <w:ind w:firstLine="720"/>
        <w:rPr>
          <w:rFonts w:ascii="Garamond" w:eastAsia="Calibri" w:hAnsi="Garamond" w:cs="Arial"/>
        </w:rPr>
      </w:pPr>
    </w:p>
    <w:p w14:paraId="06947003" w14:textId="477B76D0"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t>From the end of the sixteenth century to the mid-seventeenth century, chronologies became more common in almanacs. Robert Woodruff has tracked this increase, finding that from 1595-1615, 44% of almanacs included history timelines and 20% royal reigns. From 1616-1625 this increased respectively to 9% and 43%, and from 1626-1640 to 94% to 64%.</w:t>
      </w:r>
      <w:r w:rsidRPr="003037D2">
        <w:rPr>
          <w:rFonts w:ascii="Garamond" w:eastAsia="Calibri" w:hAnsi="Garamond" w:cs="Arial"/>
          <w:vertAlign w:val="superscript"/>
        </w:rPr>
        <w:footnoteReference w:id="124"/>
      </w:r>
      <w:r w:rsidRPr="003037D2">
        <w:rPr>
          <w:rFonts w:ascii="Garamond" w:eastAsia="Calibri" w:hAnsi="Garamond" w:cs="Arial"/>
        </w:rPr>
        <w:t xml:space="preserve"> Woodruff suggests that almanac compilers were likely reacting to the popularity of chronologies. Comparing a selection of chronologies from around the same year shows the different forms that this history writing could take. Thomas Kidman’s 1635 almanac shows a standard chronology running back to the ‘creation of the world’ 5584 years ago. The chronology covers a range of biblical events and moves on to an account of recent religious developments, such as ‘Martin Luther began to oppose the Pope’ 88 years ago. This then narrows down to a focus on the monarchy and astrological occurrences, giving the date of ‘the last blazing star’, seen seventeen years ago. (See </w:t>
      </w:r>
      <w:r w:rsidRPr="003037D2">
        <w:rPr>
          <w:rFonts w:ascii="Garamond" w:eastAsia="Calibri" w:hAnsi="Garamond" w:cs="Arial"/>
        </w:rPr>
        <w:fldChar w:fldCharType="begin"/>
      </w:r>
      <w:r w:rsidRPr="003037D2">
        <w:rPr>
          <w:rFonts w:ascii="Garamond" w:eastAsia="Calibri" w:hAnsi="Garamond" w:cs="Arial"/>
        </w:rPr>
        <w:instrText xml:space="preserve"> REF _Ref529095725 \h  \* MERGEFORMAT </w:instrText>
      </w:r>
      <w:r w:rsidRPr="003037D2">
        <w:rPr>
          <w:rFonts w:ascii="Garamond" w:eastAsia="Calibri" w:hAnsi="Garamond" w:cs="Arial"/>
        </w:rPr>
      </w:r>
      <w:r w:rsidRPr="003037D2">
        <w:rPr>
          <w:rFonts w:ascii="Garamond" w:eastAsia="Calibri" w:hAnsi="Garamond" w:cs="Arial"/>
        </w:rPr>
        <w:fldChar w:fldCharType="separate"/>
      </w:r>
      <w:r w:rsidR="001117A3" w:rsidRPr="003037D2">
        <w:rPr>
          <w:rFonts w:ascii="Garamond" w:eastAsia="Calibri" w:hAnsi="Garamond" w:cs="Arial"/>
        </w:rPr>
        <w:t xml:space="preserve">Figure </w:t>
      </w:r>
      <w:r w:rsidR="001117A3" w:rsidRPr="003037D2">
        <w:rPr>
          <w:rFonts w:ascii="Garamond" w:eastAsia="Calibri" w:hAnsi="Garamond" w:cs="Arial"/>
          <w:noProof/>
        </w:rPr>
        <w:t>7</w:t>
      </w:r>
      <w:r w:rsidRPr="003037D2">
        <w:rPr>
          <w:rFonts w:ascii="Garamond" w:eastAsia="Calibri" w:hAnsi="Garamond" w:cs="Arial"/>
        </w:rPr>
        <w:fldChar w:fldCharType="end"/>
      </w:r>
      <w:r w:rsidR="00ED0F4C">
        <w:rPr>
          <w:rFonts w:ascii="Garamond" w:eastAsia="Calibri" w:hAnsi="Garamond" w:cs="Arial"/>
        </w:rPr>
        <w:t>.</w:t>
      </w:r>
      <w:r w:rsidRPr="003037D2">
        <w:rPr>
          <w:rFonts w:ascii="Garamond" w:eastAsia="Calibri" w:hAnsi="Garamond" w:cs="Arial"/>
        </w:rPr>
        <w:t>)  Chronologies often betray an interest in asserting national superiority. In John White’s 1635 chronology (</w:t>
      </w:r>
      <w:r w:rsidRPr="003037D2">
        <w:rPr>
          <w:rFonts w:ascii="Garamond" w:eastAsia="Calibri" w:hAnsi="Garamond" w:cs="Arial"/>
        </w:rPr>
        <w:fldChar w:fldCharType="begin"/>
      </w:r>
      <w:r w:rsidRPr="003037D2">
        <w:rPr>
          <w:rFonts w:ascii="Garamond" w:eastAsia="Calibri" w:hAnsi="Garamond" w:cs="Arial"/>
        </w:rPr>
        <w:instrText xml:space="preserve"> REF _Ref529095748 \h  \* MERGEFORMAT </w:instrText>
      </w:r>
      <w:r w:rsidRPr="003037D2">
        <w:rPr>
          <w:rFonts w:ascii="Garamond" w:eastAsia="Calibri" w:hAnsi="Garamond" w:cs="Arial"/>
        </w:rPr>
      </w:r>
      <w:r w:rsidRPr="003037D2">
        <w:rPr>
          <w:rFonts w:ascii="Garamond" w:eastAsia="Calibri" w:hAnsi="Garamond" w:cs="Arial"/>
        </w:rPr>
        <w:fldChar w:fldCharType="separate"/>
      </w:r>
      <w:r w:rsidR="001117A3" w:rsidRPr="003037D2">
        <w:rPr>
          <w:rFonts w:ascii="Garamond" w:eastAsia="Calibri" w:hAnsi="Garamond" w:cs="Arial"/>
        </w:rPr>
        <w:t xml:space="preserve">Figure </w:t>
      </w:r>
      <w:r w:rsidR="001117A3" w:rsidRPr="003037D2">
        <w:rPr>
          <w:rFonts w:ascii="Garamond" w:eastAsia="Calibri" w:hAnsi="Garamond" w:cs="Arial"/>
          <w:noProof/>
        </w:rPr>
        <w:t>8</w:t>
      </w:r>
      <w:r w:rsidRPr="003037D2">
        <w:rPr>
          <w:rFonts w:ascii="Garamond" w:eastAsia="Calibri" w:hAnsi="Garamond" w:cs="Arial"/>
        </w:rPr>
        <w:fldChar w:fldCharType="end"/>
      </w:r>
      <w:r w:rsidRPr="003037D2">
        <w:rPr>
          <w:rFonts w:ascii="Garamond" w:eastAsia="Calibri" w:hAnsi="Garamond" w:cs="Arial"/>
        </w:rPr>
        <w:t xml:space="preserve">), there is an insistence on British supremacy, as it specifies that both London and York have been built before Rome. Several other entries detailing the building of London, speaking to a local audience. In White’s chronology, it is 175 years ‘since the art of Printing invented’ and the first use of coaches in England is given as 80 years before. These two technological developments were commonly included in almanacs, with </w:t>
      </w:r>
      <w:r w:rsidRPr="003037D2">
        <w:rPr>
          <w:rFonts w:ascii="Garamond" w:eastAsia="Calibri" w:hAnsi="Garamond" w:cs="Arial"/>
        </w:rPr>
        <w:fldChar w:fldCharType="begin"/>
      </w:r>
      <w:r w:rsidRPr="003037D2">
        <w:rPr>
          <w:rFonts w:ascii="Garamond" w:eastAsia="Calibri" w:hAnsi="Garamond" w:cs="Arial"/>
        </w:rPr>
        <w:instrText xml:space="preserve"> REF _Ref529305543 \h  \* MERGEFORMAT </w:instrText>
      </w:r>
      <w:r w:rsidRPr="003037D2">
        <w:rPr>
          <w:rFonts w:ascii="Garamond" w:eastAsia="Calibri" w:hAnsi="Garamond" w:cs="Arial"/>
        </w:rPr>
      </w:r>
      <w:r w:rsidRPr="003037D2">
        <w:rPr>
          <w:rFonts w:ascii="Garamond" w:eastAsia="Calibri" w:hAnsi="Garamond" w:cs="Arial"/>
        </w:rPr>
        <w:fldChar w:fldCharType="separate"/>
      </w:r>
      <w:r w:rsidR="001117A3" w:rsidRPr="003037D2">
        <w:rPr>
          <w:rFonts w:ascii="Garamond" w:eastAsia="Calibri" w:hAnsi="Garamond" w:cs="Arial"/>
        </w:rPr>
        <w:t xml:space="preserve">Figure </w:t>
      </w:r>
      <w:r w:rsidR="001117A3" w:rsidRPr="003037D2">
        <w:rPr>
          <w:rFonts w:ascii="Garamond" w:eastAsia="Calibri" w:hAnsi="Garamond" w:cs="Arial"/>
          <w:noProof/>
        </w:rPr>
        <w:t>9</w:t>
      </w:r>
      <w:r w:rsidRPr="003037D2">
        <w:rPr>
          <w:rFonts w:ascii="Garamond" w:eastAsia="Calibri" w:hAnsi="Garamond" w:cs="Arial"/>
        </w:rPr>
        <w:fldChar w:fldCharType="end"/>
      </w:r>
      <w:r w:rsidRPr="003037D2">
        <w:rPr>
          <w:rFonts w:ascii="Garamond" w:eastAsia="Calibri" w:hAnsi="Garamond" w:cs="Arial"/>
        </w:rPr>
        <w:t xml:space="preserve"> showing Gallen’s 1648 </w:t>
      </w:r>
      <w:proofErr w:type="spellStart"/>
      <w:r w:rsidRPr="003037D2">
        <w:rPr>
          <w:rFonts w:ascii="Garamond" w:eastAsia="Calibri" w:hAnsi="Garamond" w:cs="Arial"/>
        </w:rPr>
        <w:t>almanc</w:t>
      </w:r>
      <w:proofErr w:type="spellEnd"/>
      <w:r w:rsidRPr="003037D2">
        <w:rPr>
          <w:rFonts w:ascii="Garamond" w:eastAsia="Calibri" w:hAnsi="Garamond" w:cs="Arial"/>
        </w:rPr>
        <w:t xml:space="preserve"> including the same information. However, these historical accounts do not accord. When the actual dates are calculated, White’s gives the first introduction of coaches as 1575 and Gallen’s as 1595. </w:t>
      </w:r>
    </w:p>
    <w:p w14:paraId="0799D226" w14:textId="77777777" w:rsidR="00162224" w:rsidRPr="003037D2" w:rsidRDefault="00162224" w:rsidP="00162224">
      <w:pPr>
        <w:spacing w:line="360" w:lineRule="auto"/>
        <w:ind w:firstLine="720"/>
        <w:rPr>
          <w:rFonts w:ascii="Garamond" w:eastAsia="Calibri" w:hAnsi="Garamond" w:cs="Arial"/>
        </w:rPr>
      </w:pPr>
    </w:p>
    <w:p w14:paraId="331FB1FB" w14:textId="1EC4757B"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t xml:space="preserve">Almanacs could help define both local and national identities. Some of the earliest examples from the ‘new world’ were Samuel Danforth’s, ‘calculated for the longitude of 315 degrees and elevation of the Pole </w:t>
      </w:r>
      <w:proofErr w:type="spellStart"/>
      <w:r w:rsidRPr="003037D2">
        <w:rPr>
          <w:rFonts w:ascii="Garamond" w:eastAsia="Calibri" w:hAnsi="Garamond" w:cs="Arial"/>
        </w:rPr>
        <w:t>Artick</w:t>
      </w:r>
      <w:proofErr w:type="spellEnd"/>
      <w:r w:rsidRPr="003037D2">
        <w:rPr>
          <w:rFonts w:ascii="Garamond" w:eastAsia="Calibri" w:hAnsi="Garamond" w:cs="Arial"/>
        </w:rPr>
        <w:t xml:space="preserve"> 42 </w:t>
      </w:r>
      <w:proofErr w:type="spellStart"/>
      <w:r w:rsidRPr="003037D2">
        <w:rPr>
          <w:rFonts w:ascii="Garamond" w:eastAsia="Calibri" w:hAnsi="Garamond" w:cs="Arial"/>
        </w:rPr>
        <w:t>degr</w:t>
      </w:r>
      <w:proofErr w:type="spellEnd"/>
      <w:r w:rsidRPr="003037D2">
        <w:rPr>
          <w:rFonts w:ascii="Garamond" w:eastAsia="Calibri" w:hAnsi="Garamond" w:cs="Arial"/>
        </w:rPr>
        <w:t>[</w:t>
      </w:r>
      <w:proofErr w:type="spellStart"/>
      <w:r w:rsidRPr="003037D2">
        <w:rPr>
          <w:rFonts w:ascii="Garamond" w:eastAsia="Calibri" w:hAnsi="Garamond" w:cs="Arial"/>
        </w:rPr>
        <w:t>ees</w:t>
      </w:r>
      <w:proofErr w:type="spellEnd"/>
      <w:r w:rsidRPr="003037D2">
        <w:rPr>
          <w:rFonts w:ascii="Garamond" w:eastAsia="Calibri" w:hAnsi="Garamond" w:cs="Arial"/>
        </w:rPr>
        <w:t xml:space="preserve">]’ to ‘generally serve for the most part of New-England’. Danforth proudly proclaimed himself a scholar of the New World, advertising himself as a ‘Harvard College </w:t>
      </w:r>
      <w:proofErr w:type="spellStart"/>
      <w:r w:rsidRPr="003037D2">
        <w:rPr>
          <w:rFonts w:ascii="Garamond" w:eastAsia="Calibri" w:hAnsi="Garamond" w:cs="Arial"/>
        </w:rPr>
        <w:t>philomathemat</w:t>
      </w:r>
      <w:proofErr w:type="spellEnd"/>
      <w:r w:rsidRPr="003037D2">
        <w:rPr>
          <w:rFonts w:ascii="Garamond" w:eastAsia="Calibri" w:hAnsi="Garamond" w:cs="Arial"/>
        </w:rPr>
        <w:t xml:space="preserve">’. The chronologies in Danforth’s almanacs </w:t>
      </w:r>
      <w:r w:rsidR="00531ACA" w:rsidRPr="003037D2">
        <w:rPr>
          <w:rFonts w:ascii="Garamond" w:eastAsia="Calibri" w:hAnsi="Garamond" w:cs="Arial"/>
        </w:rPr>
        <w:t xml:space="preserve">are </w:t>
      </w:r>
      <w:r w:rsidRPr="003037D2">
        <w:rPr>
          <w:rFonts w:ascii="Garamond" w:eastAsia="Calibri" w:hAnsi="Garamond" w:cs="Arial"/>
        </w:rPr>
        <w:t xml:space="preserve">highly </w:t>
      </w:r>
      <w:proofErr w:type="spellStart"/>
      <w:r w:rsidRPr="003037D2">
        <w:rPr>
          <w:rFonts w:ascii="Garamond" w:eastAsia="Calibri" w:hAnsi="Garamond" w:cs="Arial"/>
        </w:rPr>
        <w:t>unsual</w:t>
      </w:r>
      <w:proofErr w:type="spellEnd"/>
      <w:r w:rsidRPr="003037D2">
        <w:rPr>
          <w:rFonts w:ascii="Garamond" w:eastAsia="Calibri" w:hAnsi="Garamond" w:cs="Arial"/>
        </w:rPr>
        <w:t xml:space="preserve">, as they are </w:t>
      </w:r>
      <w:proofErr w:type="spellStart"/>
      <w:r w:rsidRPr="003037D2">
        <w:rPr>
          <w:rFonts w:ascii="Garamond" w:eastAsia="Calibri" w:hAnsi="Garamond" w:cs="Arial"/>
        </w:rPr>
        <w:t>organised</w:t>
      </w:r>
      <w:proofErr w:type="spellEnd"/>
      <w:r w:rsidRPr="003037D2">
        <w:rPr>
          <w:rFonts w:ascii="Garamond" w:eastAsia="Calibri" w:hAnsi="Garamond" w:cs="Arial"/>
        </w:rPr>
        <w:t xml:space="preserve"> by day </w:t>
      </w:r>
      <w:r w:rsidRPr="003037D2">
        <w:rPr>
          <w:rFonts w:ascii="Garamond" w:eastAsia="Calibri" w:hAnsi="Garamond" w:cs="Arial"/>
        </w:rPr>
        <w:lastRenderedPageBreak/>
        <w:t xml:space="preserve">and month as well as year. (See </w:t>
      </w:r>
      <w:r w:rsidRPr="003037D2">
        <w:rPr>
          <w:rFonts w:ascii="Garamond" w:eastAsia="Calibri" w:hAnsi="Garamond" w:cs="Arial"/>
        </w:rPr>
        <w:fldChar w:fldCharType="begin"/>
      </w:r>
      <w:r w:rsidRPr="003037D2">
        <w:rPr>
          <w:rFonts w:ascii="Garamond" w:eastAsia="Calibri" w:hAnsi="Garamond" w:cs="Arial"/>
        </w:rPr>
        <w:instrText xml:space="preserve"> REF _Ref532896660 \h </w:instrText>
      </w:r>
      <w:r w:rsidR="003037D2">
        <w:rPr>
          <w:rFonts w:ascii="Garamond" w:eastAsia="Calibri" w:hAnsi="Garamond" w:cs="Arial"/>
        </w:rPr>
        <w:instrText xml:space="preserve"> \* MERGEFORMAT </w:instrText>
      </w:r>
      <w:r w:rsidRPr="003037D2">
        <w:rPr>
          <w:rFonts w:ascii="Garamond" w:eastAsia="Calibri" w:hAnsi="Garamond" w:cs="Arial"/>
        </w:rPr>
      </w:r>
      <w:r w:rsidRPr="003037D2">
        <w:rPr>
          <w:rFonts w:ascii="Garamond" w:eastAsia="Calibri" w:hAnsi="Garamond" w:cs="Arial"/>
        </w:rPr>
        <w:fldChar w:fldCharType="separate"/>
      </w:r>
      <w:r w:rsidR="001117A3" w:rsidRPr="003037D2">
        <w:rPr>
          <w:rFonts w:ascii="Garamond" w:hAnsi="Garamond"/>
        </w:rPr>
        <w:t xml:space="preserve">Figure </w:t>
      </w:r>
      <w:r w:rsidR="001117A3" w:rsidRPr="003037D2">
        <w:rPr>
          <w:rFonts w:ascii="Garamond" w:hAnsi="Garamond"/>
          <w:noProof/>
        </w:rPr>
        <w:t>10</w:t>
      </w:r>
      <w:r w:rsidRPr="003037D2">
        <w:rPr>
          <w:rFonts w:ascii="Garamond" w:eastAsia="Calibri" w:hAnsi="Garamond" w:cs="Arial"/>
        </w:rPr>
        <w:fldChar w:fldCharType="end"/>
      </w:r>
      <w:r w:rsidR="00ED0F4C">
        <w:rPr>
          <w:rFonts w:ascii="Garamond" w:eastAsia="Calibri" w:hAnsi="Garamond" w:cs="Arial"/>
        </w:rPr>
        <w:t>.</w:t>
      </w:r>
      <w:r w:rsidRPr="003037D2">
        <w:rPr>
          <w:rFonts w:ascii="Garamond" w:eastAsia="Calibri" w:hAnsi="Garamond" w:cs="Arial"/>
        </w:rPr>
        <w:t>) The ‘Chronological Table’, rather than running from the day of creation as has previously been seen, creates a local history commemorating events such as ‘</w:t>
      </w:r>
      <w:proofErr w:type="spellStart"/>
      <w:r w:rsidRPr="003037D2">
        <w:rPr>
          <w:rFonts w:ascii="Garamond" w:eastAsia="Calibri" w:hAnsi="Garamond" w:cs="Arial"/>
        </w:rPr>
        <w:t>Fourty</w:t>
      </w:r>
      <w:proofErr w:type="spellEnd"/>
      <w:r w:rsidRPr="003037D2">
        <w:rPr>
          <w:rFonts w:ascii="Garamond" w:eastAsia="Calibri" w:hAnsi="Garamond" w:cs="Arial"/>
        </w:rPr>
        <w:t xml:space="preserve"> Pequot captives brought to Boston’ on 6</w:t>
      </w:r>
      <w:r w:rsidRPr="003037D2">
        <w:rPr>
          <w:rFonts w:ascii="Garamond" w:eastAsia="Calibri" w:hAnsi="Garamond" w:cs="Arial"/>
          <w:vertAlign w:val="superscript"/>
        </w:rPr>
        <w:t>th</w:t>
      </w:r>
      <w:r w:rsidRPr="003037D2">
        <w:rPr>
          <w:rFonts w:ascii="Garamond" w:eastAsia="Calibri" w:hAnsi="Garamond" w:cs="Arial"/>
        </w:rPr>
        <w:t xml:space="preserve"> July 1637, and weather events such as storms and floods.</w:t>
      </w:r>
      <w:r w:rsidRPr="003037D2">
        <w:rPr>
          <w:rFonts w:ascii="Garamond" w:eastAsia="Calibri" w:hAnsi="Garamond" w:cs="Arial"/>
          <w:vertAlign w:val="superscript"/>
        </w:rPr>
        <w:t xml:space="preserve"> </w:t>
      </w:r>
      <w:r w:rsidRPr="003037D2">
        <w:rPr>
          <w:rFonts w:ascii="Garamond" w:eastAsia="Calibri" w:hAnsi="Garamond" w:cs="Arial"/>
          <w:vertAlign w:val="superscript"/>
        </w:rPr>
        <w:footnoteReference w:id="125"/>
      </w:r>
      <w:r w:rsidRPr="003037D2">
        <w:rPr>
          <w:rFonts w:ascii="Garamond" w:eastAsia="Calibri" w:hAnsi="Garamond" w:cs="Arial"/>
        </w:rPr>
        <w:t xml:space="preserve"> There is an expectation that the reader of this chronology is a </w:t>
      </w:r>
      <w:proofErr w:type="spellStart"/>
      <w:r w:rsidRPr="003037D2">
        <w:rPr>
          <w:rFonts w:ascii="Garamond" w:eastAsia="Calibri" w:hAnsi="Garamond" w:cs="Arial"/>
        </w:rPr>
        <w:t>neighbour</w:t>
      </w:r>
      <w:proofErr w:type="spellEnd"/>
      <w:r w:rsidRPr="003037D2">
        <w:rPr>
          <w:rFonts w:ascii="Garamond" w:eastAsia="Calibri" w:hAnsi="Garamond" w:cs="Arial"/>
        </w:rPr>
        <w:t xml:space="preserve">, as the text describes ‘Mr. Roger </w:t>
      </w:r>
      <w:proofErr w:type="spellStart"/>
      <w:r w:rsidRPr="003037D2">
        <w:rPr>
          <w:rFonts w:ascii="Garamond" w:eastAsia="Calibri" w:hAnsi="Garamond" w:cs="Arial"/>
        </w:rPr>
        <w:t>Harlakenden</w:t>
      </w:r>
      <w:proofErr w:type="spellEnd"/>
      <w:r w:rsidRPr="003037D2">
        <w:rPr>
          <w:rFonts w:ascii="Garamond" w:eastAsia="Calibri" w:hAnsi="Garamond" w:cs="Arial"/>
        </w:rPr>
        <w:t xml:space="preserve">’ as ‘one of </w:t>
      </w:r>
      <w:r w:rsidRPr="003037D2">
        <w:rPr>
          <w:rFonts w:ascii="Garamond" w:eastAsia="Calibri" w:hAnsi="Garamond" w:cs="Arial"/>
          <w:i/>
          <w:iCs/>
        </w:rPr>
        <w:t xml:space="preserve">our </w:t>
      </w:r>
      <w:r w:rsidRPr="003037D2">
        <w:rPr>
          <w:rFonts w:ascii="Garamond" w:eastAsia="Calibri" w:hAnsi="Garamond" w:cs="Arial"/>
        </w:rPr>
        <w:t xml:space="preserve">Magistrates’. This history carries implications of prior knowledge, in entries such as ‘[a]bout this time </w:t>
      </w:r>
      <w:r w:rsidRPr="003037D2">
        <w:rPr>
          <w:rFonts w:ascii="Garamond" w:eastAsia="Calibri" w:hAnsi="Garamond" w:cs="Arial"/>
          <w:i/>
        </w:rPr>
        <w:t>the</w:t>
      </w:r>
      <w:r w:rsidRPr="003037D2">
        <w:rPr>
          <w:rFonts w:ascii="Garamond" w:eastAsia="Calibri" w:hAnsi="Garamond" w:cs="Arial"/>
        </w:rPr>
        <w:t xml:space="preserve"> Indian was </w:t>
      </w:r>
      <w:proofErr w:type="spellStart"/>
      <w:r w:rsidRPr="003037D2">
        <w:rPr>
          <w:rFonts w:ascii="Garamond" w:eastAsia="Calibri" w:hAnsi="Garamond" w:cs="Arial"/>
        </w:rPr>
        <w:t>murthered</w:t>
      </w:r>
      <w:proofErr w:type="spellEnd"/>
      <w:r w:rsidRPr="003037D2">
        <w:rPr>
          <w:rFonts w:ascii="Garamond" w:eastAsia="Calibri" w:hAnsi="Garamond" w:cs="Arial"/>
        </w:rPr>
        <w:t xml:space="preserve"> in the way to Taunton’.</w:t>
      </w:r>
      <w:r w:rsidRPr="003037D2">
        <w:rPr>
          <w:rFonts w:ascii="Garamond" w:eastAsia="Calibri" w:hAnsi="Garamond" w:cs="Arial"/>
          <w:vertAlign w:val="superscript"/>
        </w:rPr>
        <w:footnoteReference w:id="126"/>
      </w:r>
      <w:r w:rsidRPr="003037D2">
        <w:rPr>
          <w:rFonts w:ascii="Garamond" w:eastAsia="Calibri" w:hAnsi="Garamond" w:cs="Arial"/>
        </w:rPr>
        <w:t xml:space="preserve"> Danforth uses chronologies to create a local identity for a new land. The historic past of Europe has been erased, with a focus on local events. Occurrences such as floods and storms need to be recorded, as they may well be signs of longstanding patterns which the settlers will be only starting to understand and notice, such as the ‘innumerable </w:t>
      </w:r>
      <w:proofErr w:type="spellStart"/>
      <w:r w:rsidRPr="003037D2">
        <w:rPr>
          <w:rFonts w:ascii="Garamond" w:eastAsia="Calibri" w:hAnsi="Garamond" w:cs="Arial"/>
        </w:rPr>
        <w:t>swarmes</w:t>
      </w:r>
      <w:proofErr w:type="spellEnd"/>
      <w:r w:rsidRPr="003037D2">
        <w:rPr>
          <w:rFonts w:ascii="Garamond" w:eastAsia="Calibri" w:hAnsi="Garamond" w:cs="Arial"/>
        </w:rPr>
        <w:t xml:space="preserve"> of strange </w:t>
      </w:r>
      <w:proofErr w:type="spellStart"/>
      <w:r w:rsidRPr="003037D2">
        <w:rPr>
          <w:rFonts w:ascii="Garamond" w:eastAsia="Calibri" w:hAnsi="Garamond" w:cs="Arial"/>
        </w:rPr>
        <w:t>flyes</w:t>
      </w:r>
      <w:proofErr w:type="spellEnd"/>
      <w:r w:rsidRPr="003037D2">
        <w:rPr>
          <w:rFonts w:ascii="Garamond" w:eastAsia="Calibri" w:hAnsi="Garamond" w:cs="Arial"/>
        </w:rPr>
        <w:t xml:space="preserve"> fleeting upon the fens’ in 1639.</w:t>
      </w:r>
      <w:r w:rsidRPr="003037D2">
        <w:rPr>
          <w:rFonts w:ascii="Garamond" w:eastAsia="Calibri" w:hAnsi="Garamond" w:cs="Arial"/>
          <w:vertAlign w:val="superscript"/>
        </w:rPr>
        <w:footnoteReference w:id="127"/>
      </w:r>
      <w:r w:rsidRPr="003037D2">
        <w:rPr>
          <w:rFonts w:ascii="Garamond" w:eastAsia="Calibri" w:hAnsi="Garamond" w:cs="Arial"/>
        </w:rPr>
        <w:t xml:space="preserve">  The timeline in George Winter’s 1637 almanac (an English one) is in some ways similar to Danforth’s. Instead of reading back to creation, it provides ‘a concordance of years from the beginning of the reign of </w:t>
      </w:r>
      <w:r w:rsidRPr="003037D2">
        <w:rPr>
          <w:rFonts w:ascii="Garamond" w:eastAsia="Calibri" w:hAnsi="Garamond" w:cs="Arial"/>
          <w:i/>
        </w:rPr>
        <w:t xml:space="preserve">Henry </w:t>
      </w:r>
      <w:r w:rsidRPr="003037D2">
        <w:rPr>
          <w:rFonts w:ascii="Garamond" w:eastAsia="Calibri" w:hAnsi="Garamond" w:cs="Arial"/>
        </w:rPr>
        <w:t xml:space="preserve">the seventh, the use whereof is set down in the end’. Five different types of dating system are used: ‘The years of our Lord’/ ‘After conquest’ / ‘Kings reign’ / ‘Time expired’ / ‘Easter Day’. (See </w:t>
      </w:r>
      <w:r w:rsidRPr="003037D2">
        <w:rPr>
          <w:rFonts w:ascii="Garamond" w:eastAsia="Calibri" w:hAnsi="Garamond" w:cs="Arial"/>
        </w:rPr>
        <w:fldChar w:fldCharType="begin"/>
      </w:r>
      <w:r w:rsidRPr="003037D2">
        <w:rPr>
          <w:rFonts w:ascii="Garamond" w:eastAsia="Calibri" w:hAnsi="Garamond" w:cs="Arial"/>
        </w:rPr>
        <w:instrText xml:space="preserve"> REF _Ref530143991 \h  \* MERGEFORMAT </w:instrText>
      </w:r>
      <w:r w:rsidRPr="003037D2">
        <w:rPr>
          <w:rFonts w:ascii="Garamond" w:eastAsia="Calibri" w:hAnsi="Garamond" w:cs="Arial"/>
        </w:rPr>
      </w:r>
      <w:r w:rsidRPr="003037D2">
        <w:rPr>
          <w:rFonts w:ascii="Garamond" w:eastAsia="Calibri" w:hAnsi="Garamond" w:cs="Arial"/>
        </w:rPr>
        <w:fldChar w:fldCharType="separate"/>
      </w:r>
      <w:r w:rsidR="001117A3" w:rsidRPr="003037D2">
        <w:rPr>
          <w:rFonts w:ascii="Garamond" w:eastAsia="Calibri" w:hAnsi="Garamond" w:cs="Arial"/>
        </w:rPr>
        <w:t xml:space="preserve">Figure </w:t>
      </w:r>
      <w:r w:rsidR="001117A3" w:rsidRPr="003037D2">
        <w:rPr>
          <w:rFonts w:ascii="Garamond" w:eastAsia="Calibri" w:hAnsi="Garamond" w:cs="Arial"/>
          <w:noProof/>
        </w:rPr>
        <w:t>11</w:t>
      </w:r>
      <w:r w:rsidRPr="003037D2">
        <w:rPr>
          <w:rFonts w:ascii="Garamond" w:eastAsia="Calibri" w:hAnsi="Garamond" w:cs="Arial"/>
        </w:rPr>
        <w:fldChar w:fldCharType="end"/>
      </w:r>
      <w:r w:rsidR="00ED0F4C">
        <w:rPr>
          <w:rFonts w:ascii="Garamond" w:eastAsia="Calibri" w:hAnsi="Garamond" w:cs="Arial"/>
        </w:rPr>
        <w:t>.</w:t>
      </w:r>
      <w:r w:rsidRPr="003037D2">
        <w:rPr>
          <w:rFonts w:ascii="Garamond" w:eastAsia="Calibri" w:hAnsi="Garamond" w:cs="Arial"/>
        </w:rPr>
        <w:t xml:space="preserve">) Alongside these </w:t>
      </w:r>
      <w:r w:rsidR="002F1250" w:rsidRPr="003037D2">
        <w:rPr>
          <w:rFonts w:ascii="Garamond" w:eastAsia="Calibri" w:hAnsi="Garamond" w:cs="Arial"/>
        </w:rPr>
        <w:t>dates,</w:t>
      </w:r>
      <w:r w:rsidRPr="003037D2">
        <w:rPr>
          <w:rFonts w:ascii="Garamond" w:eastAsia="Calibri" w:hAnsi="Garamond" w:cs="Arial"/>
        </w:rPr>
        <w:t xml:space="preserve"> events are listed for the reigns of Henry VII, VIII, Mary, Elizabeth, James and the beginning of Charles’ rule. Every year is noted down, and most have at least one ‘memorable occurrence’. In many ways, this chronology gives a history of the church in England: ‘1530 </w:t>
      </w:r>
      <w:proofErr w:type="spellStart"/>
      <w:r w:rsidRPr="003037D2">
        <w:rPr>
          <w:rFonts w:ascii="Garamond" w:eastAsia="Calibri" w:hAnsi="Garamond" w:cs="Arial"/>
          <w:i/>
        </w:rPr>
        <w:t>Tindals</w:t>
      </w:r>
      <w:proofErr w:type="spellEnd"/>
      <w:r w:rsidRPr="003037D2">
        <w:rPr>
          <w:rFonts w:ascii="Garamond" w:eastAsia="Calibri" w:hAnsi="Garamond" w:cs="Arial"/>
          <w:i/>
        </w:rPr>
        <w:t xml:space="preserve"> </w:t>
      </w:r>
      <w:r w:rsidRPr="003037D2">
        <w:rPr>
          <w:rFonts w:ascii="Garamond" w:eastAsia="Calibri" w:hAnsi="Garamond" w:cs="Arial"/>
        </w:rPr>
        <w:t xml:space="preserve">testament printed’, ‘1538 The bible appointed to be read, and register books to be kept in every parish’,  ‘1552 </w:t>
      </w:r>
      <w:r w:rsidRPr="002F1250">
        <w:rPr>
          <w:rFonts w:ascii="Garamond" w:eastAsia="Calibri" w:hAnsi="Garamond" w:cs="Arial"/>
          <w:i/>
          <w:iCs/>
        </w:rPr>
        <w:t>The Book of Common Prayer</w:t>
      </w:r>
      <w:r w:rsidRPr="003037D2">
        <w:rPr>
          <w:rFonts w:ascii="Garamond" w:eastAsia="Calibri" w:hAnsi="Garamond" w:cs="Arial"/>
        </w:rPr>
        <w:t xml:space="preserve"> first allowed in English’.</w:t>
      </w:r>
      <w:r w:rsidRPr="003037D2">
        <w:rPr>
          <w:rFonts w:ascii="Garamond" w:eastAsia="Calibri" w:hAnsi="Garamond" w:cs="Arial"/>
          <w:vertAlign w:val="superscript"/>
        </w:rPr>
        <w:footnoteReference w:id="128"/>
      </w:r>
      <w:r w:rsidRPr="003037D2">
        <w:rPr>
          <w:rFonts w:ascii="Garamond" w:eastAsia="Calibri" w:hAnsi="Garamond" w:cs="Arial"/>
        </w:rPr>
        <w:t xml:space="preserve"> As seen in </w:t>
      </w:r>
      <w:r w:rsidRPr="003037D2">
        <w:rPr>
          <w:rFonts w:ascii="Garamond" w:eastAsia="Calibri" w:hAnsi="Garamond" w:cs="Arial"/>
        </w:rPr>
        <w:fldChar w:fldCharType="begin"/>
      </w:r>
      <w:r w:rsidRPr="003037D2">
        <w:rPr>
          <w:rFonts w:ascii="Garamond" w:eastAsia="Calibri" w:hAnsi="Garamond" w:cs="Arial"/>
        </w:rPr>
        <w:instrText xml:space="preserve"> REF _Ref530144007 \h  \* MERGEFORMAT </w:instrText>
      </w:r>
      <w:r w:rsidRPr="003037D2">
        <w:rPr>
          <w:rFonts w:ascii="Garamond" w:eastAsia="Calibri" w:hAnsi="Garamond" w:cs="Arial"/>
        </w:rPr>
      </w:r>
      <w:r w:rsidRPr="003037D2">
        <w:rPr>
          <w:rFonts w:ascii="Garamond" w:eastAsia="Calibri" w:hAnsi="Garamond" w:cs="Arial"/>
        </w:rPr>
        <w:fldChar w:fldCharType="separate"/>
      </w:r>
      <w:r w:rsidR="001117A3" w:rsidRPr="003037D2">
        <w:rPr>
          <w:rFonts w:ascii="Garamond" w:eastAsia="Calibri" w:hAnsi="Garamond" w:cs="Arial"/>
        </w:rPr>
        <w:t xml:space="preserve">Figure </w:t>
      </w:r>
      <w:r w:rsidR="001117A3" w:rsidRPr="003037D2">
        <w:rPr>
          <w:rFonts w:ascii="Garamond" w:eastAsia="Calibri" w:hAnsi="Garamond" w:cs="Arial"/>
          <w:noProof/>
        </w:rPr>
        <w:t>12</w:t>
      </w:r>
      <w:r w:rsidRPr="003037D2">
        <w:rPr>
          <w:rFonts w:ascii="Garamond" w:eastAsia="Calibri" w:hAnsi="Garamond" w:cs="Arial"/>
        </w:rPr>
        <w:fldChar w:fldCharType="end"/>
      </w:r>
      <w:r w:rsidRPr="003037D2">
        <w:rPr>
          <w:rFonts w:ascii="Garamond" w:eastAsia="Calibri" w:hAnsi="Garamond" w:cs="Arial"/>
        </w:rPr>
        <w:t xml:space="preserve">, the years to come are left blank, with the blank space filled with the exhortation ‘God preserve our king’ despite the fact that the regal years have not been filled in. Indeed, astrologers were not allowed to calculate the life expectancy of the regent as it </w:t>
      </w:r>
      <w:proofErr w:type="gramStart"/>
      <w:r w:rsidRPr="003037D2">
        <w:rPr>
          <w:rFonts w:ascii="Garamond" w:eastAsia="Calibri" w:hAnsi="Garamond" w:cs="Arial"/>
        </w:rPr>
        <w:t>was seen as</w:t>
      </w:r>
      <w:proofErr w:type="gramEnd"/>
      <w:r w:rsidRPr="003037D2">
        <w:rPr>
          <w:rFonts w:ascii="Garamond" w:eastAsia="Calibri" w:hAnsi="Garamond" w:cs="Arial"/>
        </w:rPr>
        <w:t xml:space="preserve"> tantamount to conjuring their deaths.</w:t>
      </w:r>
      <w:r w:rsidRPr="003037D2">
        <w:rPr>
          <w:rFonts w:ascii="Garamond" w:eastAsia="Calibri" w:hAnsi="Garamond" w:cs="Arial"/>
          <w:vertAlign w:val="superscript"/>
        </w:rPr>
        <w:footnoteReference w:id="129"/>
      </w:r>
      <w:r w:rsidRPr="003037D2">
        <w:rPr>
          <w:rFonts w:ascii="Garamond" w:eastAsia="Calibri" w:hAnsi="Garamond" w:cs="Arial"/>
        </w:rPr>
        <w:t xml:space="preserve"> Whilst Winters wished to demonstrate his fealty, this could not come at the expense of making an error in the dating system. </w:t>
      </w:r>
    </w:p>
    <w:p w14:paraId="61FBAA2C" w14:textId="77777777" w:rsidR="00162224" w:rsidRPr="003037D2" w:rsidRDefault="00162224" w:rsidP="00162224">
      <w:pPr>
        <w:spacing w:line="360" w:lineRule="auto"/>
        <w:ind w:firstLine="720"/>
        <w:rPr>
          <w:rFonts w:ascii="Garamond" w:eastAsia="Calibri" w:hAnsi="Garamond" w:cs="Arial"/>
        </w:rPr>
      </w:pPr>
    </w:p>
    <w:p w14:paraId="0EBC3879" w14:textId="00D66610"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lastRenderedPageBreak/>
        <w:t xml:space="preserve">The creation of a chronology counterintuitively brings the future into contact with the past, both by framing the past in terms of its relationship to the present moment, and by creating a way of understanding future events as part of this narrative. In April 1605, whilst working on </w:t>
      </w:r>
      <w:r w:rsidRPr="003037D2">
        <w:rPr>
          <w:rFonts w:ascii="Garamond" w:eastAsia="Calibri" w:hAnsi="Garamond" w:cs="Arial"/>
          <w:i/>
        </w:rPr>
        <w:t xml:space="preserve">Advancement of Learning, </w:t>
      </w:r>
      <w:r w:rsidRPr="003037D2">
        <w:rPr>
          <w:rFonts w:ascii="Garamond" w:eastAsia="Calibri" w:hAnsi="Garamond" w:cs="Arial"/>
        </w:rPr>
        <w:t xml:space="preserve">Francis Bacon wrote to Thomas Egerton to petition for his support in writing a new history to unify Scotland and England, which had been </w:t>
      </w:r>
      <w:r w:rsidR="00814479" w:rsidRPr="00814479">
        <w:rPr>
          <w:rFonts w:ascii="Garamond" w:eastAsia="Calibri" w:hAnsi="Garamond" w:cs="Arial"/>
        </w:rPr>
        <w:t xml:space="preserve">ruled by one crown, following the </w:t>
      </w:r>
      <w:proofErr w:type="spellStart"/>
      <w:r w:rsidR="00814479" w:rsidRPr="00814479">
        <w:rPr>
          <w:rFonts w:ascii="Garamond" w:eastAsia="Calibri" w:hAnsi="Garamond" w:cs="Arial"/>
        </w:rPr>
        <w:t>acension</w:t>
      </w:r>
      <w:proofErr w:type="spellEnd"/>
      <w:r w:rsidR="00814479" w:rsidRPr="00814479">
        <w:rPr>
          <w:rFonts w:ascii="Garamond" w:eastAsia="Calibri" w:hAnsi="Garamond" w:cs="Arial"/>
        </w:rPr>
        <w:t xml:space="preserve"> of James I and VI to the English throne </w:t>
      </w:r>
      <w:r w:rsidR="00814479">
        <w:rPr>
          <w:rFonts w:ascii="Garamond" w:eastAsia="Calibri" w:hAnsi="Garamond" w:cs="Arial"/>
        </w:rPr>
        <w:t xml:space="preserve">on </w:t>
      </w:r>
      <w:r w:rsidR="00E522BD" w:rsidRPr="003037D2">
        <w:rPr>
          <w:rFonts w:ascii="Garamond" w:eastAsia="Calibri" w:hAnsi="Garamond" w:cs="Arial"/>
        </w:rPr>
        <w:t>24</w:t>
      </w:r>
      <w:r w:rsidR="00E522BD" w:rsidRPr="003037D2">
        <w:rPr>
          <w:rFonts w:ascii="Garamond" w:eastAsia="Calibri" w:hAnsi="Garamond" w:cs="Arial"/>
          <w:vertAlign w:val="superscript"/>
        </w:rPr>
        <w:t>th</w:t>
      </w:r>
      <w:r w:rsidR="00E522BD" w:rsidRPr="003037D2">
        <w:rPr>
          <w:rFonts w:ascii="Garamond" w:eastAsia="Calibri" w:hAnsi="Garamond" w:cs="Arial"/>
        </w:rPr>
        <w:t xml:space="preserve"> March 1603.</w:t>
      </w:r>
      <w:r w:rsidRPr="003037D2">
        <w:rPr>
          <w:rFonts w:ascii="Garamond" w:eastAsia="Calibri" w:hAnsi="Garamond" w:cs="Arial"/>
        </w:rPr>
        <w:t xml:space="preserve"> </w:t>
      </w:r>
      <w:r w:rsidR="00E522BD" w:rsidRPr="003037D2">
        <w:rPr>
          <w:rFonts w:ascii="Garamond" w:eastAsia="Calibri" w:hAnsi="Garamond" w:cs="Arial"/>
        </w:rPr>
        <w:t>This was of course only a personal union, operating primarily in terms of overseas diplomacy, with the Crown of Scotland staying resolutely separate until the 1707 Acts of Union.</w:t>
      </w:r>
      <w:r w:rsidR="00E522BD" w:rsidRPr="003037D2">
        <w:rPr>
          <w:rStyle w:val="FootnoteReference"/>
          <w:rFonts w:ascii="Garamond" w:eastAsia="Calibri" w:hAnsi="Garamond" w:cs="Arial"/>
        </w:rPr>
        <w:footnoteReference w:id="130"/>
      </w:r>
      <w:r w:rsidR="00E522BD" w:rsidRPr="003037D2">
        <w:rPr>
          <w:rFonts w:ascii="Garamond" w:eastAsia="Calibri" w:hAnsi="Garamond" w:cs="Arial"/>
        </w:rPr>
        <w:t xml:space="preserve"> </w:t>
      </w:r>
      <w:r w:rsidRPr="003037D2">
        <w:rPr>
          <w:rFonts w:ascii="Garamond" w:eastAsia="Calibri" w:hAnsi="Garamond" w:cs="Arial"/>
        </w:rPr>
        <w:t xml:space="preserve">Bacon states that ‘the works of true </w:t>
      </w:r>
      <w:proofErr w:type="spellStart"/>
      <w:r w:rsidRPr="003037D2">
        <w:rPr>
          <w:rFonts w:ascii="Garamond" w:eastAsia="Calibri" w:hAnsi="Garamond" w:cs="Arial"/>
        </w:rPr>
        <w:t>honour</w:t>
      </w:r>
      <w:proofErr w:type="spellEnd"/>
      <w:r w:rsidRPr="003037D2">
        <w:rPr>
          <w:rFonts w:ascii="Garamond" w:eastAsia="Calibri" w:hAnsi="Garamond" w:cs="Arial"/>
        </w:rPr>
        <w:t xml:space="preserve">... are of the mind and not of the hand… there cannot be the like </w:t>
      </w:r>
      <w:proofErr w:type="spellStart"/>
      <w:r w:rsidRPr="003037D2">
        <w:rPr>
          <w:rFonts w:ascii="Garamond" w:eastAsia="Calibri" w:hAnsi="Garamond" w:cs="Arial"/>
        </w:rPr>
        <w:t>honour</w:t>
      </w:r>
      <w:proofErr w:type="spellEnd"/>
      <w:r w:rsidRPr="003037D2">
        <w:rPr>
          <w:rFonts w:ascii="Garamond" w:eastAsia="Calibri" w:hAnsi="Garamond" w:cs="Arial"/>
        </w:rPr>
        <w:t xml:space="preserve"> sought in the building of galleries, or the planting of elms along highways… as there is in the uniting of states, pacifying of controversies, nourishing and augmenting of learning and the arts’.</w:t>
      </w:r>
      <w:r w:rsidRPr="003037D2">
        <w:rPr>
          <w:rFonts w:ascii="Garamond" w:eastAsia="Calibri" w:hAnsi="Garamond" w:cs="Arial"/>
          <w:vertAlign w:val="superscript"/>
        </w:rPr>
        <w:footnoteReference w:id="131"/>
      </w:r>
      <w:r w:rsidRPr="003037D2">
        <w:rPr>
          <w:rFonts w:ascii="Garamond" w:eastAsia="Calibri" w:hAnsi="Garamond" w:cs="Arial"/>
        </w:rPr>
        <w:t xml:space="preserve"> The writing of a history is presented as analogous to marrying two countries and peoples. Bacon argues that ‘it would be </w:t>
      </w:r>
      <w:proofErr w:type="spellStart"/>
      <w:r w:rsidRPr="003037D2">
        <w:rPr>
          <w:rFonts w:ascii="Garamond" w:eastAsia="Calibri" w:hAnsi="Garamond" w:cs="Arial"/>
        </w:rPr>
        <w:t>honour</w:t>
      </w:r>
      <w:proofErr w:type="spellEnd"/>
      <w:r w:rsidRPr="003037D2">
        <w:rPr>
          <w:rFonts w:ascii="Garamond" w:eastAsia="Calibri" w:hAnsi="Garamond" w:cs="Arial"/>
        </w:rPr>
        <w:t xml:space="preserve"> for his majesty, and a work very memorable, if this island of Great Britain, as it is now joined in Monarchy for the ages to come, to were joined in History for the times past’.</w:t>
      </w:r>
      <w:r w:rsidRPr="003037D2">
        <w:rPr>
          <w:rFonts w:ascii="Garamond" w:eastAsia="Calibri" w:hAnsi="Garamond" w:cs="Arial"/>
          <w:vertAlign w:val="superscript"/>
        </w:rPr>
        <w:footnoteReference w:id="132"/>
      </w:r>
      <w:r w:rsidRPr="003037D2">
        <w:rPr>
          <w:rFonts w:ascii="Garamond" w:eastAsia="Calibri" w:hAnsi="Garamond" w:cs="Arial"/>
        </w:rPr>
        <w:t xml:space="preserve"> The history of a country is inextricably linked to its political future, as without a dual history there can be no promise of a united future. Vincent Wing’s 1671 Almanac includes a ‘</w:t>
      </w:r>
      <w:proofErr w:type="spellStart"/>
      <w:r w:rsidRPr="003037D2">
        <w:rPr>
          <w:rFonts w:ascii="Garamond" w:eastAsia="Calibri" w:hAnsi="Garamond" w:cs="Arial"/>
        </w:rPr>
        <w:t>Compendius</w:t>
      </w:r>
      <w:proofErr w:type="spellEnd"/>
      <w:r w:rsidRPr="003037D2">
        <w:rPr>
          <w:rFonts w:ascii="Garamond" w:eastAsia="Calibri" w:hAnsi="Garamond" w:cs="Arial"/>
        </w:rPr>
        <w:t xml:space="preserve"> Chronology of divers memorable things since the Creation, to this present </w:t>
      </w:r>
      <w:proofErr w:type="spellStart"/>
      <w:r w:rsidRPr="003037D2">
        <w:rPr>
          <w:rFonts w:ascii="Garamond" w:eastAsia="Calibri" w:hAnsi="Garamond" w:cs="Arial"/>
        </w:rPr>
        <w:t>Yeare</w:t>
      </w:r>
      <w:proofErr w:type="spellEnd"/>
      <w:r w:rsidRPr="003037D2">
        <w:rPr>
          <w:rFonts w:ascii="Garamond" w:eastAsia="Calibri" w:hAnsi="Garamond" w:cs="Arial"/>
        </w:rPr>
        <w:t>’ spread over two pages of densely packed double columns. This chronology rehearses the familiar story that Brutus founded England, ‘</w:t>
      </w:r>
      <w:r w:rsidRPr="003037D2">
        <w:rPr>
          <w:rFonts w:ascii="Garamond" w:eastAsia="Calibri" w:hAnsi="Garamond" w:cs="Arial"/>
          <w:i/>
          <w:iCs/>
        </w:rPr>
        <w:t xml:space="preserve">Brute </w:t>
      </w:r>
      <w:r w:rsidRPr="003037D2">
        <w:rPr>
          <w:rFonts w:ascii="Garamond" w:eastAsia="Calibri" w:hAnsi="Garamond" w:cs="Arial"/>
        </w:rPr>
        <w:t xml:space="preserve">entered this Island of </w:t>
      </w:r>
      <w:r w:rsidRPr="003037D2">
        <w:rPr>
          <w:rFonts w:ascii="Garamond" w:eastAsia="Calibri" w:hAnsi="Garamond" w:cs="Arial"/>
          <w:i/>
          <w:iCs/>
        </w:rPr>
        <w:t xml:space="preserve">Britain </w:t>
      </w:r>
      <w:r w:rsidRPr="003037D2">
        <w:rPr>
          <w:rFonts w:ascii="Garamond" w:eastAsia="Calibri" w:hAnsi="Garamond" w:cs="Arial"/>
        </w:rPr>
        <w:t xml:space="preserve">2778 [years ago]’, indeed suggests British superiority to the Roman world, listing the building of London, York, Canterbury, Stamford, and Leicester all before Rome. However, much of the chronology is taken up by the events of the last thirty odd years, with ‘the Long Parliament </w:t>
      </w:r>
      <w:proofErr w:type="spellStart"/>
      <w:r w:rsidRPr="003037D2">
        <w:rPr>
          <w:rFonts w:ascii="Garamond" w:eastAsia="Calibri" w:hAnsi="Garamond" w:cs="Arial"/>
          <w:i/>
          <w:iCs/>
        </w:rPr>
        <w:t>Octob</w:t>
      </w:r>
      <w:proofErr w:type="spellEnd"/>
      <w:r w:rsidRPr="003037D2">
        <w:rPr>
          <w:rFonts w:ascii="Garamond" w:eastAsia="Calibri" w:hAnsi="Garamond" w:cs="Arial"/>
          <w:i/>
          <w:iCs/>
        </w:rPr>
        <w:t>. 23</w:t>
      </w:r>
      <w:r w:rsidRPr="003037D2">
        <w:rPr>
          <w:rFonts w:ascii="Garamond" w:eastAsia="Calibri" w:hAnsi="Garamond" w:cs="Arial"/>
        </w:rPr>
        <w:t xml:space="preserve"> 30 [years ago]’. Following this, Wing goes through a detailed account of the various battles and executions that marked the Civil Wars, his royalist leanings made clear in his language ‘the </w:t>
      </w:r>
      <w:proofErr w:type="spellStart"/>
      <w:r w:rsidRPr="003037D2">
        <w:rPr>
          <w:rFonts w:ascii="Garamond" w:eastAsia="Calibri" w:hAnsi="Garamond" w:cs="Arial"/>
        </w:rPr>
        <w:t>Murther</w:t>
      </w:r>
      <w:proofErr w:type="spellEnd"/>
      <w:r w:rsidRPr="003037D2">
        <w:rPr>
          <w:rFonts w:ascii="Garamond" w:eastAsia="Calibri" w:hAnsi="Garamond" w:cs="Arial"/>
        </w:rPr>
        <w:t xml:space="preserve"> of his late Majesty K. </w:t>
      </w:r>
      <w:r w:rsidRPr="003037D2">
        <w:rPr>
          <w:rFonts w:ascii="Garamond" w:eastAsia="Calibri" w:hAnsi="Garamond" w:cs="Arial"/>
          <w:i/>
          <w:iCs/>
        </w:rPr>
        <w:t>Charles, Jan.</w:t>
      </w:r>
      <w:r w:rsidRPr="003037D2">
        <w:rPr>
          <w:rFonts w:ascii="Garamond" w:eastAsia="Calibri" w:hAnsi="Garamond" w:cs="Arial"/>
        </w:rPr>
        <w:t>30. 23 [years since]’, ‘</w:t>
      </w:r>
      <w:proofErr w:type="gramStart"/>
      <w:r w:rsidRPr="003037D2">
        <w:rPr>
          <w:rFonts w:ascii="Garamond" w:eastAsia="Calibri" w:hAnsi="Garamond" w:cs="Arial"/>
          <w:i/>
          <w:iCs/>
        </w:rPr>
        <w:t>O</w:t>
      </w:r>
      <w:r w:rsidRPr="003037D2">
        <w:rPr>
          <w:rFonts w:ascii="Garamond" w:eastAsia="Calibri" w:hAnsi="Garamond" w:cs="Arial"/>
        </w:rPr>
        <w:t>[</w:t>
      </w:r>
      <w:proofErr w:type="gramEnd"/>
      <w:r w:rsidRPr="003037D2">
        <w:rPr>
          <w:rFonts w:ascii="Garamond" w:eastAsia="Calibri" w:hAnsi="Garamond" w:cs="Arial"/>
        </w:rPr>
        <w:t xml:space="preserve">liver Cromwell] the </w:t>
      </w:r>
      <w:r w:rsidRPr="003037D2">
        <w:rPr>
          <w:rFonts w:ascii="Garamond" w:eastAsia="Calibri" w:hAnsi="Garamond" w:cs="Arial"/>
          <w:i/>
          <w:iCs/>
        </w:rPr>
        <w:t xml:space="preserve">Tyrant </w:t>
      </w:r>
      <w:r w:rsidRPr="003037D2">
        <w:rPr>
          <w:rFonts w:ascii="Garamond" w:eastAsia="Calibri" w:hAnsi="Garamond" w:cs="Arial"/>
        </w:rPr>
        <w:t xml:space="preserve">died </w:t>
      </w:r>
      <w:r w:rsidRPr="003037D2">
        <w:rPr>
          <w:rFonts w:ascii="Garamond" w:eastAsia="Calibri" w:hAnsi="Garamond" w:cs="Arial"/>
          <w:i/>
          <w:iCs/>
        </w:rPr>
        <w:t xml:space="preserve">Sept. </w:t>
      </w:r>
      <w:r w:rsidRPr="003037D2">
        <w:rPr>
          <w:rFonts w:ascii="Garamond" w:eastAsia="Calibri" w:hAnsi="Garamond" w:cs="Arial"/>
        </w:rPr>
        <w:t xml:space="preserve">1. 13 years Hence’, ‘the </w:t>
      </w:r>
      <w:r w:rsidRPr="003037D2">
        <w:rPr>
          <w:rFonts w:ascii="Garamond" w:eastAsia="Calibri" w:hAnsi="Garamond" w:cs="Arial"/>
          <w:i/>
          <w:iCs/>
        </w:rPr>
        <w:t xml:space="preserve">healing Parliament Apr. </w:t>
      </w:r>
      <w:r w:rsidRPr="003037D2">
        <w:rPr>
          <w:rFonts w:ascii="Garamond" w:eastAsia="Calibri" w:hAnsi="Garamond" w:cs="Arial"/>
        </w:rPr>
        <w:t>25 11 [years since]’, ‘our Gracious. K.</w:t>
      </w:r>
      <w:r w:rsidRPr="003037D2">
        <w:rPr>
          <w:rFonts w:ascii="Garamond" w:eastAsia="Calibri" w:hAnsi="Garamond" w:cs="Arial"/>
          <w:i/>
          <w:iCs/>
        </w:rPr>
        <w:t xml:space="preserve">Ch. </w:t>
      </w:r>
      <w:r w:rsidRPr="003037D2">
        <w:rPr>
          <w:rFonts w:ascii="Garamond" w:eastAsia="Calibri" w:hAnsi="Garamond" w:cs="Arial"/>
        </w:rPr>
        <w:lastRenderedPageBreak/>
        <w:t>happily arrived at</w:t>
      </w:r>
      <w:r w:rsidRPr="003037D2">
        <w:rPr>
          <w:rFonts w:ascii="Garamond" w:eastAsia="Calibri" w:hAnsi="Garamond" w:cs="Arial"/>
          <w:i/>
          <w:iCs/>
        </w:rPr>
        <w:t xml:space="preserve"> London. May. 29 </w:t>
      </w:r>
      <w:r w:rsidRPr="003037D2">
        <w:rPr>
          <w:rFonts w:ascii="Garamond" w:eastAsia="Calibri" w:hAnsi="Garamond" w:cs="Arial"/>
        </w:rPr>
        <w:t>11 [years since]’.</w:t>
      </w:r>
      <w:r w:rsidRPr="003037D2">
        <w:rPr>
          <w:rFonts w:ascii="Garamond" w:eastAsia="Calibri" w:hAnsi="Garamond" w:cs="Arial"/>
          <w:vertAlign w:val="superscript"/>
        </w:rPr>
        <w:footnoteReference w:id="133"/>
      </w:r>
      <w:r w:rsidRPr="003037D2">
        <w:rPr>
          <w:rFonts w:ascii="Garamond" w:eastAsia="Calibri" w:hAnsi="Garamond" w:cs="Arial"/>
        </w:rPr>
        <w:t xml:space="preserve"> The national identity that Wing creates through this history is one that looks back with horror at the actions of the </w:t>
      </w:r>
      <w:proofErr w:type="gramStart"/>
      <w:r w:rsidRPr="003037D2">
        <w:rPr>
          <w:rFonts w:ascii="Garamond" w:eastAsia="Calibri" w:hAnsi="Garamond" w:cs="Arial"/>
        </w:rPr>
        <w:t>Parliamentarians, and</w:t>
      </w:r>
      <w:proofErr w:type="gramEnd"/>
      <w:r w:rsidRPr="003037D2">
        <w:rPr>
          <w:rFonts w:ascii="Garamond" w:eastAsia="Calibri" w:hAnsi="Garamond" w:cs="Arial"/>
        </w:rPr>
        <w:t xml:space="preserve"> feels secure with the newly instated monarchy. </w:t>
      </w:r>
    </w:p>
    <w:p w14:paraId="65CF2F4E" w14:textId="77777777" w:rsidR="00162224" w:rsidRPr="003037D2" w:rsidRDefault="00162224" w:rsidP="00162224">
      <w:pPr>
        <w:spacing w:line="360" w:lineRule="auto"/>
        <w:ind w:firstLine="720"/>
        <w:rPr>
          <w:rFonts w:ascii="Garamond" w:eastAsia="Calibri" w:hAnsi="Garamond" w:cs="Arial"/>
        </w:rPr>
      </w:pPr>
    </w:p>
    <w:p w14:paraId="5856A9C3" w14:textId="77777777"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t xml:space="preserve">The idea of a national identity created through an almanac is more explicitly seen in John Booker’s curious </w:t>
      </w:r>
      <w:r w:rsidRPr="003037D2">
        <w:rPr>
          <w:rFonts w:ascii="Garamond" w:eastAsia="Calibri" w:hAnsi="Garamond" w:cs="Arial"/>
          <w:i/>
          <w:iCs/>
        </w:rPr>
        <w:t xml:space="preserve">A Bloody Irish almanac </w:t>
      </w:r>
      <w:r w:rsidRPr="003037D2">
        <w:rPr>
          <w:rFonts w:ascii="Garamond" w:eastAsia="Calibri" w:hAnsi="Garamond" w:cs="Arial"/>
        </w:rPr>
        <w:t>(1646). This volume purports to demonstrate ‘Rebellious and bloody Ireland’, as seen in ‘some notes extracted out of an almanack, printed at Waterford in Ireland’.</w:t>
      </w:r>
      <w:r w:rsidRPr="003037D2">
        <w:rPr>
          <w:rFonts w:ascii="Garamond" w:eastAsia="Calibri" w:hAnsi="Garamond" w:cs="Arial"/>
          <w:vertAlign w:val="superscript"/>
        </w:rPr>
        <w:footnoteReference w:id="134"/>
      </w:r>
      <w:r w:rsidRPr="003037D2">
        <w:rPr>
          <w:rFonts w:ascii="Garamond" w:eastAsia="Calibri" w:hAnsi="Garamond" w:cs="Arial"/>
        </w:rPr>
        <w:t xml:space="preserve">  Booker, whose authorial voice is much heard in this volume as he complains of his recent misfortunes, describes the annotations he saw in the ‘bloody almanac’: </w:t>
      </w:r>
    </w:p>
    <w:p w14:paraId="0FBB834C" w14:textId="7E5B6A7A" w:rsidR="00162224" w:rsidRDefault="00162224" w:rsidP="00162224">
      <w:pPr>
        <w:ind w:left="567" w:right="567"/>
        <w:rPr>
          <w:rFonts w:ascii="Garamond" w:eastAsia="Calibri" w:hAnsi="Garamond" w:cs="Arial"/>
        </w:rPr>
      </w:pPr>
      <w:r w:rsidRPr="003037D2">
        <w:rPr>
          <w:rFonts w:ascii="Garamond" w:eastAsia="Calibri" w:hAnsi="Garamond" w:cs="Arial"/>
        </w:rPr>
        <w:t xml:space="preserve">Which Almanack I having had sight of, and perusing the same, I found many remarkable and memorable Chronological Observations, agreeing so exactly with the transition of the forepassed and present affaires between his Majesty and the bloody Irish… so much thereof as discovers the inveterate hatred of that inhumane people against the Parliament, and the whole Kingdome of England … The next Irish note… in (bloody) red letters… sets it </w:t>
      </w:r>
      <w:proofErr w:type="spellStart"/>
      <w:r w:rsidRPr="003037D2">
        <w:rPr>
          <w:rFonts w:ascii="Garamond" w:eastAsia="Calibri" w:hAnsi="Garamond" w:cs="Arial"/>
        </w:rPr>
        <w:t>downe</w:t>
      </w:r>
      <w:proofErr w:type="spellEnd"/>
      <w:r w:rsidRPr="003037D2">
        <w:rPr>
          <w:rFonts w:ascii="Garamond" w:eastAsia="Calibri" w:hAnsi="Garamond" w:cs="Arial"/>
        </w:rPr>
        <w:t xml:space="preserve"> thus. The most </w:t>
      </w:r>
      <w:proofErr w:type="spellStart"/>
      <w:r w:rsidRPr="003037D2">
        <w:rPr>
          <w:rFonts w:ascii="Garamond" w:eastAsia="Calibri" w:hAnsi="Garamond" w:cs="Arial"/>
        </w:rPr>
        <w:t>pernitious</w:t>
      </w:r>
      <w:proofErr w:type="spellEnd"/>
      <w:r w:rsidRPr="003037D2">
        <w:rPr>
          <w:rFonts w:ascii="Garamond" w:eastAsia="Calibri" w:hAnsi="Garamond" w:cs="Arial"/>
        </w:rPr>
        <w:t xml:space="preserve"> Anarchical Rebellion of the Roundheads of England… hath </w:t>
      </w:r>
      <w:proofErr w:type="spellStart"/>
      <w:r w:rsidRPr="003037D2">
        <w:rPr>
          <w:rFonts w:ascii="Garamond" w:eastAsia="Calibri" w:hAnsi="Garamond" w:cs="Arial"/>
        </w:rPr>
        <w:t>beene</w:t>
      </w:r>
      <w:proofErr w:type="spellEnd"/>
      <w:r w:rsidRPr="003037D2">
        <w:rPr>
          <w:rFonts w:ascii="Garamond" w:eastAsia="Calibri" w:hAnsi="Garamond" w:cs="Arial"/>
        </w:rPr>
        <w:t xml:space="preserve"> the most horrible, bloody, </w:t>
      </w:r>
      <w:proofErr w:type="spellStart"/>
      <w:r w:rsidRPr="003037D2">
        <w:rPr>
          <w:rFonts w:ascii="Garamond" w:eastAsia="Calibri" w:hAnsi="Garamond" w:cs="Arial"/>
        </w:rPr>
        <w:t>unnaturall</w:t>
      </w:r>
      <w:proofErr w:type="spellEnd"/>
      <w:r w:rsidRPr="003037D2">
        <w:rPr>
          <w:rFonts w:ascii="Garamond" w:eastAsia="Calibri" w:hAnsi="Garamond" w:cs="Arial"/>
        </w:rPr>
        <w:t xml:space="preserve"> </w:t>
      </w:r>
      <w:proofErr w:type="spellStart"/>
      <w:r w:rsidRPr="003037D2">
        <w:rPr>
          <w:rFonts w:ascii="Garamond" w:eastAsia="Calibri" w:hAnsi="Garamond" w:cs="Arial"/>
        </w:rPr>
        <w:t>warre</w:t>
      </w:r>
      <w:proofErr w:type="spellEnd"/>
      <w:r w:rsidRPr="003037D2">
        <w:rPr>
          <w:rFonts w:ascii="Garamond" w:eastAsia="Calibri" w:hAnsi="Garamond" w:cs="Arial"/>
        </w:rPr>
        <w:t xml:space="preserve"> that ever was in England… a king against his people, his Parliament, his </w:t>
      </w:r>
      <w:proofErr w:type="spellStart"/>
      <w:r w:rsidRPr="003037D2">
        <w:rPr>
          <w:rFonts w:ascii="Garamond" w:eastAsia="Calibri" w:hAnsi="Garamond" w:cs="Arial"/>
        </w:rPr>
        <w:t>Kingdomes</w:t>
      </w:r>
      <w:proofErr w:type="spellEnd"/>
      <w:r w:rsidRPr="003037D2">
        <w:rPr>
          <w:rFonts w:ascii="Garamond" w:eastAsia="Calibri" w:hAnsi="Garamond" w:cs="Arial"/>
        </w:rPr>
        <w:t xml:space="preserve">… And now let all the world judge whether this </w:t>
      </w:r>
      <w:proofErr w:type="spellStart"/>
      <w:r w:rsidRPr="003037D2">
        <w:rPr>
          <w:rFonts w:ascii="Garamond" w:eastAsia="Calibri" w:hAnsi="Garamond" w:cs="Arial"/>
        </w:rPr>
        <w:t>Manapian</w:t>
      </w:r>
      <w:proofErr w:type="spellEnd"/>
      <w:r w:rsidRPr="003037D2">
        <w:rPr>
          <w:rFonts w:ascii="Garamond" w:eastAsia="Calibri" w:hAnsi="Garamond" w:cs="Arial"/>
        </w:rPr>
        <w:t xml:space="preserve"> be not the most Malignant, lying, </w:t>
      </w:r>
      <w:proofErr w:type="spellStart"/>
      <w:r w:rsidRPr="003037D2">
        <w:rPr>
          <w:rFonts w:ascii="Garamond" w:eastAsia="Calibri" w:hAnsi="Garamond" w:cs="Arial"/>
        </w:rPr>
        <w:t>pernitious</w:t>
      </w:r>
      <w:proofErr w:type="spellEnd"/>
      <w:r w:rsidRPr="003037D2">
        <w:rPr>
          <w:rFonts w:ascii="Garamond" w:eastAsia="Calibri" w:hAnsi="Garamond" w:cs="Arial"/>
        </w:rPr>
        <w:t xml:space="preserve">, </w:t>
      </w:r>
      <w:proofErr w:type="spellStart"/>
      <w:r w:rsidRPr="003037D2">
        <w:rPr>
          <w:rFonts w:ascii="Garamond" w:eastAsia="Calibri" w:hAnsi="Garamond" w:cs="Arial"/>
        </w:rPr>
        <w:t>Antichrisitan</w:t>
      </w:r>
      <w:proofErr w:type="spellEnd"/>
      <w:r w:rsidRPr="003037D2">
        <w:rPr>
          <w:rFonts w:ascii="Garamond" w:eastAsia="Calibri" w:hAnsi="Garamond" w:cs="Arial"/>
        </w:rPr>
        <w:t xml:space="preserve"> Irish </w:t>
      </w:r>
      <w:proofErr w:type="spellStart"/>
      <w:r w:rsidRPr="003037D2">
        <w:rPr>
          <w:rFonts w:ascii="Garamond" w:eastAsia="Calibri" w:hAnsi="Garamond" w:cs="Arial"/>
        </w:rPr>
        <w:t>Rebell</w:t>
      </w:r>
      <w:proofErr w:type="spellEnd"/>
      <w:r w:rsidRPr="003037D2">
        <w:rPr>
          <w:rFonts w:ascii="Garamond" w:eastAsia="Calibri" w:hAnsi="Garamond" w:cs="Arial"/>
        </w:rPr>
        <w:t xml:space="preserve">, that to so </w:t>
      </w:r>
      <w:proofErr w:type="spellStart"/>
      <w:r w:rsidRPr="003037D2">
        <w:rPr>
          <w:rFonts w:ascii="Garamond" w:eastAsia="Calibri" w:hAnsi="Garamond" w:cs="Arial"/>
        </w:rPr>
        <w:t>falsly</w:t>
      </w:r>
      <w:proofErr w:type="spellEnd"/>
      <w:r w:rsidRPr="003037D2">
        <w:rPr>
          <w:rFonts w:ascii="Garamond" w:eastAsia="Calibri" w:hAnsi="Garamond" w:cs="Arial"/>
        </w:rPr>
        <w:t xml:space="preserve"> </w:t>
      </w:r>
      <w:proofErr w:type="spellStart"/>
      <w:r w:rsidRPr="003037D2">
        <w:rPr>
          <w:rFonts w:ascii="Garamond" w:eastAsia="Calibri" w:hAnsi="Garamond" w:cs="Arial"/>
        </w:rPr>
        <w:t>slandereth</w:t>
      </w:r>
      <w:proofErr w:type="spellEnd"/>
      <w:r w:rsidRPr="003037D2">
        <w:rPr>
          <w:rFonts w:ascii="Garamond" w:eastAsia="Calibri" w:hAnsi="Garamond" w:cs="Arial"/>
        </w:rPr>
        <w:t xml:space="preserve"> the Parliament and Kingdome, by calling their just actions </w:t>
      </w:r>
      <w:proofErr w:type="spellStart"/>
      <w:r w:rsidRPr="003037D2">
        <w:rPr>
          <w:rFonts w:ascii="Garamond" w:eastAsia="Calibri" w:hAnsi="Garamond" w:cs="Arial"/>
        </w:rPr>
        <w:t>Anarchicall</w:t>
      </w:r>
      <w:proofErr w:type="spellEnd"/>
      <w:r w:rsidRPr="003037D2">
        <w:rPr>
          <w:rFonts w:ascii="Garamond" w:eastAsia="Calibri" w:hAnsi="Garamond" w:cs="Arial"/>
        </w:rPr>
        <w:t xml:space="preserve"> Rebellion, and the people thereof the Roundheads of England.</w:t>
      </w:r>
      <w:r w:rsidRPr="003037D2">
        <w:rPr>
          <w:rFonts w:ascii="Garamond" w:eastAsia="Calibri" w:hAnsi="Garamond" w:cs="Arial"/>
          <w:vertAlign w:val="superscript"/>
        </w:rPr>
        <w:footnoteReference w:id="135"/>
      </w:r>
    </w:p>
    <w:p w14:paraId="1410CF8C" w14:textId="77777777" w:rsidR="0056489A" w:rsidRPr="003037D2" w:rsidRDefault="0056489A" w:rsidP="00162224">
      <w:pPr>
        <w:ind w:left="567" w:right="567"/>
        <w:rPr>
          <w:rFonts w:ascii="Garamond" w:eastAsia="Calibri" w:hAnsi="Garamond" w:cs="Arial"/>
        </w:rPr>
      </w:pPr>
    </w:p>
    <w:p w14:paraId="27A8ABD7" w14:textId="4AF7C7E3" w:rsidR="00162224" w:rsidRPr="003037D2" w:rsidRDefault="00162224" w:rsidP="00162224">
      <w:pPr>
        <w:spacing w:line="360" w:lineRule="auto"/>
        <w:rPr>
          <w:rFonts w:ascii="Garamond" w:eastAsia="Calibri" w:hAnsi="Garamond" w:cs="Arial"/>
        </w:rPr>
      </w:pPr>
      <w:r w:rsidRPr="003037D2">
        <w:rPr>
          <w:rFonts w:ascii="Garamond" w:eastAsia="Calibri" w:hAnsi="Garamond" w:cs="Arial"/>
        </w:rPr>
        <w:t xml:space="preserve">Booker is </w:t>
      </w:r>
      <w:proofErr w:type="gramStart"/>
      <w:r w:rsidRPr="003037D2">
        <w:rPr>
          <w:rFonts w:ascii="Garamond" w:eastAsia="Calibri" w:hAnsi="Garamond" w:cs="Arial"/>
        </w:rPr>
        <w:t>well aware</w:t>
      </w:r>
      <w:proofErr w:type="gramEnd"/>
      <w:r w:rsidRPr="003037D2">
        <w:rPr>
          <w:rFonts w:ascii="Garamond" w:eastAsia="Calibri" w:hAnsi="Garamond" w:cs="Arial"/>
        </w:rPr>
        <w:t xml:space="preserve"> of the fact that national ideals could be transmitted by the use of prognostications for the future, as well as the dictating of histories from the past. Both the language of the ‘Irish’ history and the content of the astrological predictions are attacked, with Booker using this evidence to demonstrate Irish malignancy towards the English. Booker dismisses other types of information in this ‘Bloody Almanac’ as ‘Popish Saints </w:t>
      </w:r>
      <w:proofErr w:type="spellStart"/>
      <w:r w:rsidRPr="003037D2">
        <w:rPr>
          <w:rFonts w:ascii="Garamond" w:eastAsia="Calibri" w:hAnsi="Garamond" w:cs="Arial"/>
        </w:rPr>
        <w:t>dayes</w:t>
      </w:r>
      <w:proofErr w:type="spellEnd"/>
      <w:r w:rsidRPr="003037D2">
        <w:rPr>
          <w:rFonts w:ascii="Garamond" w:eastAsia="Calibri" w:hAnsi="Garamond" w:cs="Arial"/>
        </w:rPr>
        <w:t>, or vulgar Observations in most common Almanack’, instead focusing on the more crucial writing of history and the future.</w:t>
      </w:r>
      <w:r w:rsidRPr="003037D2">
        <w:rPr>
          <w:rFonts w:ascii="Garamond" w:eastAsia="Calibri" w:hAnsi="Garamond" w:cs="Arial"/>
          <w:vertAlign w:val="superscript"/>
        </w:rPr>
        <w:t xml:space="preserve"> </w:t>
      </w:r>
      <w:r w:rsidRPr="003037D2">
        <w:rPr>
          <w:rFonts w:ascii="Garamond" w:eastAsia="Calibri" w:hAnsi="Garamond" w:cs="Arial"/>
          <w:vertAlign w:val="superscript"/>
        </w:rPr>
        <w:footnoteReference w:id="136"/>
      </w:r>
      <w:r w:rsidRPr="003037D2">
        <w:rPr>
          <w:rFonts w:ascii="Garamond" w:eastAsia="Calibri" w:hAnsi="Garamond" w:cs="Arial"/>
        </w:rPr>
        <w:t xml:space="preserve"> Booker</w:t>
      </w:r>
      <w:r w:rsidR="00C03F06" w:rsidRPr="003037D2">
        <w:rPr>
          <w:rFonts w:ascii="Garamond" w:eastAsia="Calibri" w:hAnsi="Garamond" w:cs="Arial"/>
        </w:rPr>
        <w:t>’</w:t>
      </w:r>
      <w:r w:rsidRPr="003037D2">
        <w:rPr>
          <w:rFonts w:ascii="Garamond" w:eastAsia="Calibri" w:hAnsi="Garamond" w:cs="Arial"/>
        </w:rPr>
        <w:t xml:space="preserve">s attack on the ‘Popish Saints days’ demonstrates the religious discord that the calendar itself could instigate. Astrology was often intimately connected to propaganda. During the Civil War astrologers would be asked to provide updates on unknown </w:t>
      </w:r>
      <w:proofErr w:type="gramStart"/>
      <w:r w:rsidRPr="003037D2">
        <w:rPr>
          <w:rFonts w:ascii="Garamond" w:eastAsia="Calibri" w:hAnsi="Garamond" w:cs="Arial"/>
        </w:rPr>
        <w:t>battlefields, and</w:t>
      </w:r>
      <w:proofErr w:type="gramEnd"/>
      <w:r w:rsidRPr="003037D2">
        <w:rPr>
          <w:rFonts w:ascii="Garamond" w:eastAsia="Calibri" w:hAnsi="Garamond" w:cs="Arial"/>
        </w:rPr>
        <w:t xml:space="preserve"> </w:t>
      </w:r>
      <w:r w:rsidRPr="003037D2">
        <w:rPr>
          <w:rFonts w:ascii="Garamond" w:eastAsia="Calibri" w:hAnsi="Garamond" w:cs="Arial"/>
        </w:rPr>
        <w:lastRenderedPageBreak/>
        <w:t>competing predictions for the future would be produced by those on either side. The principle of astrological election, that there was an opportune moment for a certain act to be done, carried a good deal of weight. Richard Saunders wrote that ‘the</w:t>
      </w:r>
      <w:r w:rsidRPr="003037D2">
        <w:rPr>
          <w:rFonts w:ascii="Garamond" w:eastAsia="Calibri" w:hAnsi="Garamond" w:cs="Arial"/>
          <w:color w:val="000000"/>
          <w:shd w:val="clear" w:color="auto" w:fill="FFFFFF"/>
        </w:rPr>
        <w:t xml:space="preserve"> Doctrine of Elections consists in the finding out fit, apt, and congruent times, for the shunning and </w:t>
      </w:r>
      <w:proofErr w:type="spellStart"/>
      <w:r w:rsidRPr="003037D2">
        <w:rPr>
          <w:rFonts w:ascii="Garamond" w:eastAsia="Calibri" w:hAnsi="Garamond" w:cs="Arial"/>
          <w:color w:val="000000"/>
          <w:shd w:val="clear" w:color="auto" w:fill="FFFFFF"/>
        </w:rPr>
        <w:t>avoyding</w:t>
      </w:r>
      <w:proofErr w:type="spellEnd"/>
      <w:r w:rsidRPr="003037D2">
        <w:rPr>
          <w:rFonts w:ascii="Garamond" w:eastAsia="Calibri" w:hAnsi="Garamond" w:cs="Arial"/>
          <w:color w:val="000000"/>
          <w:shd w:val="clear" w:color="auto" w:fill="FFFFFF"/>
        </w:rPr>
        <w:t xml:space="preserve"> of Evil signified to any Person in his Nativity, or feared, and the accomplishment and obtaining of that Good, which is promised, or desired’.</w:t>
      </w:r>
      <w:r w:rsidRPr="003037D2">
        <w:rPr>
          <w:rFonts w:ascii="Garamond" w:eastAsia="Calibri" w:hAnsi="Garamond" w:cs="Arial"/>
          <w:color w:val="000000"/>
          <w:shd w:val="clear" w:color="auto" w:fill="FFFFFF"/>
          <w:vertAlign w:val="superscript"/>
        </w:rPr>
        <w:footnoteReference w:id="137"/>
      </w:r>
      <w:r w:rsidRPr="003037D2">
        <w:rPr>
          <w:rFonts w:ascii="Garamond" w:eastAsia="Calibri" w:hAnsi="Garamond" w:cs="Arial"/>
        </w:rPr>
        <w:t xml:space="preserve"> However, public opinion could swiftly change on those who made these predictions. John Dee selected the ‘elect’ date for Elizabeth I’s coronation, only to be accused of necromancy later in life.</w:t>
      </w:r>
      <w:r w:rsidRPr="003037D2">
        <w:rPr>
          <w:rFonts w:ascii="Garamond" w:eastAsia="Calibri" w:hAnsi="Garamond" w:cs="Arial"/>
          <w:vertAlign w:val="superscript"/>
        </w:rPr>
        <w:footnoteReference w:id="138"/>
      </w:r>
      <w:r w:rsidRPr="003037D2">
        <w:rPr>
          <w:rFonts w:ascii="Garamond" w:eastAsia="Calibri" w:hAnsi="Garamond" w:cs="Arial"/>
        </w:rPr>
        <w:t xml:space="preserve"> With the predictions for the year ahead, almanacs provided </w:t>
      </w:r>
      <w:proofErr w:type="gramStart"/>
      <w:r w:rsidRPr="003037D2">
        <w:rPr>
          <w:rFonts w:ascii="Garamond" w:eastAsia="Calibri" w:hAnsi="Garamond" w:cs="Arial"/>
        </w:rPr>
        <w:t>plans for the future</w:t>
      </w:r>
      <w:proofErr w:type="gramEnd"/>
      <w:r w:rsidRPr="003037D2">
        <w:rPr>
          <w:rFonts w:ascii="Garamond" w:eastAsia="Calibri" w:hAnsi="Garamond" w:cs="Arial"/>
        </w:rPr>
        <w:t xml:space="preserve"> at the same time as they detailed the past. </w:t>
      </w:r>
    </w:p>
    <w:p w14:paraId="0CD5178C" w14:textId="77777777" w:rsidR="00162224" w:rsidRPr="003037D2" w:rsidRDefault="00162224" w:rsidP="00162224">
      <w:pPr>
        <w:spacing w:line="360" w:lineRule="auto"/>
        <w:rPr>
          <w:rFonts w:ascii="Garamond" w:eastAsia="Calibri" w:hAnsi="Garamond" w:cs="Arial"/>
        </w:rPr>
      </w:pPr>
    </w:p>
    <w:p w14:paraId="65F5116D" w14:textId="77777777" w:rsidR="00162224" w:rsidRPr="003037D2" w:rsidRDefault="00162224" w:rsidP="00162224">
      <w:pPr>
        <w:keepNext/>
        <w:keepLines/>
        <w:numPr>
          <w:ilvl w:val="0"/>
          <w:numId w:val="23"/>
        </w:numPr>
        <w:spacing w:before="40" w:line="360" w:lineRule="auto"/>
        <w:outlineLvl w:val="1"/>
        <w:rPr>
          <w:rFonts w:ascii="Garamond" w:eastAsia="DengXian Light" w:hAnsi="Garamond" w:cs="Times New Roman"/>
          <w:b/>
          <w:bCs/>
          <w:color w:val="000000"/>
          <w:sz w:val="28"/>
          <w:szCs w:val="28"/>
        </w:rPr>
      </w:pPr>
      <w:bookmarkStart w:id="11" w:name="_Toc3967164"/>
      <w:r w:rsidRPr="003037D2">
        <w:rPr>
          <w:rFonts w:ascii="Garamond" w:eastAsia="DengXian Light" w:hAnsi="Garamond" w:cs="Times New Roman"/>
          <w:b/>
          <w:bCs/>
          <w:color w:val="000000"/>
          <w:sz w:val="28"/>
          <w:szCs w:val="28"/>
        </w:rPr>
        <w:t>Annotations</w:t>
      </w:r>
      <w:bookmarkEnd w:id="11"/>
      <w:r w:rsidRPr="003037D2">
        <w:rPr>
          <w:rFonts w:ascii="Garamond" w:eastAsia="DengXian Light" w:hAnsi="Garamond" w:cs="Times New Roman"/>
          <w:b/>
          <w:bCs/>
          <w:color w:val="000000"/>
          <w:sz w:val="28"/>
          <w:szCs w:val="28"/>
        </w:rPr>
        <w:t xml:space="preserve"> </w:t>
      </w:r>
    </w:p>
    <w:p w14:paraId="05AA6BF3" w14:textId="77777777" w:rsidR="00162224" w:rsidRPr="003037D2" w:rsidRDefault="00162224" w:rsidP="00162224">
      <w:pPr>
        <w:spacing w:line="360" w:lineRule="auto"/>
        <w:ind w:right="567"/>
        <w:rPr>
          <w:rFonts w:ascii="Garamond" w:eastAsia="Calibri" w:hAnsi="Garamond" w:cs="Arial"/>
        </w:rPr>
      </w:pPr>
      <w:r w:rsidRPr="003037D2">
        <w:rPr>
          <w:rFonts w:ascii="Garamond" w:eastAsia="Calibri" w:hAnsi="Garamond" w:cs="Arial"/>
        </w:rPr>
        <w:tab/>
      </w:r>
    </w:p>
    <w:p w14:paraId="75FC0B96" w14:textId="456213DA" w:rsidR="00162224" w:rsidRPr="003037D2" w:rsidRDefault="00162224" w:rsidP="00162224">
      <w:pPr>
        <w:spacing w:line="360" w:lineRule="auto"/>
        <w:ind w:right="567" w:firstLine="720"/>
        <w:rPr>
          <w:rFonts w:ascii="Garamond" w:eastAsia="Calibri" w:hAnsi="Garamond" w:cs="Arial"/>
        </w:rPr>
      </w:pPr>
      <w:r w:rsidRPr="003037D2">
        <w:rPr>
          <w:rFonts w:ascii="Garamond" w:eastAsia="Calibri" w:hAnsi="Garamond" w:cs="Arial"/>
        </w:rPr>
        <w:t xml:space="preserve">The printed form of the almanacs provided a way of making the past, present, and future visible and comprehensible. As previously discussed, almanacs were often interleaved with blank pages for notes. The ability to add to the almanac at will seems to have been a crucial element of its appeal. </w:t>
      </w:r>
      <w:proofErr w:type="spellStart"/>
      <w:r w:rsidRPr="003037D2">
        <w:rPr>
          <w:rFonts w:ascii="Garamond" w:eastAsia="Calibri" w:hAnsi="Garamond" w:cs="Arial"/>
        </w:rPr>
        <w:t>Brayman</w:t>
      </w:r>
      <w:proofErr w:type="spellEnd"/>
      <w:r w:rsidRPr="003037D2">
        <w:rPr>
          <w:rFonts w:ascii="Garamond" w:eastAsia="Calibri" w:hAnsi="Garamond" w:cs="Arial"/>
        </w:rPr>
        <w:t xml:space="preserve"> </w:t>
      </w:r>
      <w:proofErr w:type="spellStart"/>
      <w:r w:rsidRPr="003037D2">
        <w:rPr>
          <w:rFonts w:ascii="Garamond" w:eastAsia="Calibri" w:hAnsi="Garamond" w:cs="Arial"/>
        </w:rPr>
        <w:t>Hacke</w:t>
      </w:r>
      <w:r w:rsidR="00531ACA" w:rsidRPr="003037D2">
        <w:rPr>
          <w:rFonts w:ascii="Garamond" w:eastAsia="Calibri" w:hAnsi="Garamond" w:cs="Arial"/>
        </w:rPr>
        <w:t>l</w:t>
      </w:r>
      <w:proofErr w:type="spellEnd"/>
      <w:r w:rsidRPr="003037D2">
        <w:rPr>
          <w:rFonts w:ascii="Garamond" w:eastAsia="Calibri" w:hAnsi="Garamond" w:cs="Arial"/>
        </w:rPr>
        <w:t xml:space="preserve"> comment</w:t>
      </w:r>
      <w:r w:rsidR="00531ACA" w:rsidRPr="003037D2">
        <w:rPr>
          <w:rFonts w:ascii="Garamond" w:eastAsia="Calibri" w:hAnsi="Garamond" w:cs="Arial"/>
        </w:rPr>
        <w:t>s</w:t>
      </w:r>
      <w:r w:rsidRPr="003037D2">
        <w:rPr>
          <w:rFonts w:ascii="Garamond" w:eastAsia="Calibri" w:hAnsi="Garamond" w:cs="Arial"/>
        </w:rPr>
        <w:t xml:space="preserve"> that interleaving has a remarkably different function to marginalia; ‘it interrupts rather than borders the printed text… the reader’s space is at the </w:t>
      </w:r>
      <w:proofErr w:type="spellStart"/>
      <w:r w:rsidRPr="003037D2">
        <w:rPr>
          <w:rFonts w:ascii="Garamond" w:eastAsia="Calibri" w:hAnsi="Garamond" w:cs="Arial"/>
        </w:rPr>
        <w:t>centre</w:t>
      </w:r>
      <w:proofErr w:type="spellEnd"/>
      <w:r w:rsidRPr="003037D2">
        <w:rPr>
          <w:rFonts w:ascii="Garamond" w:eastAsia="Calibri" w:hAnsi="Garamond" w:cs="Arial"/>
        </w:rPr>
        <w:t xml:space="preserve"> of every opening… equal to the main text’.</w:t>
      </w:r>
      <w:r w:rsidRPr="003037D2">
        <w:rPr>
          <w:rFonts w:ascii="Garamond" w:eastAsia="Calibri" w:hAnsi="Garamond" w:cs="Arial"/>
          <w:vertAlign w:val="superscript"/>
        </w:rPr>
        <w:footnoteReference w:id="139"/>
      </w:r>
      <w:r w:rsidRPr="003037D2">
        <w:rPr>
          <w:rFonts w:ascii="Garamond" w:eastAsia="Calibri" w:hAnsi="Garamond" w:cs="Arial"/>
        </w:rPr>
        <w:t xml:space="preserve"> The annotations carry just as much weight as the printed text. Whilst the blanks encourage, indeed almost demand </w:t>
      </w:r>
      <w:proofErr w:type="spellStart"/>
      <w:r w:rsidRPr="003037D2">
        <w:rPr>
          <w:rFonts w:ascii="Garamond" w:eastAsia="Calibri" w:hAnsi="Garamond" w:cs="Arial"/>
        </w:rPr>
        <w:t>personalisation</w:t>
      </w:r>
      <w:proofErr w:type="spellEnd"/>
      <w:r w:rsidRPr="003037D2">
        <w:rPr>
          <w:rFonts w:ascii="Garamond" w:eastAsia="Calibri" w:hAnsi="Garamond" w:cs="Arial"/>
        </w:rPr>
        <w:t xml:space="preserve">, what form this should take was a grey area. My survey of annotated almanacs revealed that of 280 almanacs produced between 1550 and 1660 in the Huntington’s collections, 43 are annotated (or at least are listed in the catalogue as annotated): a little over 15%. In Smyth’s survey of annotated </w:t>
      </w:r>
      <w:r w:rsidR="00531ACA" w:rsidRPr="003037D2">
        <w:rPr>
          <w:rFonts w:ascii="Garamond" w:eastAsia="Calibri" w:hAnsi="Garamond" w:cs="Arial"/>
        </w:rPr>
        <w:t>a</w:t>
      </w:r>
      <w:r w:rsidRPr="003037D2">
        <w:rPr>
          <w:rFonts w:ascii="Garamond" w:eastAsia="Calibri" w:hAnsi="Garamond" w:cs="Arial"/>
        </w:rPr>
        <w:t>lmanacs in English County Record Offices, he reports that around one in seven ‘contains some form of sustained handwritten additions’; remarkably consistent with my findings at the Huntington.</w:t>
      </w:r>
      <w:r w:rsidRPr="003037D2">
        <w:rPr>
          <w:rFonts w:ascii="Garamond" w:eastAsia="Calibri" w:hAnsi="Garamond" w:cs="Arial"/>
          <w:vertAlign w:val="superscript"/>
        </w:rPr>
        <w:footnoteReference w:id="140"/>
      </w:r>
      <w:r w:rsidRPr="003037D2">
        <w:rPr>
          <w:rFonts w:ascii="Garamond" w:eastAsia="Calibri" w:hAnsi="Garamond" w:cs="Arial"/>
        </w:rPr>
        <w:t xml:space="preserve"> It is of course difficult to say how representative this sample might be: annotated copies of almanacs were </w:t>
      </w:r>
      <w:r w:rsidRPr="003037D2">
        <w:rPr>
          <w:rFonts w:ascii="Garamond" w:eastAsia="Calibri" w:hAnsi="Garamond" w:cs="Arial"/>
        </w:rPr>
        <w:lastRenderedPageBreak/>
        <w:t xml:space="preserve">rarely prioritized by libraries and archives when building up their collections, often being destroyed in </w:t>
      </w:r>
      <w:proofErr w:type="spellStart"/>
      <w:r w:rsidRPr="003037D2">
        <w:rPr>
          <w:rFonts w:ascii="Garamond" w:eastAsia="Calibri" w:hAnsi="Garamond" w:cs="Arial"/>
        </w:rPr>
        <w:t>favour</w:t>
      </w:r>
      <w:proofErr w:type="spellEnd"/>
      <w:r w:rsidRPr="003037D2">
        <w:rPr>
          <w:rFonts w:ascii="Garamond" w:eastAsia="Calibri" w:hAnsi="Garamond" w:cs="Arial"/>
        </w:rPr>
        <w:t xml:space="preserve"> of ‘pristine’ copies. Categorizing the almanacs by the types of annotations they feature reveals the variety of different uses individual owners found for their books: </w:t>
      </w:r>
    </w:p>
    <w:p w14:paraId="68E1CE82" w14:textId="77777777" w:rsidR="00A721D6" w:rsidRPr="003037D2" w:rsidRDefault="00A721D6" w:rsidP="00162224">
      <w:pPr>
        <w:spacing w:line="360" w:lineRule="auto"/>
        <w:ind w:right="567" w:firstLine="720"/>
        <w:rPr>
          <w:rFonts w:ascii="Garamond" w:eastAsia="Calibri" w:hAnsi="Garamond" w:cs="Arial"/>
        </w:rPr>
      </w:pPr>
    </w:p>
    <w:p w14:paraId="6155702D" w14:textId="7E5C8929" w:rsidR="00162224" w:rsidRPr="003037D2" w:rsidRDefault="00162224" w:rsidP="00162224">
      <w:pPr>
        <w:keepNext/>
        <w:spacing w:after="200" w:line="360" w:lineRule="auto"/>
        <w:rPr>
          <w:rFonts w:ascii="Garamond" w:eastAsia="DengXian" w:hAnsi="Garamond" w:cs="Arial"/>
          <w:i/>
          <w:iCs/>
          <w:color w:val="44546A"/>
          <w:lang w:eastAsia="zh-CN"/>
        </w:rPr>
      </w:pPr>
      <w:r w:rsidRPr="003037D2">
        <w:rPr>
          <w:rFonts w:ascii="Garamond" w:eastAsia="DengXian" w:hAnsi="Garamond" w:cs="Arial"/>
          <w:i/>
          <w:iCs/>
          <w:color w:val="44546A"/>
          <w:lang w:eastAsia="zh-CN"/>
        </w:rPr>
        <w:t xml:space="preserve">Table </w:t>
      </w:r>
      <w:r w:rsidRPr="003037D2">
        <w:rPr>
          <w:rFonts w:ascii="Garamond" w:eastAsia="DengXian" w:hAnsi="Garamond" w:cs="Arial"/>
          <w:i/>
          <w:iCs/>
          <w:color w:val="44546A"/>
          <w:lang w:eastAsia="zh-CN"/>
        </w:rPr>
        <w:fldChar w:fldCharType="begin"/>
      </w:r>
      <w:r w:rsidRPr="003037D2">
        <w:rPr>
          <w:rFonts w:ascii="Garamond" w:eastAsia="DengXian" w:hAnsi="Garamond" w:cs="Arial"/>
          <w:i/>
          <w:iCs/>
          <w:color w:val="44546A"/>
          <w:lang w:eastAsia="zh-CN"/>
        </w:rPr>
        <w:instrText xml:space="preserve"> SEQ Table \* ARABIC </w:instrText>
      </w:r>
      <w:r w:rsidRPr="003037D2">
        <w:rPr>
          <w:rFonts w:ascii="Garamond" w:eastAsia="DengXian" w:hAnsi="Garamond" w:cs="Arial"/>
          <w:i/>
          <w:iCs/>
          <w:color w:val="44546A"/>
          <w:lang w:eastAsia="zh-CN"/>
        </w:rPr>
        <w:fldChar w:fldCharType="separate"/>
      </w:r>
      <w:r w:rsidR="001117A3" w:rsidRPr="003037D2">
        <w:rPr>
          <w:rFonts w:ascii="Garamond" w:eastAsia="DengXian" w:hAnsi="Garamond" w:cs="Arial"/>
          <w:i/>
          <w:iCs/>
          <w:noProof/>
          <w:color w:val="44546A"/>
          <w:lang w:eastAsia="zh-CN"/>
        </w:rPr>
        <w:t>1</w:t>
      </w:r>
      <w:r w:rsidRPr="003037D2">
        <w:rPr>
          <w:rFonts w:ascii="Garamond" w:eastAsia="DengXian" w:hAnsi="Garamond" w:cs="Arial"/>
          <w:i/>
          <w:iCs/>
          <w:color w:val="44546A"/>
          <w:lang w:eastAsia="zh-CN"/>
        </w:rPr>
        <w:fldChar w:fldCharType="end"/>
      </w:r>
      <w:r w:rsidRPr="003037D2">
        <w:rPr>
          <w:rFonts w:ascii="Garamond" w:eastAsia="DengXian" w:hAnsi="Garamond" w:cs="Arial"/>
          <w:i/>
          <w:iCs/>
          <w:color w:val="44546A"/>
          <w:lang w:eastAsia="zh-CN"/>
        </w:rPr>
        <w:t xml:space="preserve"> </w:t>
      </w:r>
      <w:r w:rsidRPr="003037D2">
        <w:rPr>
          <w:rFonts w:ascii="Garamond" w:eastAsia="DengXian" w:hAnsi="Garamond" w:cs="Arial"/>
          <w:iCs/>
          <w:color w:val="44546A"/>
          <w:lang w:eastAsia="zh-CN"/>
        </w:rPr>
        <w:t xml:space="preserve">Features of annotated almanacs in the Huntington Library, CA. </w:t>
      </w:r>
    </w:p>
    <w:tbl>
      <w:tblPr>
        <w:tblStyle w:val="TableGrid22"/>
        <w:tblW w:w="0" w:type="auto"/>
        <w:tblLook w:val="04A0" w:firstRow="1" w:lastRow="0" w:firstColumn="1" w:lastColumn="0" w:noHBand="0" w:noVBand="1"/>
      </w:tblPr>
      <w:tblGrid>
        <w:gridCol w:w="3099"/>
        <w:gridCol w:w="1093"/>
        <w:gridCol w:w="1757"/>
        <w:gridCol w:w="2216"/>
      </w:tblGrid>
      <w:tr w:rsidR="00094FAC" w:rsidRPr="003037D2" w14:paraId="06C5E254" w14:textId="410D8209" w:rsidTr="001C28BB">
        <w:tc>
          <w:tcPr>
            <w:tcW w:w="3099" w:type="dxa"/>
            <w:vAlign w:val="center"/>
          </w:tcPr>
          <w:p w14:paraId="25BD63C3" w14:textId="3A70D3B3" w:rsidR="00094FAC" w:rsidRPr="003037D2" w:rsidRDefault="00094FAC" w:rsidP="001C28BB">
            <w:pPr>
              <w:spacing w:line="360" w:lineRule="auto"/>
              <w:ind w:right="567"/>
              <w:jc w:val="center"/>
              <w:rPr>
                <w:rFonts w:ascii="Garamond" w:eastAsia="Calibri" w:hAnsi="Garamond" w:cs="Arial"/>
                <w:b/>
              </w:rPr>
            </w:pPr>
            <w:r w:rsidRPr="003037D2">
              <w:rPr>
                <w:rFonts w:ascii="Garamond" w:eastAsia="Calibri" w:hAnsi="Garamond" w:cs="Arial"/>
                <w:b/>
              </w:rPr>
              <w:t>Total almanacs in Huntington Library (1550 – 1660)</w:t>
            </w:r>
          </w:p>
        </w:tc>
        <w:tc>
          <w:tcPr>
            <w:tcW w:w="1093" w:type="dxa"/>
            <w:vAlign w:val="center"/>
          </w:tcPr>
          <w:p w14:paraId="6DA8FB84" w14:textId="15763A3E" w:rsidR="00094FAC" w:rsidRPr="003037D2" w:rsidRDefault="00094FAC" w:rsidP="001C28BB">
            <w:pPr>
              <w:spacing w:line="360" w:lineRule="auto"/>
              <w:ind w:right="567"/>
              <w:jc w:val="center"/>
              <w:rPr>
                <w:rFonts w:ascii="Garamond" w:eastAsia="Calibri" w:hAnsi="Garamond" w:cs="Arial"/>
                <w:b/>
              </w:rPr>
            </w:pPr>
            <w:r w:rsidRPr="003037D2">
              <w:rPr>
                <w:rFonts w:ascii="Garamond" w:eastAsia="Calibri" w:hAnsi="Garamond" w:cs="Arial"/>
                <w:b/>
              </w:rPr>
              <w:t>280</w:t>
            </w:r>
          </w:p>
        </w:tc>
        <w:tc>
          <w:tcPr>
            <w:tcW w:w="1757" w:type="dxa"/>
            <w:vAlign w:val="bottom"/>
          </w:tcPr>
          <w:p w14:paraId="573E0C47" w14:textId="73A5298C" w:rsidR="00094FAC" w:rsidRPr="003037D2" w:rsidRDefault="00094FAC" w:rsidP="00094FAC">
            <w:pPr>
              <w:spacing w:line="360" w:lineRule="auto"/>
              <w:ind w:right="567"/>
              <w:jc w:val="right"/>
              <w:rPr>
                <w:rFonts w:ascii="Garamond" w:eastAsia="Calibri" w:hAnsi="Garamond" w:cs="Arial"/>
              </w:rPr>
            </w:pPr>
            <w:r w:rsidRPr="003037D2">
              <w:rPr>
                <w:rFonts w:ascii="Garamond" w:eastAsia="Calibri" w:hAnsi="Garamond" w:cs="Arial"/>
              </w:rPr>
              <w:t>% of total</w:t>
            </w:r>
          </w:p>
        </w:tc>
        <w:tc>
          <w:tcPr>
            <w:tcW w:w="2216" w:type="dxa"/>
            <w:vAlign w:val="bottom"/>
          </w:tcPr>
          <w:p w14:paraId="3E427C8B" w14:textId="1505DBA3" w:rsidR="00094FAC" w:rsidRPr="003037D2" w:rsidRDefault="00094FAC" w:rsidP="00094FAC">
            <w:pPr>
              <w:spacing w:line="360" w:lineRule="auto"/>
              <w:ind w:right="567"/>
              <w:jc w:val="right"/>
              <w:rPr>
                <w:rFonts w:ascii="Garamond" w:eastAsia="Calibri" w:hAnsi="Garamond" w:cs="Arial"/>
              </w:rPr>
            </w:pPr>
            <w:r w:rsidRPr="003037D2">
              <w:rPr>
                <w:rFonts w:ascii="Garamond" w:eastAsia="Calibri" w:hAnsi="Garamond" w:cs="Arial"/>
              </w:rPr>
              <w:t>% of annotated</w:t>
            </w:r>
          </w:p>
        </w:tc>
      </w:tr>
      <w:tr w:rsidR="00094FAC" w:rsidRPr="003037D2" w14:paraId="1081A0E8" w14:textId="17B0C235" w:rsidTr="001C28BB">
        <w:tc>
          <w:tcPr>
            <w:tcW w:w="3099" w:type="dxa"/>
          </w:tcPr>
          <w:p w14:paraId="70886F3A" w14:textId="77777777" w:rsidR="00094FAC" w:rsidRPr="003037D2" w:rsidRDefault="00094FAC" w:rsidP="00162224">
            <w:pPr>
              <w:spacing w:line="360" w:lineRule="auto"/>
              <w:ind w:right="567"/>
              <w:rPr>
                <w:rFonts w:ascii="Garamond" w:eastAsia="Calibri" w:hAnsi="Garamond" w:cs="Arial"/>
              </w:rPr>
            </w:pPr>
            <w:r w:rsidRPr="003037D2">
              <w:rPr>
                <w:rFonts w:ascii="Garamond" w:eastAsia="Calibri" w:hAnsi="Garamond" w:cs="Arial"/>
              </w:rPr>
              <w:t>Annotated</w:t>
            </w:r>
          </w:p>
        </w:tc>
        <w:tc>
          <w:tcPr>
            <w:tcW w:w="1093" w:type="dxa"/>
            <w:vAlign w:val="center"/>
          </w:tcPr>
          <w:p w14:paraId="3D20058C" w14:textId="56EB506A" w:rsidR="00094FAC" w:rsidRPr="003037D2" w:rsidRDefault="00094FAC" w:rsidP="001C28BB">
            <w:pPr>
              <w:spacing w:line="360" w:lineRule="auto"/>
              <w:ind w:right="567"/>
              <w:jc w:val="center"/>
              <w:rPr>
                <w:rFonts w:ascii="Garamond" w:eastAsia="Calibri" w:hAnsi="Garamond" w:cs="Arial"/>
              </w:rPr>
            </w:pPr>
            <w:r w:rsidRPr="003037D2">
              <w:rPr>
                <w:rFonts w:ascii="Garamond" w:eastAsia="Calibri" w:hAnsi="Garamond" w:cs="Arial"/>
              </w:rPr>
              <w:t>43</w:t>
            </w:r>
          </w:p>
        </w:tc>
        <w:tc>
          <w:tcPr>
            <w:tcW w:w="1757" w:type="dxa"/>
            <w:vAlign w:val="center"/>
          </w:tcPr>
          <w:p w14:paraId="321C8A08" w14:textId="1C78DEB5" w:rsidR="00094FAC" w:rsidRPr="003037D2" w:rsidRDefault="00094FAC" w:rsidP="001C28BB">
            <w:pPr>
              <w:spacing w:line="360" w:lineRule="auto"/>
              <w:ind w:right="567"/>
              <w:jc w:val="center"/>
              <w:rPr>
                <w:rFonts w:ascii="Garamond" w:eastAsia="Calibri" w:hAnsi="Garamond" w:cs="Arial"/>
              </w:rPr>
            </w:pPr>
            <w:r w:rsidRPr="003037D2">
              <w:rPr>
                <w:rFonts w:ascii="Garamond" w:eastAsia="Calibri" w:hAnsi="Garamond" w:cs="Arial"/>
              </w:rPr>
              <w:t>15.4</w:t>
            </w:r>
          </w:p>
        </w:tc>
        <w:tc>
          <w:tcPr>
            <w:tcW w:w="2216" w:type="dxa"/>
            <w:vAlign w:val="center"/>
          </w:tcPr>
          <w:p w14:paraId="73171955" w14:textId="3FAC52AC" w:rsidR="00094FAC" w:rsidRPr="003037D2" w:rsidRDefault="00094FAC" w:rsidP="001C28BB">
            <w:pPr>
              <w:spacing w:line="360" w:lineRule="auto"/>
              <w:ind w:right="567"/>
              <w:jc w:val="center"/>
              <w:rPr>
                <w:rFonts w:ascii="Garamond" w:eastAsia="Calibri" w:hAnsi="Garamond" w:cs="Arial"/>
              </w:rPr>
            </w:pPr>
            <w:r w:rsidRPr="003037D2">
              <w:rPr>
                <w:rFonts w:ascii="Garamond" w:eastAsia="Calibri" w:hAnsi="Garamond" w:cs="Arial"/>
              </w:rPr>
              <w:t>100</w:t>
            </w:r>
          </w:p>
        </w:tc>
      </w:tr>
      <w:tr w:rsidR="00094FAC" w:rsidRPr="003037D2" w14:paraId="159E431F" w14:textId="5833C6EA" w:rsidTr="001C28BB">
        <w:tc>
          <w:tcPr>
            <w:tcW w:w="3099" w:type="dxa"/>
          </w:tcPr>
          <w:p w14:paraId="58069DFA" w14:textId="77777777" w:rsidR="00094FAC" w:rsidRPr="003037D2" w:rsidRDefault="00094FAC" w:rsidP="00162224">
            <w:pPr>
              <w:spacing w:line="360" w:lineRule="auto"/>
              <w:ind w:right="567"/>
              <w:rPr>
                <w:rFonts w:ascii="Garamond" w:eastAsia="Calibri" w:hAnsi="Garamond" w:cs="Arial"/>
              </w:rPr>
            </w:pPr>
            <w:r w:rsidRPr="003037D2">
              <w:rPr>
                <w:rFonts w:ascii="Garamond" w:eastAsia="Calibri" w:hAnsi="Garamond" w:cs="Arial"/>
              </w:rPr>
              <w:t>Financial notes</w:t>
            </w:r>
          </w:p>
        </w:tc>
        <w:tc>
          <w:tcPr>
            <w:tcW w:w="1093" w:type="dxa"/>
            <w:vAlign w:val="center"/>
          </w:tcPr>
          <w:p w14:paraId="10E7546B" w14:textId="77777777" w:rsidR="00094FAC" w:rsidRPr="003037D2" w:rsidRDefault="00094FAC" w:rsidP="001C28BB">
            <w:pPr>
              <w:spacing w:line="360" w:lineRule="auto"/>
              <w:ind w:right="567"/>
              <w:jc w:val="center"/>
              <w:rPr>
                <w:rFonts w:ascii="Garamond" w:eastAsia="Calibri" w:hAnsi="Garamond" w:cs="Arial"/>
              </w:rPr>
            </w:pPr>
            <w:r w:rsidRPr="003037D2">
              <w:rPr>
                <w:rFonts w:ascii="Garamond" w:eastAsia="Calibri" w:hAnsi="Garamond" w:cs="Arial"/>
              </w:rPr>
              <w:t>24</w:t>
            </w:r>
          </w:p>
        </w:tc>
        <w:tc>
          <w:tcPr>
            <w:tcW w:w="1757" w:type="dxa"/>
            <w:vAlign w:val="center"/>
          </w:tcPr>
          <w:p w14:paraId="65D7983D" w14:textId="11D1EA14" w:rsidR="00094FAC" w:rsidRPr="003037D2" w:rsidRDefault="00094FAC" w:rsidP="001C28BB">
            <w:pPr>
              <w:spacing w:line="360" w:lineRule="auto"/>
              <w:ind w:right="567"/>
              <w:jc w:val="center"/>
              <w:rPr>
                <w:rFonts w:ascii="Garamond" w:eastAsia="Calibri" w:hAnsi="Garamond" w:cs="Arial"/>
              </w:rPr>
            </w:pPr>
            <w:r w:rsidRPr="003037D2">
              <w:rPr>
                <w:rFonts w:ascii="Garamond" w:eastAsia="Calibri" w:hAnsi="Garamond" w:cs="Arial"/>
              </w:rPr>
              <w:t>8.6</w:t>
            </w:r>
          </w:p>
        </w:tc>
        <w:tc>
          <w:tcPr>
            <w:tcW w:w="2216" w:type="dxa"/>
            <w:vAlign w:val="center"/>
          </w:tcPr>
          <w:p w14:paraId="5562F4B8" w14:textId="64048451" w:rsidR="00094FAC" w:rsidRPr="003037D2" w:rsidRDefault="00094FAC" w:rsidP="001C28BB">
            <w:pPr>
              <w:spacing w:line="360" w:lineRule="auto"/>
              <w:ind w:right="567"/>
              <w:jc w:val="center"/>
              <w:rPr>
                <w:rFonts w:ascii="Garamond" w:eastAsia="Calibri" w:hAnsi="Garamond" w:cs="Arial"/>
              </w:rPr>
            </w:pPr>
            <w:r w:rsidRPr="003037D2">
              <w:rPr>
                <w:rFonts w:ascii="Garamond" w:eastAsia="Calibri" w:hAnsi="Garamond" w:cs="Arial"/>
              </w:rPr>
              <w:t>55.8</w:t>
            </w:r>
          </w:p>
        </w:tc>
      </w:tr>
      <w:tr w:rsidR="00094FAC" w:rsidRPr="003037D2" w14:paraId="13EC9CFE" w14:textId="50531E65" w:rsidTr="001C28BB">
        <w:tc>
          <w:tcPr>
            <w:tcW w:w="3099" w:type="dxa"/>
          </w:tcPr>
          <w:p w14:paraId="7381C337" w14:textId="77777777" w:rsidR="00094FAC" w:rsidRPr="003037D2" w:rsidRDefault="00094FAC" w:rsidP="00162224">
            <w:pPr>
              <w:spacing w:line="360" w:lineRule="auto"/>
              <w:ind w:right="567"/>
              <w:rPr>
                <w:rFonts w:ascii="Garamond" w:eastAsia="Calibri" w:hAnsi="Garamond" w:cs="Arial"/>
              </w:rPr>
            </w:pPr>
            <w:r w:rsidRPr="003037D2">
              <w:rPr>
                <w:rFonts w:ascii="Garamond" w:eastAsia="Calibri" w:hAnsi="Garamond" w:cs="Arial"/>
              </w:rPr>
              <w:t>Personal notes</w:t>
            </w:r>
          </w:p>
        </w:tc>
        <w:tc>
          <w:tcPr>
            <w:tcW w:w="1093" w:type="dxa"/>
            <w:vAlign w:val="center"/>
          </w:tcPr>
          <w:p w14:paraId="542B15B5" w14:textId="77777777" w:rsidR="00094FAC" w:rsidRPr="003037D2" w:rsidRDefault="00094FAC" w:rsidP="001C28BB">
            <w:pPr>
              <w:spacing w:line="360" w:lineRule="auto"/>
              <w:ind w:right="567"/>
              <w:jc w:val="center"/>
              <w:rPr>
                <w:rFonts w:ascii="Garamond" w:eastAsia="Calibri" w:hAnsi="Garamond" w:cs="Arial"/>
              </w:rPr>
            </w:pPr>
            <w:r w:rsidRPr="003037D2">
              <w:rPr>
                <w:rFonts w:ascii="Garamond" w:eastAsia="Calibri" w:hAnsi="Garamond" w:cs="Arial"/>
              </w:rPr>
              <w:t>26</w:t>
            </w:r>
          </w:p>
        </w:tc>
        <w:tc>
          <w:tcPr>
            <w:tcW w:w="1757" w:type="dxa"/>
            <w:vAlign w:val="center"/>
          </w:tcPr>
          <w:p w14:paraId="448372E4" w14:textId="552CBFA0" w:rsidR="00094FAC" w:rsidRPr="003037D2" w:rsidRDefault="00094FAC" w:rsidP="001C28BB">
            <w:pPr>
              <w:spacing w:line="360" w:lineRule="auto"/>
              <w:ind w:right="567"/>
              <w:jc w:val="center"/>
              <w:rPr>
                <w:rFonts w:ascii="Garamond" w:eastAsia="Calibri" w:hAnsi="Garamond" w:cs="Arial"/>
              </w:rPr>
            </w:pPr>
            <w:r w:rsidRPr="003037D2">
              <w:rPr>
                <w:rFonts w:ascii="Garamond" w:eastAsia="Calibri" w:hAnsi="Garamond" w:cs="Arial"/>
              </w:rPr>
              <w:t>9.3</w:t>
            </w:r>
          </w:p>
        </w:tc>
        <w:tc>
          <w:tcPr>
            <w:tcW w:w="2216" w:type="dxa"/>
            <w:vAlign w:val="center"/>
          </w:tcPr>
          <w:p w14:paraId="1FC1E395" w14:textId="4C95A002" w:rsidR="00094FAC" w:rsidRPr="003037D2" w:rsidRDefault="00094FAC" w:rsidP="001C28BB">
            <w:pPr>
              <w:spacing w:line="360" w:lineRule="auto"/>
              <w:ind w:right="567"/>
              <w:jc w:val="center"/>
              <w:rPr>
                <w:rFonts w:ascii="Garamond" w:eastAsia="Calibri" w:hAnsi="Garamond" w:cs="Arial"/>
              </w:rPr>
            </w:pPr>
            <w:r w:rsidRPr="003037D2">
              <w:rPr>
                <w:rFonts w:ascii="Garamond" w:eastAsia="Calibri" w:hAnsi="Garamond" w:cs="Arial"/>
              </w:rPr>
              <w:t>60.4</w:t>
            </w:r>
          </w:p>
        </w:tc>
      </w:tr>
      <w:tr w:rsidR="00094FAC" w:rsidRPr="003037D2" w14:paraId="07650723" w14:textId="6C448B44" w:rsidTr="001C28BB">
        <w:tc>
          <w:tcPr>
            <w:tcW w:w="3099" w:type="dxa"/>
          </w:tcPr>
          <w:p w14:paraId="774F86C0" w14:textId="77777777" w:rsidR="00094FAC" w:rsidRPr="003037D2" w:rsidRDefault="00094FAC" w:rsidP="00162224">
            <w:pPr>
              <w:spacing w:line="360" w:lineRule="auto"/>
              <w:ind w:right="567"/>
              <w:rPr>
                <w:rFonts w:ascii="Garamond" w:eastAsia="Calibri" w:hAnsi="Garamond" w:cs="Arial"/>
              </w:rPr>
            </w:pPr>
            <w:r w:rsidRPr="003037D2">
              <w:rPr>
                <w:rFonts w:ascii="Garamond" w:eastAsia="Calibri" w:hAnsi="Garamond" w:cs="Arial"/>
              </w:rPr>
              <w:t xml:space="preserve">Political/news </w:t>
            </w:r>
          </w:p>
        </w:tc>
        <w:tc>
          <w:tcPr>
            <w:tcW w:w="1093" w:type="dxa"/>
            <w:vAlign w:val="center"/>
          </w:tcPr>
          <w:p w14:paraId="40F162B8" w14:textId="77777777" w:rsidR="00094FAC" w:rsidRPr="003037D2" w:rsidRDefault="00094FAC" w:rsidP="001C28BB">
            <w:pPr>
              <w:spacing w:line="360" w:lineRule="auto"/>
              <w:ind w:right="567"/>
              <w:jc w:val="center"/>
              <w:rPr>
                <w:rFonts w:ascii="Garamond" w:eastAsia="Calibri" w:hAnsi="Garamond" w:cs="Arial"/>
              </w:rPr>
            </w:pPr>
            <w:r w:rsidRPr="003037D2">
              <w:rPr>
                <w:rFonts w:ascii="Garamond" w:eastAsia="Calibri" w:hAnsi="Garamond" w:cs="Arial"/>
              </w:rPr>
              <w:t>8</w:t>
            </w:r>
          </w:p>
        </w:tc>
        <w:tc>
          <w:tcPr>
            <w:tcW w:w="1757" w:type="dxa"/>
            <w:vAlign w:val="center"/>
          </w:tcPr>
          <w:p w14:paraId="575188E6" w14:textId="25099926" w:rsidR="00094FAC" w:rsidRPr="003037D2" w:rsidRDefault="00094FAC" w:rsidP="001C28BB">
            <w:pPr>
              <w:spacing w:line="360" w:lineRule="auto"/>
              <w:ind w:right="567"/>
              <w:jc w:val="center"/>
              <w:rPr>
                <w:rFonts w:ascii="Garamond" w:eastAsia="Calibri" w:hAnsi="Garamond" w:cs="Arial"/>
              </w:rPr>
            </w:pPr>
            <w:r w:rsidRPr="003037D2">
              <w:rPr>
                <w:rFonts w:ascii="Garamond" w:eastAsia="Calibri" w:hAnsi="Garamond" w:cs="Arial"/>
              </w:rPr>
              <w:t>2.9</w:t>
            </w:r>
          </w:p>
        </w:tc>
        <w:tc>
          <w:tcPr>
            <w:tcW w:w="2216" w:type="dxa"/>
            <w:vAlign w:val="center"/>
          </w:tcPr>
          <w:p w14:paraId="1C9F9C20" w14:textId="7CAB0DB3" w:rsidR="00094FAC" w:rsidRPr="003037D2" w:rsidRDefault="00094FAC" w:rsidP="001C28BB">
            <w:pPr>
              <w:spacing w:line="360" w:lineRule="auto"/>
              <w:ind w:right="567"/>
              <w:jc w:val="center"/>
              <w:rPr>
                <w:rFonts w:ascii="Garamond" w:eastAsia="Calibri" w:hAnsi="Garamond" w:cs="Arial"/>
              </w:rPr>
            </w:pPr>
            <w:r w:rsidRPr="003037D2">
              <w:rPr>
                <w:rFonts w:ascii="Garamond" w:eastAsia="Calibri" w:hAnsi="Garamond" w:cs="Arial"/>
              </w:rPr>
              <w:t>18.6</w:t>
            </w:r>
          </w:p>
        </w:tc>
      </w:tr>
      <w:tr w:rsidR="00094FAC" w:rsidRPr="003037D2" w14:paraId="3265F63C" w14:textId="32354B2C" w:rsidTr="001C28BB">
        <w:tc>
          <w:tcPr>
            <w:tcW w:w="3099" w:type="dxa"/>
          </w:tcPr>
          <w:p w14:paraId="49CF7878" w14:textId="77777777" w:rsidR="00094FAC" w:rsidRPr="003037D2" w:rsidRDefault="00094FAC" w:rsidP="00162224">
            <w:pPr>
              <w:spacing w:line="360" w:lineRule="auto"/>
              <w:ind w:right="567"/>
              <w:rPr>
                <w:rFonts w:ascii="Garamond" w:eastAsia="Calibri" w:hAnsi="Garamond" w:cs="Arial"/>
              </w:rPr>
            </w:pPr>
            <w:r w:rsidRPr="003037D2">
              <w:rPr>
                <w:rFonts w:ascii="Garamond" w:eastAsia="Calibri" w:hAnsi="Garamond" w:cs="Arial"/>
              </w:rPr>
              <w:t xml:space="preserve">Weather </w:t>
            </w:r>
          </w:p>
        </w:tc>
        <w:tc>
          <w:tcPr>
            <w:tcW w:w="1093" w:type="dxa"/>
            <w:vAlign w:val="center"/>
          </w:tcPr>
          <w:p w14:paraId="374D7A9F" w14:textId="1C550AF8" w:rsidR="00094FAC" w:rsidRPr="003037D2" w:rsidRDefault="00094FAC" w:rsidP="001C28BB">
            <w:pPr>
              <w:spacing w:line="360" w:lineRule="auto"/>
              <w:ind w:right="567"/>
              <w:jc w:val="center"/>
              <w:rPr>
                <w:rFonts w:ascii="Garamond" w:eastAsia="Calibri" w:hAnsi="Garamond" w:cs="Arial"/>
              </w:rPr>
            </w:pPr>
            <w:r w:rsidRPr="003037D2">
              <w:rPr>
                <w:rFonts w:ascii="Garamond" w:eastAsia="Calibri" w:hAnsi="Garamond" w:cs="Arial"/>
              </w:rPr>
              <w:t>4</w:t>
            </w:r>
          </w:p>
        </w:tc>
        <w:tc>
          <w:tcPr>
            <w:tcW w:w="1757" w:type="dxa"/>
            <w:vAlign w:val="center"/>
          </w:tcPr>
          <w:p w14:paraId="3C8CE009" w14:textId="05928305" w:rsidR="00094FAC" w:rsidRPr="003037D2" w:rsidRDefault="00094FAC" w:rsidP="001C28BB">
            <w:pPr>
              <w:spacing w:line="360" w:lineRule="auto"/>
              <w:ind w:right="567"/>
              <w:jc w:val="center"/>
              <w:rPr>
                <w:rFonts w:ascii="Garamond" w:eastAsia="Calibri" w:hAnsi="Garamond" w:cs="Arial"/>
              </w:rPr>
            </w:pPr>
            <w:r w:rsidRPr="003037D2">
              <w:rPr>
                <w:rFonts w:ascii="Garamond" w:eastAsia="Calibri" w:hAnsi="Garamond" w:cs="Arial"/>
              </w:rPr>
              <w:t>1.4</w:t>
            </w:r>
          </w:p>
        </w:tc>
        <w:tc>
          <w:tcPr>
            <w:tcW w:w="2216" w:type="dxa"/>
            <w:vAlign w:val="center"/>
          </w:tcPr>
          <w:p w14:paraId="41919EC4" w14:textId="34F15EE8" w:rsidR="00094FAC" w:rsidRPr="003037D2" w:rsidRDefault="00094FAC" w:rsidP="001C28BB">
            <w:pPr>
              <w:spacing w:line="360" w:lineRule="auto"/>
              <w:ind w:right="567"/>
              <w:jc w:val="center"/>
              <w:rPr>
                <w:rFonts w:ascii="Garamond" w:eastAsia="Calibri" w:hAnsi="Garamond" w:cs="Arial"/>
              </w:rPr>
            </w:pPr>
            <w:r w:rsidRPr="003037D2">
              <w:rPr>
                <w:rFonts w:ascii="Garamond" w:eastAsia="Calibri" w:hAnsi="Garamond" w:cs="Arial"/>
              </w:rPr>
              <w:t>9.3</w:t>
            </w:r>
          </w:p>
        </w:tc>
      </w:tr>
    </w:tbl>
    <w:p w14:paraId="0CA438C9" w14:textId="4B0F8961" w:rsidR="00162224" w:rsidRDefault="001C28BB" w:rsidP="00162224">
      <w:pPr>
        <w:spacing w:line="360" w:lineRule="auto"/>
        <w:ind w:right="567"/>
        <w:rPr>
          <w:rFonts w:ascii="Garamond" w:eastAsia="Calibri" w:hAnsi="Garamond" w:cs="Arial"/>
          <w:i/>
        </w:rPr>
      </w:pPr>
      <w:r w:rsidRPr="003037D2">
        <w:rPr>
          <w:rFonts w:ascii="Garamond" w:eastAsia="Calibri" w:hAnsi="Garamond" w:cs="Arial"/>
        </w:rPr>
        <w:t>(</w:t>
      </w:r>
      <w:r w:rsidRPr="003037D2">
        <w:rPr>
          <w:rFonts w:ascii="Garamond" w:eastAsia="Calibri" w:hAnsi="Garamond" w:cs="Arial"/>
          <w:i/>
        </w:rPr>
        <w:t xml:space="preserve">As some almanacs had annotations in more than one category, totals do not add up to 100) </w:t>
      </w:r>
    </w:p>
    <w:p w14:paraId="2E163677" w14:textId="77777777" w:rsidR="0056489A" w:rsidRPr="003037D2" w:rsidRDefault="0056489A" w:rsidP="00162224">
      <w:pPr>
        <w:spacing w:line="360" w:lineRule="auto"/>
        <w:ind w:right="567"/>
        <w:rPr>
          <w:rFonts w:ascii="Garamond" w:eastAsia="Calibri" w:hAnsi="Garamond" w:cs="Arial"/>
          <w:i/>
        </w:rPr>
      </w:pPr>
    </w:p>
    <w:p w14:paraId="13233A75" w14:textId="2DD0BF95" w:rsidR="00162224" w:rsidRPr="003037D2" w:rsidRDefault="00162224" w:rsidP="00162224">
      <w:pPr>
        <w:spacing w:line="360" w:lineRule="auto"/>
        <w:ind w:right="567"/>
        <w:rPr>
          <w:rFonts w:ascii="Garamond" w:eastAsia="Calibri" w:hAnsi="Garamond" w:cs="Arial"/>
        </w:rPr>
      </w:pPr>
      <w:r w:rsidRPr="003037D2">
        <w:rPr>
          <w:rFonts w:ascii="Garamond" w:eastAsia="Calibri" w:hAnsi="Garamond" w:cs="Arial"/>
        </w:rPr>
        <w:t xml:space="preserve">As demonstrated in the table above, almanac annotators had a wide variety of concerns, reflected in the notes they left behind them. Notably, I found no examples that were predominately religious in their content. It should be noted that in </w:t>
      </w:r>
      <w:proofErr w:type="gramStart"/>
      <w:r w:rsidRPr="003037D2">
        <w:rPr>
          <w:rFonts w:ascii="Garamond" w:eastAsia="Calibri" w:hAnsi="Garamond" w:cs="Arial"/>
        </w:rPr>
        <w:t>the majority of</w:t>
      </w:r>
      <w:proofErr w:type="gramEnd"/>
      <w:r w:rsidRPr="003037D2">
        <w:rPr>
          <w:rFonts w:ascii="Garamond" w:eastAsia="Calibri" w:hAnsi="Garamond" w:cs="Arial"/>
        </w:rPr>
        <w:t xml:space="preserve"> cases the notes were very much </w:t>
      </w:r>
      <w:proofErr w:type="spellStart"/>
      <w:r w:rsidRPr="003037D2">
        <w:rPr>
          <w:rFonts w:ascii="Garamond" w:eastAsia="Calibri" w:hAnsi="Garamond" w:cs="Arial"/>
        </w:rPr>
        <w:t>centred</w:t>
      </w:r>
      <w:proofErr w:type="spellEnd"/>
      <w:r w:rsidRPr="003037D2">
        <w:rPr>
          <w:rFonts w:ascii="Garamond" w:eastAsia="Calibri" w:hAnsi="Garamond" w:cs="Arial"/>
        </w:rPr>
        <w:t xml:space="preserve"> upon the individual, their family or business. The cosmic scope of the printed almanac, detailing the movements of planets and stars, focuses down into the daily comings and goings or expenditure of a single family. </w:t>
      </w:r>
      <w:proofErr w:type="spellStart"/>
      <w:r w:rsidRPr="003037D2">
        <w:rPr>
          <w:rFonts w:ascii="Garamond" w:eastAsia="Calibri" w:hAnsi="Garamond" w:cs="Arial"/>
        </w:rPr>
        <w:t>Brayman</w:t>
      </w:r>
      <w:proofErr w:type="spellEnd"/>
      <w:r w:rsidRPr="003037D2">
        <w:rPr>
          <w:rFonts w:ascii="Garamond" w:eastAsia="Calibri" w:hAnsi="Garamond" w:cs="Arial"/>
        </w:rPr>
        <w:t xml:space="preserve"> </w:t>
      </w:r>
      <w:proofErr w:type="spellStart"/>
      <w:r w:rsidRPr="003037D2">
        <w:rPr>
          <w:rFonts w:ascii="Garamond" w:eastAsia="Calibri" w:hAnsi="Garamond" w:cs="Arial"/>
        </w:rPr>
        <w:t>Hacke</w:t>
      </w:r>
      <w:r w:rsidR="00531ACA" w:rsidRPr="003037D2">
        <w:rPr>
          <w:rFonts w:ascii="Garamond" w:eastAsia="Calibri" w:hAnsi="Garamond" w:cs="Arial"/>
        </w:rPr>
        <w:t>l</w:t>
      </w:r>
      <w:proofErr w:type="spellEnd"/>
      <w:r w:rsidRPr="003037D2">
        <w:rPr>
          <w:rFonts w:ascii="Garamond" w:eastAsia="Calibri" w:hAnsi="Garamond" w:cs="Arial"/>
        </w:rPr>
        <w:t xml:space="preserve"> has discussed how studies of early modern reading have often focused on the brilliant, literary reader, ignoring the ‘great variety of </w:t>
      </w:r>
      <w:proofErr w:type="gramStart"/>
      <w:r w:rsidRPr="003037D2">
        <w:rPr>
          <w:rFonts w:ascii="Garamond" w:eastAsia="Calibri" w:hAnsi="Garamond" w:cs="Arial"/>
        </w:rPr>
        <w:t>readers’</w:t>
      </w:r>
      <w:proofErr w:type="gramEnd"/>
      <w:r w:rsidRPr="003037D2">
        <w:rPr>
          <w:rFonts w:ascii="Garamond" w:eastAsia="Calibri" w:hAnsi="Garamond" w:cs="Arial"/>
        </w:rPr>
        <w:t>. She bemoans the fact that ‘any examination of handwritten marginalia for clues about early modern reading… is inherently limited to a narrow group of readers, those with sufficient means to own substantial books and educated enough to be able to write in them’.</w:t>
      </w:r>
      <w:r w:rsidRPr="003037D2">
        <w:rPr>
          <w:rFonts w:ascii="Garamond" w:eastAsia="Calibri" w:hAnsi="Garamond" w:cs="Arial"/>
          <w:vertAlign w:val="superscript"/>
        </w:rPr>
        <w:footnoteReference w:id="141"/>
      </w:r>
      <w:r w:rsidRPr="003037D2">
        <w:rPr>
          <w:rFonts w:ascii="Garamond" w:eastAsia="Calibri" w:hAnsi="Garamond" w:cs="Arial"/>
        </w:rPr>
        <w:t xml:space="preserve"> Almanacs, however, provide a good deal of evidence of ‘the great variety’ of readers. The detailed accounts they include demonstrate that their owners came from a variety of backgrounds, from the gentry to small scale farmers, anxiously tracking each penny. As such, they are rich objects of study. (See Appendix 1 for full details of the volumes surveyed</w:t>
      </w:r>
      <w:r w:rsidR="00C03F06" w:rsidRPr="003037D2">
        <w:rPr>
          <w:rFonts w:ascii="Garamond" w:eastAsia="Calibri" w:hAnsi="Garamond" w:cs="Arial"/>
        </w:rPr>
        <w:t>.</w:t>
      </w:r>
      <w:r w:rsidRPr="003037D2">
        <w:rPr>
          <w:rFonts w:ascii="Garamond" w:eastAsia="Calibri" w:hAnsi="Garamond" w:cs="Arial"/>
        </w:rPr>
        <w:t xml:space="preserve">) </w:t>
      </w:r>
    </w:p>
    <w:p w14:paraId="49866043" w14:textId="77777777" w:rsidR="00162224" w:rsidRPr="003037D2" w:rsidRDefault="00162224" w:rsidP="00162224">
      <w:pPr>
        <w:spacing w:line="360" w:lineRule="auto"/>
        <w:ind w:right="567"/>
        <w:rPr>
          <w:rFonts w:ascii="Garamond" w:eastAsia="Calibri" w:hAnsi="Garamond" w:cs="Arial"/>
        </w:rPr>
      </w:pPr>
    </w:p>
    <w:p w14:paraId="4327C84D" w14:textId="6C38120C" w:rsidR="00162224" w:rsidRPr="003037D2" w:rsidRDefault="00162224" w:rsidP="00162224">
      <w:pPr>
        <w:spacing w:line="360" w:lineRule="auto"/>
        <w:ind w:right="567" w:firstLine="720"/>
        <w:rPr>
          <w:rFonts w:ascii="Garamond" w:eastAsia="Calibri" w:hAnsi="Garamond" w:cs="Arial"/>
        </w:rPr>
      </w:pPr>
      <w:r w:rsidRPr="003037D2">
        <w:rPr>
          <w:rFonts w:ascii="Garamond" w:eastAsia="Calibri" w:hAnsi="Garamond" w:cs="Arial"/>
        </w:rPr>
        <w:t>The annotator in a 1658 Booker and a 1659 Wharton almanac bound together seems to have used the books as a space to record their own life, particularly past events. The 1658 Booker almanac has little blank space for annotations but has been added to extensively. Sometimes notes seem to have been added because they accord with the predictive poems at the head of each month. For example, on the 30</w:t>
      </w:r>
      <w:r w:rsidRPr="003037D2">
        <w:rPr>
          <w:rFonts w:ascii="Garamond" w:eastAsia="Calibri" w:hAnsi="Garamond" w:cs="Arial"/>
          <w:vertAlign w:val="superscript"/>
        </w:rPr>
        <w:t>th</w:t>
      </w:r>
      <w:r w:rsidRPr="003037D2">
        <w:rPr>
          <w:rFonts w:ascii="Garamond" w:eastAsia="Calibri" w:hAnsi="Garamond" w:cs="Arial"/>
        </w:rPr>
        <w:t xml:space="preserve"> August a printed note in the almanac states ‘now I do find, we shall have wind’. The annotator has underlined this and noted at the bottom the page, ‘30 August my </w:t>
      </w:r>
      <w:proofErr w:type="spellStart"/>
      <w:r w:rsidRPr="003037D2">
        <w:rPr>
          <w:rFonts w:ascii="Garamond" w:eastAsia="Calibri" w:hAnsi="Garamond" w:cs="Arial"/>
        </w:rPr>
        <w:t>sone</w:t>
      </w:r>
      <w:proofErr w:type="spellEnd"/>
      <w:r w:rsidRPr="003037D2">
        <w:rPr>
          <w:rFonts w:ascii="Garamond" w:eastAsia="Calibri" w:hAnsi="Garamond" w:cs="Arial"/>
        </w:rPr>
        <w:t xml:space="preserve"> </w:t>
      </w:r>
      <w:proofErr w:type="spellStart"/>
      <w:r w:rsidRPr="003037D2">
        <w:rPr>
          <w:rFonts w:ascii="Garamond" w:eastAsia="Calibri" w:hAnsi="Garamond" w:cs="Arial"/>
        </w:rPr>
        <w:t>Tho</w:t>
      </w:r>
      <w:proofErr w:type="spellEnd"/>
      <w:r w:rsidRPr="003037D2">
        <w:rPr>
          <w:rFonts w:ascii="Garamond" w:eastAsia="Calibri" w:hAnsi="Garamond" w:cs="Arial"/>
        </w:rPr>
        <w:t xml:space="preserve">. In the great </w:t>
      </w:r>
      <w:proofErr w:type="spellStart"/>
      <w:r w:rsidRPr="003037D2">
        <w:rPr>
          <w:rFonts w:ascii="Garamond" w:eastAsia="Calibri" w:hAnsi="Garamond" w:cs="Arial"/>
        </w:rPr>
        <w:t>storme</w:t>
      </w:r>
      <w:proofErr w:type="spellEnd"/>
      <w:r w:rsidRPr="003037D2">
        <w:rPr>
          <w:rFonts w:ascii="Garamond" w:eastAsia="Calibri" w:hAnsi="Garamond" w:cs="Arial"/>
        </w:rPr>
        <w:t xml:space="preserve"> at sea’.</w:t>
      </w:r>
      <w:r w:rsidRPr="003037D2">
        <w:rPr>
          <w:rFonts w:ascii="Garamond" w:eastAsia="Calibri" w:hAnsi="Garamond" w:cs="Arial"/>
          <w:vertAlign w:val="superscript"/>
        </w:rPr>
        <w:footnoteReference w:id="142"/>
      </w:r>
      <w:r w:rsidRPr="003037D2">
        <w:rPr>
          <w:rFonts w:ascii="Garamond" w:eastAsia="Calibri" w:hAnsi="Garamond" w:cs="Arial"/>
        </w:rPr>
        <w:t xml:space="preserve"> Similarly, the poem for November states, ‘the world is strangely changed since I was </w:t>
      </w:r>
      <w:proofErr w:type="gramStart"/>
      <w:r w:rsidRPr="003037D2">
        <w:rPr>
          <w:rFonts w:ascii="Garamond" w:eastAsia="Calibri" w:hAnsi="Garamond" w:cs="Arial"/>
        </w:rPr>
        <w:t>young,/</w:t>
      </w:r>
      <w:proofErr w:type="gramEnd"/>
      <w:r w:rsidRPr="003037D2">
        <w:rPr>
          <w:rFonts w:ascii="Garamond" w:eastAsia="Calibri" w:hAnsi="Garamond" w:cs="Arial"/>
        </w:rPr>
        <w:t xml:space="preserve"> Houses were open’. The annotator has noted ‘16: </w:t>
      </w:r>
      <w:proofErr w:type="spellStart"/>
      <w:r w:rsidRPr="003037D2">
        <w:rPr>
          <w:rFonts w:ascii="Garamond" w:eastAsia="Calibri" w:hAnsi="Garamond" w:cs="Arial"/>
        </w:rPr>
        <w:t>Tho</w:t>
      </w:r>
      <w:proofErr w:type="spellEnd"/>
      <w:r w:rsidRPr="003037D2">
        <w:rPr>
          <w:rFonts w:ascii="Garamond" w:eastAsia="Calibri" w:hAnsi="Garamond" w:cs="Arial"/>
        </w:rPr>
        <w:t xml:space="preserve">: Boswell came on 12 of the </w:t>
      </w:r>
      <w:proofErr w:type="gramStart"/>
      <w:r w:rsidRPr="003037D2">
        <w:rPr>
          <w:rFonts w:ascii="Garamond" w:eastAsia="Calibri" w:hAnsi="Garamond" w:cs="Arial"/>
        </w:rPr>
        <w:t>clock</w:t>
      </w:r>
      <w:proofErr w:type="gramEnd"/>
      <w:r w:rsidRPr="003037D2">
        <w:rPr>
          <w:rFonts w:ascii="Garamond" w:eastAsia="Calibri" w:hAnsi="Garamond" w:cs="Arial"/>
        </w:rPr>
        <w:t xml:space="preserve"> in the night &amp; lay here without asking </w:t>
      </w:r>
      <w:proofErr w:type="spellStart"/>
      <w:r w:rsidRPr="003037D2">
        <w:rPr>
          <w:rFonts w:ascii="Garamond" w:eastAsia="Calibri" w:hAnsi="Garamond" w:cs="Arial"/>
        </w:rPr>
        <w:t>mee</w:t>
      </w:r>
      <w:proofErr w:type="spellEnd"/>
      <w:r w:rsidRPr="003037D2">
        <w:rPr>
          <w:rFonts w:ascii="Garamond" w:eastAsia="Calibri" w:hAnsi="Garamond" w:cs="Arial"/>
        </w:rPr>
        <w:t xml:space="preserve"> or my wife leave’.</w:t>
      </w:r>
      <w:r w:rsidRPr="003037D2">
        <w:rPr>
          <w:rFonts w:ascii="Garamond" w:eastAsia="Calibri" w:hAnsi="Garamond" w:cs="Arial"/>
          <w:vertAlign w:val="superscript"/>
        </w:rPr>
        <w:footnoteReference w:id="143"/>
      </w:r>
      <w:r w:rsidRPr="003037D2">
        <w:rPr>
          <w:rFonts w:ascii="Garamond" w:eastAsia="Calibri" w:hAnsi="Garamond" w:cs="Arial"/>
        </w:rPr>
        <w:t xml:space="preserve"> In the Wharton 1659 almanac, there is space for notes and so more annotations are made. March was a noticeably busy month: ‘21 At Dover with Capt. Mil [22] Capt. Mill at my house; [24] my Sone </w:t>
      </w:r>
      <w:proofErr w:type="spellStart"/>
      <w:r w:rsidRPr="003037D2">
        <w:rPr>
          <w:rFonts w:ascii="Garamond" w:eastAsia="Calibri" w:hAnsi="Garamond" w:cs="Arial"/>
        </w:rPr>
        <w:t>Tho</w:t>
      </w:r>
      <w:proofErr w:type="spellEnd"/>
      <w:r w:rsidRPr="003037D2">
        <w:rPr>
          <w:rFonts w:ascii="Garamond" w:eastAsia="Calibri" w:hAnsi="Garamond" w:cs="Arial"/>
        </w:rPr>
        <w:t xml:space="preserve">: went to </w:t>
      </w:r>
      <w:proofErr w:type="spellStart"/>
      <w:r w:rsidRPr="003037D2">
        <w:rPr>
          <w:rFonts w:ascii="Garamond" w:eastAsia="Calibri" w:hAnsi="Garamond" w:cs="Arial"/>
        </w:rPr>
        <w:t>Faversham</w:t>
      </w:r>
      <w:proofErr w:type="spellEnd"/>
      <w:r w:rsidRPr="003037D2">
        <w:rPr>
          <w:rFonts w:ascii="Garamond" w:eastAsia="Calibri" w:hAnsi="Garamond" w:cs="Arial"/>
        </w:rPr>
        <w:t xml:space="preserve"> </w:t>
      </w:r>
      <w:proofErr w:type="spellStart"/>
      <w:r w:rsidRPr="003037D2">
        <w:rPr>
          <w:rFonts w:ascii="Garamond" w:eastAsia="Calibri" w:hAnsi="Garamond" w:cs="Arial"/>
        </w:rPr>
        <w:t>fro</w:t>
      </w:r>
      <w:proofErr w:type="spellEnd"/>
      <w:r w:rsidRPr="003037D2">
        <w:rPr>
          <w:rFonts w:ascii="Garamond" w:eastAsia="Calibri" w:hAnsi="Garamond" w:cs="Arial"/>
        </w:rPr>
        <w:t xml:space="preserve">~ home [25] I then was at Jos: Robert house [26]  I was at court with </w:t>
      </w:r>
      <w:proofErr w:type="spellStart"/>
      <w:r w:rsidRPr="003037D2">
        <w:rPr>
          <w:rFonts w:ascii="Garamond" w:eastAsia="Calibri" w:hAnsi="Garamond" w:cs="Arial"/>
        </w:rPr>
        <w:t>Mr</w:t>
      </w:r>
      <w:proofErr w:type="spellEnd"/>
      <w:r w:rsidRPr="003037D2">
        <w:rPr>
          <w:rFonts w:ascii="Garamond" w:eastAsia="Calibri" w:hAnsi="Garamond" w:cs="Arial"/>
        </w:rPr>
        <w:t xml:space="preserve"> Farrar’.</w:t>
      </w:r>
      <w:r w:rsidRPr="003037D2">
        <w:rPr>
          <w:rFonts w:ascii="Garamond" w:eastAsia="Calibri" w:hAnsi="Garamond" w:cs="Arial"/>
          <w:vertAlign w:val="superscript"/>
        </w:rPr>
        <w:footnoteReference w:id="144"/>
      </w:r>
      <w:r w:rsidRPr="003037D2">
        <w:rPr>
          <w:rFonts w:ascii="Garamond" w:eastAsia="Calibri" w:hAnsi="Garamond" w:cs="Arial"/>
        </w:rPr>
        <w:t xml:space="preserve"> Perhaps mentally exhausted after all that toing and froing, he then begins to record upcoming events, noting down reminders that on the 1</w:t>
      </w:r>
      <w:r w:rsidRPr="003037D2">
        <w:rPr>
          <w:rFonts w:ascii="Garamond" w:eastAsia="Calibri" w:hAnsi="Garamond" w:cs="Arial"/>
          <w:vertAlign w:val="superscript"/>
        </w:rPr>
        <w:t>st</w:t>
      </w:r>
      <w:r w:rsidRPr="003037D2">
        <w:rPr>
          <w:rFonts w:ascii="Garamond" w:eastAsia="Calibri" w:hAnsi="Garamond" w:cs="Arial"/>
        </w:rPr>
        <w:t xml:space="preserve"> May ‘I am to pay </w:t>
      </w:r>
      <w:proofErr w:type="spellStart"/>
      <w:r w:rsidRPr="003037D2">
        <w:rPr>
          <w:rFonts w:ascii="Garamond" w:eastAsia="Calibri" w:hAnsi="Garamond" w:cs="Arial"/>
        </w:rPr>
        <w:t>Mr</w:t>
      </w:r>
      <w:proofErr w:type="spellEnd"/>
      <w:r w:rsidRPr="003037D2">
        <w:rPr>
          <w:rFonts w:ascii="Garamond" w:eastAsia="Calibri" w:hAnsi="Garamond" w:cs="Arial"/>
        </w:rPr>
        <w:t xml:space="preserve"> Fes: Roberts 14</w:t>
      </w:r>
      <w:r w:rsidRPr="003037D2">
        <w:rPr>
          <w:rFonts w:ascii="Garamond" w:eastAsia="Calibri" w:hAnsi="Garamond" w:cs="Arial"/>
          <w:vertAlign w:val="superscript"/>
        </w:rPr>
        <w:t xml:space="preserve">l </w:t>
      </w:r>
      <w:r w:rsidRPr="003037D2">
        <w:rPr>
          <w:rFonts w:ascii="Garamond" w:eastAsia="Calibri" w:hAnsi="Garamond" w:cs="Arial"/>
        </w:rPr>
        <w:t>5</w:t>
      </w:r>
      <w:r w:rsidRPr="003037D2">
        <w:rPr>
          <w:rFonts w:ascii="Garamond" w:eastAsia="Calibri" w:hAnsi="Garamond" w:cs="Arial"/>
          <w:vertAlign w:val="superscript"/>
        </w:rPr>
        <w:t xml:space="preserve">s’ </w:t>
      </w:r>
      <w:r w:rsidRPr="003037D2">
        <w:rPr>
          <w:rFonts w:ascii="Garamond" w:eastAsia="Calibri" w:hAnsi="Garamond" w:cs="Arial"/>
        </w:rPr>
        <w:t>and on the 5th ‘I am to bee of Jewry at London…’</w:t>
      </w:r>
      <w:r w:rsidRPr="003037D2">
        <w:rPr>
          <w:rFonts w:ascii="Garamond" w:eastAsia="Calibri" w:hAnsi="Garamond" w:cs="Arial"/>
          <w:vertAlign w:val="superscript"/>
        </w:rPr>
        <w:footnoteReference w:id="145"/>
      </w:r>
      <w:r w:rsidRPr="003037D2">
        <w:rPr>
          <w:rFonts w:ascii="Garamond" w:eastAsia="Calibri" w:hAnsi="Garamond" w:cs="Arial"/>
        </w:rPr>
        <w:t xml:space="preserve"> On the same page, he is also recording things as they happen, as on the 18</w:t>
      </w:r>
      <w:r w:rsidRPr="003037D2">
        <w:rPr>
          <w:rFonts w:ascii="Garamond" w:eastAsia="Calibri" w:hAnsi="Garamond" w:cs="Arial"/>
          <w:vertAlign w:val="superscript"/>
        </w:rPr>
        <w:t>th</w:t>
      </w:r>
      <w:r w:rsidRPr="003037D2">
        <w:rPr>
          <w:rFonts w:ascii="Garamond" w:eastAsia="Calibri" w:hAnsi="Garamond" w:cs="Arial"/>
        </w:rPr>
        <w:t xml:space="preserve"> ‘My wife went towards her sister woods’. The unknown owner provides glosses to his own notes, ensuring that his records are comprehensible and accurate. On the 31 July he states, ‘went to London, I </w:t>
      </w:r>
      <w:proofErr w:type="spellStart"/>
      <w:r w:rsidRPr="003037D2">
        <w:rPr>
          <w:rFonts w:ascii="Garamond" w:eastAsia="Calibri" w:hAnsi="Garamond" w:cs="Arial"/>
        </w:rPr>
        <w:t>meane</w:t>
      </w:r>
      <w:proofErr w:type="spellEnd"/>
      <w:r w:rsidRPr="003037D2">
        <w:rPr>
          <w:rFonts w:ascii="Garamond" w:eastAsia="Calibri" w:hAnsi="Garamond" w:cs="Arial"/>
        </w:rPr>
        <w:t xml:space="preserve"> my </w:t>
      </w:r>
      <w:proofErr w:type="spellStart"/>
      <w:r w:rsidRPr="003037D2">
        <w:rPr>
          <w:rFonts w:ascii="Garamond" w:eastAsia="Calibri" w:hAnsi="Garamond" w:cs="Arial"/>
        </w:rPr>
        <w:t>sone</w:t>
      </w:r>
      <w:proofErr w:type="spellEnd"/>
      <w:r w:rsidRPr="003037D2">
        <w:rPr>
          <w:rFonts w:ascii="Garamond" w:eastAsia="Calibri" w:hAnsi="Garamond" w:cs="Arial"/>
        </w:rPr>
        <w:t xml:space="preserve"> went’.</w:t>
      </w:r>
      <w:r w:rsidRPr="003037D2">
        <w:rPr>
          <w:rFonts w:ascii="Garamond" w:eastAsia="Calibri" w:hAnsi="Garamond" w:cs="Arial"/>
          <w:vertAlign w:val="superscript"/>
        </w:rPr>
        <w:footnoteReference w:id="146"/>
      </w:r>
      <w:r w:rsidRPr="003037D2">
        <w:rPr>
          <w:rFonts w:ascii="Garamond" w:eastAsia="Calibri" w:hAnsi="Garamond" w:cs="Arial"/>
        </w:rPr>
        <w:t xml:space="preserve">  There is an imagined reader for these notes, who needs to have them clarified and verified. The book seems to be intended as an </w:t>
      </w:r>
      <w:r w:rsidRPr="003037D2">
        <w:rPr>
          <w:rFonts w:ascii="Garamond" w:eastAsia="Calibri" w:hAnsi="Garamond" w:cs="Arial"/>
          <w:i/>
        </w:rPr>
        <w:t xml:space="preserve">aide memoire, </w:t>
      </w:r>
      <w:r w:rsidRPr="003037D2">
        <w:rPr>
          <w:rFonts w:ascii="Garamond" w:eastAsia="Calibri" w:hAnsi="Garamond" w:cs="Arial"/>
        </w:rPr>
        <w:t xml:space="preserve">for the note taker as he moves through the year and for his future self, looking back. The Wharton almanac lacks a chronology, so the owner has sewn in a copy of Wharton’s </w:t>
      </w:r>
      <w:proofErr w:type="spellStart"/>
      <w:r w:rsidRPr="003037D2">
        <w:rPr>
          <w:rFonts w:ascii="Garamond" w:eastAsia="Calibri" w:hAnsi="Garamond" w:cs="Arial"/>
          <w:i/>
          <w:iCs/>
        </w:rPr>
        <w:t>Gesta</w:t>
      </w:r>
      <w:proofErr w:type="spellEnd"/>
      <w:r w:rsidRPr="003037D2">
        <w:rPr>
          <w:rFonts w:ascii="Garamond" w:eastAsia="Calibri" w:hAnsi="Garamond" w:cs="Arial"/>
          <w:i/>
          <w:iCs/>
        </w:rPr>
        <w:t xml:space="preserve"> </w:t>
      </w:r>
      <w:proofErr w:type="spellStart"/>
      <w:r w:rsidRPr="003037D2">
        <w:rPr>
          <w:rFonts w:ascii="Garamond" w:eastAsia="Calibri" w:hAnsi="Garamond" w:cs="Arial"/>
          <w:i/>
          <w:iCs/>
        </w:rPr>
        <w:t>Britannorum</w:t>
      </w:r>
      <w:proofErr w:type="spellEnd"/>
      <w:r w:rsidRPr="003037D2">
        <w:rPr>
          <w:rFonts w:ascii="Garamond" w:eastAsia="Calibri" w:hAnsi="Garamond" w:cs="Arial"/>
          <w:i/>
          <w:iCs/>
        </w:rPr>
        <w:t xml:space="preserve">: or A </w:t>
      </w:r>
      <w:proofErr w:type="spellStart"/>
      <w:r w:rsidRPr="003037D2">
        <w:rPr>
          <w:rFonts w:ascii="Garamond" w:eastAsia="Calibri" w:hAnsi="Garamond" w:cs="Arial"/>
          <w:i/>
          <w:iCs/>
        </w:rPr>
        <w:t>Succcinct</w:t>
      </w:r>
      <w:proofErr w:type="spellEnd"/>
      <w:r w:rsidRPr="003037D2">
        <w:rPr>
          <w:rFonts w:ascii="Garamond" w:eastAsia="Calibri" w:hAnsi="Garamond" w:cs="Arial"/>
          <w:i/>
          <w:iCs/>
        </w:rPr>
        <w:t xml:space="preserve"> </w:t>
      </w:r>
      <w:proofErr w:type="spellStart"/>
      <w:r w:rsidRPr="003037D2">
        <w:rPr>
          <w:rFonts w:ascii="Garamond" w:eastAsia="Calibri" w:hAnsi="Garamond" w:cs="Arial"/>
          <w:i/>
          <w:iCs/>
        </w:rPr>
        <w:t>Chronologie</w:t>
      </w:r>
      <w:proofErr w:type="spellEnd"/>
      <w:r w:rsidRPr="003037D2">
        <w:rPr>
          <w:rFonts w:ascii="Garamond" w:eastAsia="Calibri" w:hAnsi="Garamond" w:cs="Arial"/>
          <w:i/>
          <w:iCs/>
        </w:rPr>
        <w:t xml:space="preserve"> </w:t>
      </w:r>
      <w:r w:rsidRPr="003037D2">
        <w:rPr>
          <w:rFonts w:ascii="Garamond" w:eastAsia="Calibri" w:hAnsi="Garamond" w:cs="Arial"/>
        </w:rPr>
        <w:t xml:space="preserve">(1659) and has annotated it with underlining and </w:t>
      </w:r>
      <w:proofErr w:type="spellStart"/>
      <w:r w:rsidRPr="003037D2">
        <w:rPr>
          <w:rFonts w:ascii="Garamond" w:eastAsia="Calibri" w:hAnsi="Garamond" w:cs="Arial"/>
        </w:rPr>
        <w:t>manicules</w:t>
      </w:r>
      <w:proofErr w:type="spellEnd"/>
      <w:r w:rsidRPr="003037D2">
        <w:rPr>
          <w:rFonts w:ascii="Garamond" w:eastAsia="Calibri" w:hAnsi="Garamond" w:cs="Arial"/>
        </w:rPr>
        <w:t>, highlighting for example ‘</w:t>
      </w:r>
      <w:r w:rsidRPr="003037D2">
        <w:rPr>
          <w:rFonts w:ascii="Garamond" w:eastAsia="Calibri" w:hAnsi="Garamond" w:cs="Arial"/>
          <w:i/>
        </w:rPr>
        <w:t xml:space="preserve">Anno </w:t>
      </w:r>
      <w:r w:rsidRPr="003037D2">
        <w:rPr>
          <w:rFonts w:ascii="Garamond" w:eastAsia="Calibri" w:hAnsi="Garamond" w:cs="Arial"/>
        </w:rPr>
        <w:t>1607 Bible began to be translated’ , and then in 1611 ‘The New Translation of the Bible finished’.</w:t>
      </w:r>
      <w:r w:rsidRPr="003037D2">
        <w:rPr>
          <w:rFonts w:ascii="Garamond" w:eastAsia="Calibri" w:hAnsi="Garamond" w:cs="Arial"/>
          <w:vertAlign w:val="superscript"/>
        </w:rPr>
        <w:footnoteReference w:id="147"/>
      </w:r>
      <w:r w:rsidRPr="003037D2">
        <w:rPr>
          <w:rFonts w:ascii="Garamond" w:eastAsia="Calibri" w:hAnsi="Garamond" w:cs="Arial"/>
        </w:rPr>
        <w:t xml:space="preserve"> The ‘Kings Concessions </w:t>
      </w:r>
      <w:r w:rsidRPr="003037D2">
        <w:rPr>
          <w:rFonts w:ascii="Garamond" w:eastAsia="Calibri" w:hAnsi="Garamond" w:cs="Arial"/>
        </w:rPr>
        <w:lastRenderedPageBreak/>
        <w:t>voted satisfactory by the Parliament’ on 3</w:t>
      </w:r>
      <w:r w:rsidRPr="003037D2">
        <w:rPr>
          <w:rFonts w:ascii="Garamond" w:eastAsia="Calibri" w:hAnsi="Garamond" w:cs="Arial"/>
          <w:vertAlign w:val="superscript"/>
        </w:rPr>
        <w:t>rd</w:t>
      </w:r>
      <w:r w:rsidRPr="003037D2">
        <w:rPr>
          <w:rFonts w:ascii="Garamond" w:eastAsia="Calibri" w:hAnsi="Garamond" w:cs="Arial"/>
        </w:rPr>
        <w:t xml:space="preserve"> December 1648 is marked with an emphatic </w:t>
      </w:r>
      <w:proofErr w:type="spellStart"/>
      <w:r w:rsidRPr="003037D2">
        <w:rPr>
          <w:rFonts w:ascii="Garamond" w:eastAsia="Calibri" w:hAnsi="Garamond" w:cs="Arial"/>
        </w:rPr>
        <w:t>manicule</w:t>
      </w:r>
      <w:proofErr w:type="spellEnd"/>
      <w:r w:rsidRPr="003037D2">
        <w:rPr>
          <w:rFonts w:ascii="Garamond" w:eastAsia="Calibri" w:hAnsi="Garamond" w:cs="Arial"/>
        </w:rPr>
        <w:t>.</w:t>
      </w:r>
      <w:r w:rsidRPr="003037D2">
        <w:rPr>
          <w:rFonts w:ascii="Garamond" w:eastAsia="Calibri" w:hAnsi="Garamond" w:cs="Arial"/>
          <w:vertAlign w:val="superscript"/>
        </w:rPr>
        <w:footnoteReference w:id="148"/>
      </w:r>
      <w:r w:rsidRPr="003037D2">
        <w:rPr>
          <w:rFonts w:ascii="Garamond" w:eastAsia="Calibri" w:hAnsi="Garamond" w:cs="Arial"/>
        </w:rPr>
        <w:t xml:space="preserve"> At the end of the volume, the annotator has underlined entries in a list of ‘Books worth buying</w:t>
      </w:r>
      <w:r w:rsidR="00C03F06" w:rsidRPr="003037D2">
        <w:rPr>
          <w:rFonts w:ascii="Garamond" w:eastAsia="Calibri" w:hAnsi="Garamond" w:cs="Arial"/>
        </w:rPr>
        <w:t>’</w:t>
      </w:r>
      <w:r w:rsidRPr="003037D2">
        <w:rPr>
          <w:rFonts w:ascii="Garamond" w:eastAsia="Calibri" w:hAnsi="Garamond" w:cs="Arial"/>
        </w:rPr>
        <w:t xml:space="preserve">, noting his intention to buy ‘The </w:t>
      </w:r>
      <w:r w:rsidRPr="003037D2">
        <w:rPr>
          <w:rFonts w:ascii="Garamond" w:eastAsia="Calibri" w:hAnsi="Garamond" w:cs="Arial"/>
          <w:i/>
        </w:rPr>
        <w:t xml:space="preserve">Modern </w:t>
      </w:r>
      <w:proofErr w:type="spellStart"/>
      <w:r w:rsidRPr="003037D2">
        <w:rPr>
          <w:rFonts w:ascii="Garamond" w:eastAsia="Calibri" w:hAnsi="Garamond" w:cs="Arial"/>
          <w:i/>
        </w:rPr>
        <w:t>Assurancer</w:t>
      </w:r>
      <w:proofErr w:type="spellEnd"/>
      <w:r w:rsidRPr="003037D2">
        <w:rPr>
          <w:rFonts w:ascii="Garamond" w:eastAsia="Calibri" w:hAnsi="Garamond" w:cs="Arial"/>
          <w:i/>
        </w:rPr>
        <w:t xml:space="preserve">, </w:t>
      </w:r>
      <w:r w:rsidRPr="003037D2">
        <w:rPr>
          <w:rFonts w:ascii="Garamond" w:eastAsia="Calibri" w:hAnsi="Garamond" w:cs="Arial"/>
        </w:rPr>
        <w:t xml:space="preserve">or </w:t>
      </w:r>
      <w:r w:rsidRPr="003037D2">
        <w:rPr>
          <w:rFonts w:ascii="Garamond" w:eastAsia="Calibri" w:hAnsi="Garamond" w:cs="Arial"/>
          <w:i/>
        </w:rPr>
        <w:t>The Clerks Directory..</w:t>
      </w:r>
      <w:r w:rsidRPr="003037D2">
        <w:rPr>
          <w:rFonts w:ascii="Garamond" w:eastAsia="Calibri" w:hAnsi="Garamond" w:cs="Arial"/>
        </w:rPr>
        <w:t xml:space="preserve">. By </w:t>
      </w:r>
      <w:r w:rsidRPr="003037D2">
        <w:rPr>
          <w:rFonts w:ascii="Garamond" w:eastAsia="Calibri" w:hAnsi="Garamond" w:cs="Arial"/>
          <w:i/>
        </w:rPr>
        <w:t xml:space="preserve">J. Herne’ </w:t>
      </w:r>
      <w:r w:rsidRPr="003037D2">
        <w:rPr>
          <w:rFonts w:ascii="Garamond" w:eastAsia="Calibri" w:hAnsi="Garamond" w:cs="Arial"/>
        </w:rPr>
        <w:t xml:space="preserve">and ‘A perfect View of </w:t>
      </w:r>
      <w:proofErr w:type="spellStart"/>
      <w:r w:rsidRPr="003037D2">
        <w:rPr>
          <w:rFonts w:ascii="Garamond" w:eastAsia="Calibri" w:hAnsi="Garamond" w:cs="Arial"/>
        </w:rPr>
        <w:t>Mosaical</w:t>
      </w:r>
      <w:proofErr w:type="spellEnd"/>
      <w:r w:rsidRPr="003037D2">
        <w:rPr>
          <w:rFonts w:ascii="Garamond" w:eastAsia="Calibri" w:hAnsi="Garamond" w:cs="Arial"/>
        </w:rPr>
        <w:t xml:space="preserve"> </w:t>
      </w:r>
      <w:proofErr w:type="spellStart"/>
      <w:r w:rsidRPr="003037D2">
        <w:rPr>
          <w:rFonts w:ascii="Garamond" w:eastAsia="Calibri" w:hAnsi="Garamond" w:cs="Arial"/>
        </w:rPr>
        <w:t>Philosphy</w:t>
      </w:r>
      <w:proofErr w:type="spellEnd"/>
      <w:r w:rsidRPr="003037D2">
        <w:rPr>
          <w:rFonts w:ascii="Garamond" w:eastAsia="Calibri" w:hAnsi="Garamond" w:cs="Arial"/>
        </w:rPr>
        <w:t xml:space="preserve">, by </w:t>
      </w:r>
      <w:r w:rsidRPr="003037D2">
        <w:rPr>
          <w:rFonts w:ascii="Garamond" w:eastAsia="Calibri" w:hAnsi="Garamond" w:cs="Arial"/>
          <w:i/>
        </w:rPr>
        <w:t xml:space="preserve">Rob: </w:t>
      </w:r>
      <w:proofErr w:type="spellStart"/>
      <w:r w:rsidRPr="003037D2">
        <w:rPr>
          <w:rFonts w:ascii="Garamond" w:eastAsia="Calibri" w:hAnsi="Garamond" w:cs="Arial"/>
          <w:i/>
        </w:rPr>
        <w:t>Flud</w:t>
      </w:r>
      <w:proofErr w:type="spellEnd"/>
      <w:r w:rsidRPr="003037D2">
        <w:rPr>
          <w:rFonts w:ascii="Garamond" w:eastAsia="Calibri" w:hAnsi="Garamond" w:cs="Arial"/>
          <w:i/>
        </w:rPr>
        <w:t xml:space="preserve"> </w:t>
      </w:r>
      <w:r w:rsidRPr="003037D2">
        <w:rPr>
          <w:rFonts w:ascii="Garamond" w:eastAsia="Calibri" w:hAnsi="Garamond" w:cs="Arial"/>
        </w:rPr>
        <w:t>Esq and Doctor of Physick’.</w:t>
      </w:r>
      <w:r w:rsidRPr="003037D2">
        <w:rPr>
          <w:rFonts w:ascii="Garamond" w:eastAsia="Calibri" w:hAnsi="Garamond" w:cs="Arial"/>
          <w:vertAlign w:val="superscript"/>
        </w:rPr>
        <w:footnoteReference w:id="149"/>
      </w:r>
      <w:r w:rsidRPr="003037D2">
        <w:rPr>
          <w:rFonts w:ascii="Garamond" w:eastAsia="Calibri" w:hAnsi="Garamond" w:cs="Arial"/>
        </w:rPr>
        <w:t xml:space="preserve">  These notes provide an insight into the life of a politically engaged individual, interested in tracking the movements of their own family against wide cosmological occurrences. </w:t>
      </w:r>
    </w:p>
    <w:p w14:paraId="683C0345" w14:textId="77777777" w:rsidR="00162224" w:rsidRPr="003037D2" w:rsidRDefault="00162224" w:rsidP="00162224">
      <w:pPr>
        <w:spacing w:line="360" w:lineRule="auto"/>
        <w:ind w:right="567" w:firstLine="720"/>
        <w:rPr>
          <w:rFonts w:ascii="Garamond" w:eastAsia="Calibri" w:hAnsi="Garamond" w:cs="Arial"/>
        </w:rPr>
      </w:pPr>
    </w:p>
    <w:p w14:paraId="61564AFA" w14:textId="0FB8E332"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t>Much has been made of the almanacs’ ephemerality: Bernard Capp details how after their year of use, almanacs were often used as toilet paper, to light tobacco, to line pie pots and stop mustard bottles.</w:t>
      </w:r>
      <w:r w:rsidRPr="003037D2">
        <w:rPr>
          <w:rFonts w:ascii="Garamond" w:eastAsia="Calibri" w:hAnsi="Garamond" w:cs="Arial"/>
          <w:vertAlign w:val="superscript"/>
        </w:rPr>
        <w:footnoteReference w:id="150"/>
      </w:r>
      <w:r w:rsidRPr="003037D2">
        <w:rPr>
          <w:rFonts w:ascii="Garamond" w:eastAsia="Calibri" w:hAnsi="Garamond" w:cs="Arial"/>
        </w:rPr>
        <w:t xml:space="preserve"> In Willem </w:t>
      </w:r>
      <w:proofErr w:type="spellStart"/>
      <w:r w:rsidRPr="003037D2">
        <w:rPr>
          <w:rFonts w:ascii="Garamond" w:eastAsia="Calibri" w:hAnsi="Garamond" w:cs="Arial"/>
        </w:rPr>
        <w:t>Claesz</w:t>
      </w:r>
      <w:proofErr w:type="spellEnd"/>
      <w:r w:rsidRPr="003037D2">
        <w:rPr>
          <w:rFonts w:ascii="Garamond" w:eastAsia="Calibri" w:hAnsi="Garamond" w:cs="Arial"/>
        </w:rPr>
        <w:t xml:space="preserve"> </w:t>
      </w:r>
      <w:proofErr w:type="spellStart"/>
      <w:r w:rsidRPr="003037D2">
        <w:rPr>
          <w:rFonts w:ascii="Garamond" w:eastAsia="Calibri" w:hAnsi="Garamond" w:cs="Arial"/>
        </w:rPr>
        <w:t>Heda’s</w:t>
      </w:r>
      <w:proofErr w:type="spellEnd"/>
      <w:r w:rsidRPr="003037D2">
        <w:rPr>
          <w:rFonts w:ascii="Garamond" w:eastAsia="Calibri" w:hAnsi="Garamond" w:cs="Arial"/>
        </w:rPr>
        <w:t xml:space="preserve"> ‘Still Life with a Gilt Cup’ and Pieter </w:t>
      </w:r>
      <w:proofErr w:type="spellStart"/>
      <w:r w:rsidRPr="003037D2">
        <w:rPr>
          <w:rFonts w:ascii="Garamond" w:eastAsia="Calibri" w:hAnsi="Garamond" w:cs="Arial"/>
        </w:rPr>
        <w:t>Claesz’s</w:t>
      </w:r>
      <w:proofErr w:type="spellEnd"/>
      <w:r w:rsidRPr="003037D2">
        <w:rPr>
          <w:rFonts w:ascii="Garamond" w:eastAsia="Calibri" w:hAnsi="Garamond" w:cs="Arial"/>
        </w:rPr>
        <w:t xml:space="preserve"> ‘Still Life with a Turkey Leg’, cones of paper that look suspiciously as though they’ve been torn from almanacs hold salt and pepper, to sprinkle on oysters and meat respectively.</w:t>
      </w:r>
      <w:r w:rsidRPr="003037D2">
        <w:rPr>
          <w:rFonts w:ascii="Garamond" w:eastAsia="Calibri" w:hAnsi="Garamond" w:cs="Arial"/>
          <w:vertAlign w:val="superscript"/>
        </w:rPr>
        <w:footnoteReference w:id="151"/>
      </w:r>
      <w:r w:rsidRPr="003037D2">
        <w:rPr>
          <w:rFonts w:ascii="Garamond" w:eastAsia="Calibri" w:hAnsi="Garamond" w:cs="Arial"/>
        </w:rPr>
        <w:t xml:space="preserve"> These small scraps of paper litter Dutch still-life paintings, which gather together many symbols of the impermanence of life. Adam Smyth argues that almanacs have ‘a kind of proud and explicit ephemerality’ as their title pages affixed them to a particular year.</w:t>
      </w:r>
      <w:r w:rsidRPr="003037D2">
        <w:rPr>
          <w:rFonts w:ascii="Garamond" w:eastAsia="Calibri" w:hAnsi="Garamond" w:cs="Arial"/>
          <w:vertAlign w:val="superscript"/>
        </w:rPr>
        <w:footnoteReference w:id="152"/>
      </w:r>
      <w:r w:rsidRPr="003037D2">
        <w:rPr>
          <w:rFonts w:ascii="Garamond" w:eastAsia="Calibri" w:hAnsi="Garamond" w:cs="Arial"/>
        </w:rPr>
        <w:t xml:space="preserve"> This ephemerality would have been attractive to the compilers and publishers: if almanacs are thrown away at the end of each year then they will need to be replaced. To keep costs down printers and compilers often reused wholesale aspects of the almanacs such as lists of tide times, dates of fairs, and medical guidance, able to sell again the same material to an almanac-hungry public.</w:t>
      </w:r>
      <w:r w:rsidRPr="003037D2">
        <w:rPr>
          <w:rFonts w:ascii="Garamond" w:eastAsia="Calibri" w:hAnsi="Garamond" w:cs="Arial"/>
          <w:vertAlign w:val="superscript"/>
        </w:rPr>
        <w:footnoteReference w:id="153"/>
      </w:r>
      <w:r w:rsidRPr="003037D2">
        <w:rPr>
          <w:rFonts w:ascii="Garamond" w:eastAsia="Calibri" w:hAnsi="Garamond" w:cs="Arial"/>
        </w:rPr>
        <w:t xml:space="preserve"> However, not all annotators heeded this ephemerality. In several almanacs I examined, there was evidence of people using them to make notes over several years, in some cases decades. </w:t>
      </w:r>
    </w:p>
    <w:p w14:paraId="46873BA7" w14:textId="77777777" w:rsidR="00162224" w:rsidRPr="003037D2" w:rsidRDefault="00162224" w:rsidP="00162224">
      <w:pPr>
        <w:spacing w:line="360" w:lineRule="auto"/>
        <w:ind w:firstLine="720"/>
        <w:rPr>
          <w:rFonts w:ascii="Garamond" w:eastAsia="Calibri" w:hAnsi="Garamond" w:cs="Arial"/>
        </w:rPr>
      </w:pPr>
    </w:p>
    <w:p w14:paraId="4D083F8C" w14:textId="77777777" w:rsidR="00162224" w:rsidRPr="003037D2" w:rsidRDefault="00162224" w:rsidP="00162224">
      <w:pPr>
        <w:keepNext/>
        <w:keepLines/>
        <w:numPr>
          <w:ilvl w:val="0"/>
          <w:numId w:val="24"/>
        </w:numPr>
        <w:spacing w:before="40" w:line="360" w:lineRule="auto"/>
        <w:outlineLvl w:val="2"/>
        <w:rPr>
          <w:rFonts w:ascii="Garamond" w:eastAsia="DengXian Light" w:hAnsi="Garamond" w:cs="Times New Roman"/>
          <w:color w:val="000000"/>
        </w:rPr>
      </w:pPr>
      <w:bookmarkStart w:id="12" w:name="_Toc3967165"/>
      <w:r w:rsidRPr="003037D2">
        <w:rPr>
          <w:rFonts w:ascii="Garamond" w:eastAsia="DengXian Light" w:hAnsi="Garamond" w:cs="Times New Roman"/>
          <w:color w:val="000000"/>
        </w:rPr>
        <w:t>Productive Time</w:t>
      </w:r>
      <w:bookmarkEnd w:id="12"/>
      <w:r w:rsidRPr="003037D2">
        <w:rPr>
          <w:rFonts w:ascii="Garamond" w:eastAsia="DengXian Light" w:hAnsi="Garamond" w:cs="Times New Roman"/>
          <w:color w:val="000000"/>
        </w:rPr>
        <w:t xml:space="preserve"> </w:t>
      </w:r>
    </w:p>
    <w:p w14:paraId="507ABB72" w14:textId="77777777" w:rsidR="00162224" w:rsidRPr="003037D2" w:rsidRDefault="00162224" w:rsidP="00162224">
      <w:pPr>
        <w:spacing w:line="360" w:lineRule="auto"/>
        <w:rPr>
          <w:rFonts w:ascii="Garamond" w:eastAsia="Calibri" w:hAnsi="Garamond" w:cs="Arial"/>
        </w:rPr>
      </w:pPr>
    </w:p>
    <w:p w14:paraId="0F75D93C" w14:textId="5CEC62CB"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t xml:space="preserve">The 1611 </w:t>
      </w:r>
      <w:r w:rsidRPr="003037D2">
        <w:rPr>
          <w:rFonts w:ascii="Garamond" w:eastAsia="Calibri" w:hAnsi="Garamond" w:cs="Arial"/>
          <w:i/>
          <w:iCs/>
        </w:rPr>
        <w:t xml:space="preserve">King James Bible </w:t>
      </w:r>
      <w:r w:rsidRPr="003037D2">
        <w:rPr>
          <w:rFonts w:ascii="Garamond" w:eastAsia="Calibri" w:hAnsi="Garamond" w:cs="Arial"/>
        </w:rPr>
        <w:t xml:space="preserve">provided a translation of Proverbs 15.19 that attacked indolence, ‘the way of the slothful man is a hedge of thorns; but the way of the righteous is made plain’. Activity is transformed into space – in this case detailing the </w:t>
      </w:r>
      <w:r w:rsidRPr="003037D2">
        <w:rPr>
          <w:rFonts w:ascii="Garamond" w:eastAsia="Calibri" w:hAnsi="Garamond" w:cs="Arial"/>
        </w:rPr>
        <w:lastRenderedPageBreak/>
        <w:t>path to heaven. This religious attack on idleness was trans</w:t>
      </w:r>
      <w:r w:rsidR="004F590E">
        <w:rPr>
          <w:rFonts w:ascii="Garamond" w:eastAsia="Calibri" w:hAnsi="Garamond" w:cs="Arial"/>
        </w:rPr>
        <w:t>lated by many early seventeenth-</w:t>
      </w:r>
      <w:r w:rsidRPr="003037D2">
        <w:rPr>
          <w:rFonts w:ascii="Garamond" w:eastAsia="Calibri" w:hAnsi="Garamond" w:cs="Arial"/>
        </w:rPr>
        <w:t xml:space="preserve">century commentators into a </w:t>
      </w:r>
      <w:proofErr w:type="spellStart"/>
      <w:r w:rsidRPr="003037D2">
        <w:rPr>
          <w:rFonts w:ascii="Garamond" w:eastAsia="Calibri" w:hAnsi="Garamond" w:cs="Arial"/>
        </w:rPr>
        <w:t>valorisation</w:t>
      </w:r>
      <w:proofErr w:type="spellEnd"/>
      <w:r w:rsidRPr="003037D2">
        <w:rPr>
          <w:rFonts w:ascii="Garamond" w:eastAsia="Calibri" w:hAnsi="Garamond" w:cs="Arial"/>
        </w:rPr>
        <w:t xml:space="preserve"> of </w:t>
      </w:r>
      <w:proofErr w:type="spellStart"/>
      <w:r w:rsidRPr="003037D2">
        <w:rPr>
          <w:rFonts w:ascii="Garamond" w:eastAsia="Calibri" w:hAnsi="Garamond" w:cs="Arial"/>
        </w:rPr>
        <w:t>labour</w:t>
      </w:r>
      <w:proofErr w:type="spellEnd"/>
      <w:r w:rsidRPr="003037D2">
        <w:rPr>
          <w:rFonts w:ascii="Garamond" w:eastAsia="Calibri" w:hAnsi="Garamond" w:cs="Arial"/>
        </w:rPr>
        <w:t xml:space="preserve">. The simple link drawn between a rise in Protestantism and capitalism outlined by Thompson and Weber has been complicated by more recent historical work. Jan De Vries proposes that in the first half of the seventeenth century, increasing availability of luxury goods due to international travel and trade resulted in new </w:t>
      </w:r>
      <w:r w:rsidRPr="003037D2">
        <w:rPr>
          <w:rFonts w:ascii="Garamond" w:eastAsia="Calibri" w:hAnsi="Garamond" w:cs="Arial"/>
          <w:i/>
        </w:rPr>
        <w:t xml:space="preserve">desires </w:t>
      </w:r>
      <w:r w:rsidRPr="003037D2">
        <w:rPr>
          <w:rFonts w:ascii="Garamond" w:eastAsia="Calibri" w:hAnsi="Garamond" w:cs="Arial"/>
        </w:rPr>
        <w:t>in the middling sort.</w:t>
      </w:r>
      <w:r w:rsidRPr="003037D2">
        <w:rPr>
          <w:rFonts w:ascii="Garamond" w:eastAsia="Calibri" w:hAnsi="Garamond" w:cs="Arial"/>
          <w:vertAlign w:val="superscript"/>
        </w:rPr>
        <w:footnoteReference w:id="154"/>
      </w:r>
      <w:r w:rsidRPr="003037D2">
        <w:rPr>
          <w:rFonts w:ascii="Garamond" w:eastAsia="Calibri" w:hAnsi="Garamond" w:cs="Arial"/>
        </w:rPr>
        <w:t xml:space="preserve"> Man becomes a ‘desiring subject’, and </w:t>
      </w:r>
      <w:r w:rsidR="002F1250">
        <w:rPr>
          <w:rFonts w:ascii="Garamond" w:eastAsia="Calibri" w:hAnsi="Garamond" w:cs="Arial"/>
        </w:rPr>
        <w:t>his ‘subjectivity is shaped by “desire”</w:t>
      </w:r>
      <w:r w:rsidRPr="003037D2">
        <w:rPr>
          <w:rFonts w:ascii="Garamond" w:eastAsia="Calibri" w:hAnsi="Garamond" w:cs="Arial"/>
        </w:rPr>
        <w:t xml:space="preserve"> as a fundamental aspect of the self’.</w:t>
      </w:r>
      <w:r w:rsidRPr="003037D2">
        <w:rPr>
          <w:rFonts w:ascii="Garamond" w:eastAsia="Calibri" w:hAnsi="Garamond" w:cs="Arial"/>
          <w:vertAlign w:val="superscript"/>
        </w:rPr>
        <w:footnoteReference w:id="155"/>
      </w:r>
      <w:r w:rsidRPr="003037D2">
        <w:rPr>
          <w:rFonts w:ascii="Garamond" w:eastAsia="Calibri" w:hAnsi="Garamond" w:cs="Arial"/>
        </w:rPr>
        <w:t xml:space="preserve">  In a 2014 article </w:t>
      </w:r>
      <w:proofErr w:type="spellStart"/>
      <w:r w:rsidRPr="003037D2">
        <w:rPr>
          <w:rFonts w:ascii="Garamond" w:eastAsia="Calibri" w:hAnsi="Garamond" w:cs="Arial"/>
        </w:rPr>
        <w:t>utilising</w:t>
      </w:r>
      <w:proofErr w:type="spellEnd"/>
      <w:r w:rsidRPr="003037D2">
        <w:rPr>
          <w:rFonts w:ascii="Garamond" w:eastAsia="Calibri" w:hAnsi="Garamond" w:cs="Arial"/>
        </w:rPr>
        <w:t xml:space="preserve"> corpus linguistics to track the word ‘industrious’ in English literature, Alexis </w:t>
      </w:r>
      <w:proofErr w:type="spellStart"/>
      <w:r w:rsidRPr="003037D2">
        <w:rPr>
          <w:rFonts w:ascii="Garamond" w:eastAsia="Calibri" w:hAnsi="Garamond" w:cs="Arial"/>
        </w:rPr>
        <w:t>Litvine</w:t>
      </w:r>
      <w:proofErr w:type="spellEnd"/>
      <w:r w:rsidRPr="003037D2">
        <w:rPr>
          <w:rFonts w:ascii="Garamond" w:eastAsia="Calibri" w:hAnsi="Garamond" w:cs="Arial"/>
        </w:rPr>
        <w:t xml:space="preserve"> argues that de Vries and Deirdre McCloskey’s attempts to situate the ‘industrious revolution’ in the seventeenth century fail to provide convincing accounts of the motivators for this change in culture. </w:t>
      </w:r>
      <w:proofErr w:type="spellStart"/>
      <w:r w:rsidRPr="003037D2">
        <w:rPr>
          <w:rFonts w:ascii="Garamond" w:eastAsia="Calibri" w:hAnsi="Garamond" w:cs="Arial"/>
        </w:rPr>
        <w:t>Litvine</w:t>
      </w:r>
      <w:proofErr w:type="spellEnd"/>
      <w:r w:rsidRPr="003037D2">
        <w:rPr>
          <w:rFonts w:ascii="Garamond" w:eastAsia="Calibri" w:hAnsi="Garamond" w:cs="Arial"/>
        </w:rPr>
        <w:t xml:space="preserve"> argues that de Vries’s explanation for the emergence of capitalism, despite ostensibly rejecting Marxian economic determinism, still lacks a historical explanation other than cultural determinism.</w:t>
      </w:r>
      <w:r w:rsidRPr="003037D2">
        <w:rPr>
          <w:rFonts w:ascii="Garamond" w:eastAsia="Calibri" w:hAnsi="Garamond" w:cs="Arial"/>
          <w:vertAlign w:val="superscript"/>
        </w:rPr>
        <w:footnoteReference w:id="156"/>
      </w:r>
      <w:r w:rsidRPr="003037D2">
        <w:rPr>
          <w:rFonts w:ascii="Garamond" w:eastAsia="Calibri" w:hAnsi="Garamond" w:cs="Arial"/>
        </w:rPr>
        <w:t xml:space="preserve"> Similarly, </w:t>
      </w:r>
      <w:proofErr w:type="spellStart"/>
      <w:r w:rsidRPr="003037D2">
        <w:rPr>
          <w:rFonts w:ascii="Garamond" w:eastAsia="Calibri" w:hAnsi="Garamond" w:cs="Arial"/>
        </w:rPr>
        <w:t>Litvine</w:t>
      </w:r>
      <w:proofErr w:type="spellEnd"/>
      <w:r w:rsidRPr="003037D2">
        <w:rPr>
          <w:rFonts w:ascii="Garamond" w:eastAsia="Calibri" w:hAnsi="Garamond" w:cs="Arial"/>
        </w:rPr>
        <w:t xml:space="preserve"> suggests that McCloskey’s argument that ‘the market economy… has existed since the caves’ and that the Industrial Revolution was predicated on the development of ‘bourgeois dignity’ relies on a teleological narrative of individual acceptance’.</w:t>
      </w:r>
      <w:r w:rsidRPr="003037D2">
        <w:rPr>
          <w:rFonts w:ascii="Garamond" w:eastAsia="Calibri" w:hAnsi="Garamond" w:cs="Arial"/>
          <w:vertAlign w:val="superscript"/>
        </w:rPr>
        <w:footnoteReference w:id="157"/>
      </w:r>
      <w:r w:rsidRPr="003037D2">
        <w:rPr>
          <w:rFonts w:ascii="Garamond" w:eastAsia="Calibri" w:hAnsi="Garamond" w:cs="Arial"/>
        </w:rPr>
        <w:t xml:space="preserve"> </w:t>
      </w:r>
      <w:proofErr w:type="spellStart"/>
      <w:r w:rsidRPr="003037D2">
        <w:rPr>
          <w:rFonts w:ascii="Garamond" w:eastAsia="Calibri" w:hAnsi="Garamond" w:cs="Arial"/>
        </w:rPr>
        <w:t>Litvine’s</w:t>
      </w:r>
      <w:proofErr w:type="spellEnd"/>
      <w:r w:rsidRPr="003037D2">
        <w:rPr>
          <w:rFonts w:ascii="Garamond" w:eastAsia="Calibri" w:hAnsi="Garamond" w:cs="Arial"/>
        </w:rPr>
        <w:t xml:space="preserve"> corpus analysis reveals that prior to the 1590s there are few references to industriousness.  When this language was used in the sixteenth century, there was no significant religious divide; John Foxe, the Catholic Thomas </w:t>
      </w:r>
      <w:proofErr w:type="spellStart"/>
      <w:r w:rsidRPr="003037D2">
        <w:rPr>
          <w:rFonts w:ascii="Garamond" w:eastAsia="Calibri" w:hAnsi="Garamond" w:cs="Arial"/>
        </w:rPr>
        <w:t>Blout</w:t>
      </w:r>
      <w:proofErr w:type="spellEnd"/>
      <w:r w:rsidRPr="003037D2">
        <w:rPr>
          <w:rFonts w:ascii="Garamond" w:eastAsia="Calibri" w:hAnsi="Garamond" w:cs="Arial"/>
        </w:rPr>
        <w:t xml:space="preserve">, and Puritan Robert </w:t>
      </w:r>
      <w:proofErr w:type="spellStart"/>
      <w:r w:rsidRPr="003037D2">
        <w:rPr>
          <w:rFonts w:ascii="Garamond" w:eastAsia="Calibri" w:hAnsi="Garamond" w:cs="Arial"/>
        </w:rPr>
        <w:t>Cawdrey</w:t>
      </w:r>
      <w:proofErr w:type="spellEnd"/>
      <w:r w:rsidRPr="003037D2">
        <w:rPr>
          <w:rFonts w:ascii="Garamond" w:eastAsia="Calibri" w:hAnsi="Garamond" w:cs="Arial"/>
        </w:rPr>
        <w:t xml:space="preserve"> referred to industry in similar ways.</w:t>
      </w:r>
      <w:r w:rsidRPr="003037D2">
        <w:rPr>
          <w:rFonts w:ascii="Garamond" w:eastAsia="Calibri" w:hAnsi="Garamond" w:cs="Arial"/>
          <w:vertAlign w:val="superscript"/>
        </w:rPr>
        <w:footnoteReference w:id="158"/>
      </w:r>
      <w:r w:rsidRPr="003037D2">
        <w:rPr>
          <w:rFonts w:ascii="Garamond" w:eastAsia="Calibri" w:hAnsi="Garamond" w:cs="Arial"/>
        </w:rPr>
        <w:t xml:space="preserve"> </w:t>
      </w:r>
      <w:proofErr w:type="spellStart"/>
      <w:r w:rsidRPr="003037D2">
        <w:rPr>
          <w:rFonts w:ascii="Garamond" w:eastAsia="Calibri" w:hAnsi="Garamond" w:cs="Arial"/>
        </w:rPr>
        <w:t>Litvine</w:t>
      </w:r>
      <w:proofErr w:type="spellEnd"/>
      <w:r w:rsidRPr="003037D2">
        <w:rPr>
          <w:rFonts w:ascii="Garamond" w:eastAsia="Calibri" w:hAnsi="Garamond" w:cs="Arial"/>
        </w:rPr>
        <w:t xml:space="preserve"> notes a spike in the use of terms of industry in the first decades of the seventeenth century, one which draws on a ‘renewed’ moral sense of industry. Merchants were particularly effective and conspicuous mouthpieces for this sentiment. Henry Montagu, previously director of the Virginia Company, proclaimed ‘the industrious man is </w:t>
      </w:r>
      <w:proofErr w:type="spellStart"/>
      <w:r w:rsidRPr="003037D2">
        <w:rPr>
          <w:rFonts w:ascii="Garamond" w:eastAsia="Calibri" w:hAnsi="Garamond" w:cs="Arial"/>
        </w:rPr>
        <w:t>seldome</w:t>
      </w:r>
      <w:proofErr w:type="spellEnd"/>
      <w:r w:rsidRPr="003037D2">
        <w:rPr>
          <w:rFonts w:ascii="Garamond" w:eastAsia="Calibri" w:hAnsi="Garamond" w:cs="Arial"/>
        </w:rPr>
        <w:t xml:space="preserve"> at leisure to </w:t>
      </w:r>
      <w:proofErr w:type="spellStart"/>
      <w:r w:rsidRPr="003037D2">
        <w:rPr>
          <w:rFonts w:ascii="Garamond" w:eastAsia="Calibri" w:hAnsi="Garamond" w:cs="Arial"/>
        </w:rPr>
        <w:t>sinne</w:t>
      </w:r>
      <w:proofErr w:type="spellEnd"/>
      <w:r w:rsidRPr="003037D2">
        <w:rPr>
          <w:rFonts w:ascii="Garamond" w:eastAsia="Calibri" w:hAnsi="Garamond" w:cs="Arial"/>
        </w:rPr>
        <w:t xml:space="preserve">; whereas the idle man hath neither leisure nor power to avoid </w:t>
      </w:r>
      <w:proofErr w:type="spellStart"/>
      <w:r w:rsidRPr="003037D2">
        <w:rPr>
          <w:rFonts w:ascii="Garamond" w:eastAsia="Calibri" w:hAnsi="Garamond" w:cs="Arial"/>
        </w:rPr>
        <w:t>sinne</w:t>
      </w:r>
      <w:proofErr w:type="spellEnd"/>
      <w:r w:rsidRPr="003037D2">
        <w:rPr>
          <w:rFonts w:ascii="Garamond" w:eastAsia="Calibri" w:hAnsi="Garamond" w:cs="Arial"/>
        </w:rPr>
        <w:t xml:space="preserve">. Industry in any calling makes a man capable of better </w:t>
      </w:r>
      <w:proofErr w:type="spellStart"/>
      <w:r w:rsidRPr="003037D2">
        <w:rPr>
          <w:rFonts w:ascii="Garamond" w:eastAsia="Calibri" w:hAnsi="Garamond" w:cs="Arial"/>
        </w:rPr>
        <w:t>imployment</w:t>
      </w:r>
      <w:proofErr w:type="spellEnd"/>
      <w:r w:rsidRPr="003037D2">
        <w:rPr>
          <w:rFonts w:ascii="Garamond" w:eastAsia="Calibri" w:hAnsi="Garamond" w:cs="Arial"/>
        </w:rPr>
        <w:t xml:space="preserve">, whereas Idles are fit for nothing but </w:t>
      </w:r>
      <w:proofErr w:type="gramStart"/>
      <w:r w:rsidRPr="003037D2">
        <w:rPr>
          <w:rFonts w:ascii="Garamond" w:eastAsia="Calibri" w:hAnsi="Garamond" w:cs="Arial"/>
        </w:rPr>
        <w:t>temptations’</w:t>
      </w:r>
      <w:proofErr w:type="gramEnd"/>
      <w:r w:rsidRPr="003037D2">
        <w:rPr>
          <w:rFonts w:ascii="Garamond" w:eastAsia="Calibri" w:hAnsi="Garamond" w:cs="Arial"/>
        </w:rPr>
        <w:t>.</w:t>
      </w:r>
      <w:r w:rsidRPr="003037D2">
        <w:rPr>
          <w:rFonts w:ascii="Garamond" w:eastAsia="Calibri" w:hAnsi="Garamond" w:cs="Arial"/>
          <w:vertAlign w:val="superscript"/>
        </w:rPr>
        <w:footnoteReference w:id="159"/>
      </w:r>
      <w:r w:rsidRPr="003037D2">
        <w:rPr>
          <w:rFonts w:ascii="Garamond" w:eastAsia="Calibri" w:hAnsi="Garamond" w:cs="Arial"/>
        </w:rPr>
        <w:t xml:space="preserve"> To constantly work, and put time to good use in ‘industry’ </w:t>
      </w:r>
      <w:proofErr w:type="spellStart"/>
      <w:r w:rsidRPr="003037D2">
        <w:rPr>
          <w:rFonts w:ascii="Garamond" w:eastAsia="Calibri" w:hAnsi="Garamond" w:cs="Arial"/>
        </w:rPr>
        <w:t>signalled</w:t>
      </w:r>
      <w:proofErr w:type="spellEnd"/>
      <w:r w:rsidRPr="003037D2">
        <w:rPr>
          <w:rFonts w:ascii="Garamond" w:eastAsia="Calibri" w:hAnsi="Garamond" w:cs="Arial"/>
        </w:rPr>
        <w:t xml:space="preserve"> virtue. </w:t>
      </w:r>
    </w:p>
    <w:p w14:paraId="371B9DF3" w14:textId="77777777" w:rsidR="00162224" w:rsidRPr="003037D2" w:rsidRDefault="00162224" w:rsidP="00162224">
      <w:pPr>
        <w:spacing w:line="360" w:lineRule="auto"/>
        <w:ind w:firstLine="720"/>
        <w:rPr>
          <w:rFonts w:ascii="Garamond" w:eastAsia="Calibri" w:hAnsi="Garamond" w:cs="Arial"/>
        </w:rPr>
      </w:pPr>
    </w:p>
    <w:p w14:paraId="3987543C" w14:textId="1CC7B2D7"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lastRenderedPageBreak/>
        <w:t xml:space="preserve">As discussed above, more than half of the annotated almanacs in the Huntington’s collection included financial notes. Returning to the 1648 Lilly almanac, the financial records take a variety of forms, from simple lists of money spent and received to more complex charts tracking types of </w:t>
      </w:r>
      <w:proofErr w:type="spellStart"/>
      <w:r w:rsidRPr="003037D2">
        <w:rPr>
          <w:rFonts w:ascii="Garamond" w:eastAsia="Calibri" w:hAnsi="Garamond" w:cs="Arial"/>
        </w:rPr>
        <w:t>labour</w:t>
      </w:r>
      <w:proofErr w:type="spellEnd"/>
      <w:r w:rsidRPr="003037D2">
        <w:rPr>
          <w:rFonts w:ascii="Garamond" w:eastAsia="Calibri" w:hAnsi="Garamond" w:cs="Arial"/>
        </w:rPr>
        <w:t xml:space="preserve">. On f. 14, the year is diagrammed out by the annotator, with details of different tasks such as ‘raking’ done each month. The results of </w:t>
      </w:r>
      <w:proofErr w:type="spellStart"/>
      <w:r w:rsidRPr="003037D2">
        <w:rPr>
          <w:rFonts w:ascii="Garamond" w:eastAsia="Calibri" w:hAnsi="Garamond" w:cs="Arial"/>
        </w:rPr>
        <w:t>labour</w:t>
      </w:r>
      <w:proofErr w:type="spellEnd"/>
      <w:r w:rsidRPr="003037D2">
        <w:rPr>
          <w:rFonts w:ascii="Garamond" w:eastAsia="Calibri" w:hAnsi="Garamond" w:cs="Arial"/>
        </w:rPr>
        <w:t xml:space="preserve"> are listed, such as the number of bushels of wheat harvested. This form of account keeping is of course </w:t>
      </w:r>
      <w:proofErr w:type="gramStart"/>
      <w:r w:rsidRPr="003037D2">
        <w:rPr>
          <w:rFonts w:ascii="Garamond" w:eastAsia="Calibri" w:hAnsi="Garamond" w:cs="Arial"/>
        </w:rPr>
        <w:t>practical, but</w:t>
      </w:r>
      <w:proofErr w:type="gramEnd"/>
      <w:r w:rsidRPr="003037D2">
        <w:rPr>
          <w:rFonts w:ascii="Garamond" w:eastAsia="Calibri" w:hAnsi="Garamond" w:cs="Arial"/>
        </w:rPr>
        <w:t xml:space="preserve"> could be also seen to hint at an anxious need to record one’s own productivity. In a guide to double-entry book keeping, readers are reassured that they would obtain ‘peace and rest of mind such as is looked for in another world’ by keeping their books in order.</w:t>
      </w:r>
      <w:r w:rsidRPr="003037D2">
        <w:rPr>
          <w:rFonts w:ascii="Garamond" w:eastAsia="Calibri" w:hAnsi="Garamond" w:cs="Arial"/>
          <w:vertAlign w:val="superscript"/>
        </w:rPr>
        <w:footnoteReference w:id="160"/>
      </w:r>
      <w:r w:rsidRPr="003037D2">
        <w:rPr>
          <w:rFonts w:ascii="Garamond" w:eastAsia="Calibri" w:hAnsi="Garamond" w:cs="Arial"/>
        </w:rPr>
        <w:t xml:space="preserve"> Many historians have discussed the rise of the ‘Protestant work-ethic’, the need to demonstrate one’s worth through ceaseless activity. In a letter written in 1608, John Donne </w:t>
      </w:r>
      <w:proofErr w:type="spellStart"/>
      <w:r w:rsidRPr="003037D2">
        <w:rPr>
          <w:rFonts w:ascii="Garamond" w:eastAsia="Calibri" w:hAnsi="Garamond" w:cs="Arial"/>
        </w:rPr>
        <w:t>emphasises</w:t>
      </w:r>
      <w:proofErr w:type="spellEnd"/>
      <w:r w:rsidRPr="003037D2">
        <w:rPr>
          <w:rFonts w:ascii="Garamond" w:eastAsia="Calibri" w:hAnsi="Garamond" w:cs="Arial"/>
        </w:rPr>
        <w:t xml:space="preserve"> his inability to ‘husband all [his] time’ writing, ‘Every Tuesday I make account that I turn a great hour-</w:t>
      </w:r>
      <w:proofErr w:type="gramStart"/>
      <w:r w:rsidRPr="003037D2">
        <w:rPr>
          <w:rFonts w:ascii="Garamond" w:eastAsia="Calibri" w:hAnsi="Garamond" w:cs="Arial"/>
        </w:rPr>
        <w:t>glass, and</w:t>
      </w:r>
      <w:proofErr w:type="gramEnd"/>
      <w:r w:rsidRPr="003037D2">
        <w:rPr>
          <w:rFonts w:ascii="Garamond" w:eastAsia="Calibri" w:hAnsi="Garamond" w:cs="Arial"/>
        </w:rPr>
        <w:t xml:space="preserve"> consider that a week’s life is run out since I went. But if I ask myself what I have done in that last watch, or would do in the next, I can say nothing’.</w:t>
      </w:r>
      <w:r w:rsidRPr="003037D2">
        <w:rPr>
          <w:rFonts w:ascii="Garamond" w:eastAsia="Calibri" w:hAnsi="Garamond" w:cs="Arial"/>
          <w:vertAlign w:val="superscript"/>
        </w:rPr>
        <w:footnoteReference w:id="161"/>
      </w:r>
      <w:r w:rsidRPr="003037D2">
        <w:rPr>
          <w:rFonts w:ascii="Garamond" w:eastAsia="Calibri" w:hAnsi="Garamond" w:cs="Arial"/>
        </w:rPr>
        <w:t xml:space="preserve">  In George Wharton’s 1654 almanac, the language of </w:t>
      </w:r>
      <w:proofErr w:type="spellStart"/>
      <w:r w:rsidRPr="003037D2">
        <w:rPr>
          <w:rFonts w:ascii="Garamond" w:eastAsia="Calibri" w:hAnsi="Garamond" w:cs="Arial"/>
        </w:rPr>
        <w:t>labour</w:t>
      </w:r>
      <w:proofErr w:type="spellEnd"/>
      <w:r w:rsidRPr="003037D2">
        <w:rPr>
          <w:rFonts w:ascii="Garamond" w:eastAsia="Calibri" w:hAnsi="Garamond" w:cs="Arial"/>
        </w:rPr>
        <w:t xml:space="preserve"> takes on cosmological and political significance. The poem for February describes the almanac compiler as a busy housewife: </w:t>
      </w:r>
    </w:p>
    <w:p w14:paraId="17B75D49" w14:textId="77777777" w:rsidR="00162224" w:rsidRPr="003037D2" w:rsidRDefault="00162224" w:rsidP="00162224">
      <w:pPr>
        <w:ind w:left="1440" w:firstLine="720"/>
        <w:rPr>
          <w:rFonts w:ascii="Garamond" w:eastAsia="Calibri" w:hAnsi="Garamond" w:cs="Arial"/>
        </w:rPr>
      </w:pPr>
      <w:r w:rsidRPr="003037D2">
        <w:rPr>
          <w:rFonts w:ascii="Garamond" w:eastAsia="Calibri" w:hAnsi="Garamond" w:cs="Arial"/>
        </w:rPr>
        <w:t xml:space="preserve">Fetch me a </w:t>
      </w:r>
      <w:r w:rsidRPr="003037D2">
        <w:rPr>
          <w:rFonts w:ascii="Garamond" w:eastAsia="Calibri" w:hAnsi="Garamond" w:cs="Arial"/>
          <w:i/>
          <w:iCs/>
        </w:rPr>
        <w:t xml:space="preserve">Ladder </w:t>
      </w:r>
      <w:r w:rsidRPr="003037D2">
        <w:rPr>
          <w:rFonts w:ascii="Garamond" w:eastAsia="Calibri" w:hAnsi="Garamond" w:cs="Arial"/>
        </w:rPr>
        <w:t xml:space="preserve">and a </w:t>
      </w:r>
      <w:r w:rsidRPr="003037D2">
        <w:rPr>
          <w:rFonts w:ascii="Garamond" w:eastAsia="Calibri" w:hAnsi="Garamond" w:cs="Arial"/>
          <w:i/>
          <w:iCs/>
        </w:rPr>
        <w:t xml:space="preserve">Broome, </w:t>
      </w:r>
      <w:r w:rsidRPr="003037D2">
        <w:rPr>
          <w:rFonts w:ascii="Garamond" w:eastAsia="Calibri" w:hAnsi="Garamond" w:cs="Arial"/>
        </w:rPr>
        <w:t xml:space="preserve">that I </w:t>
      </w:r>
    </w:p>
    <w:p w14:paraId="70828B0A" w14:textId="77777777" w:rsidR="00162224" w:rsidRPr="003037D2" w:rsidRDefault="00162224" w:rsidP="00162224">
      <w:pPr>
        <w:ind w:left="1440" w:firstLine="720"/>
        <w:rPr>
          <w:rFonts w:ascii="Garamond" w:eastAsia="Calibri" w:hAnsi="Garamond" w:cs="Arial"/>
        </w:rPr>
      </w:pPr>
      <w:r w:rsidRPr="003037D2">
        <w:rPr>
          <w:rFonts w:ascii="Garamond" w:eastAsia="Calibri" w:hAnsi="Garamond" w:cs="Arial"/>
        </w:rPr>
        <w:t xml:space="preserve">May sweep the </w:t>
      </w:r>
      <w:r w:rsidRPr="003037D2">
        <w:rPr>
          <w:rFonts w:ascii="Garamond" w:eastAsia="Calibri" w:hAnsi="Garamond" w:cs="Arial"/>
          <w:i/>
          <w:iCs/>
        </w:rPr>
        <w:t>Cob-</w:t>
      </w:r>
      <w:proofErr w:type="spellStart"/>
      <w:r w:rsidRPr="003037D2">
        <w:rPr>
          <w:rFonts w:ascii="Garamond" w:eastAsia="Calibri" w:hAnsi="Garamond" w:cs="Arial"/>
          <w:i/>
          <w:iCs/>
        </w:rPr>
        <w:t>webbes</w:t>
      </w:r>
      <w:proofErr w:type="spellEnd"/>
      <w:r w:rsidRPr="003037D2">
        <w:rPr>
          <w:rFonts w:ascii="Garamond" w:eastAsia="Calibri" w:hAnsi="Garamond" w:cs="Arial"/>
          <w:i/>
          <w:iCs/>
        </w:rPr>
        <w:t xml:space="preserve"> </w:t>
      </w:r>
      <w:r w:rsidRPr="003037D2">
        <w:rPr>
          <w:rFonts w:ascii="Garamond" w:eastAsia="Calibri" w:hAnsi="Garamond" w:cs="Arial"/>
        </w:rPr>
        <w:t xml:space="preserve">from the </w:t>
      </w:r>
      <w:proofErr w:type="spellStart"/>
      <w:r w:rsidRPr="003037D2">
        <w:rPr>
          <w:rFonts w:ascii="Garamond" w:eastAsia="Calibri" w:hAnsi="Garamond" w:cs="Arial"/>
        </w:rPr>
        <w:t>Azur’d</w:t>
      </w:r>
      <w:proofErr w:type="spellEnd"/>
      <w:r w:rsidRPr="003037D2">
        <w:rPr>
          <w:rFonts w:ascii="Garamond" w:eastAsia="Calibri" w:hAnsi="Garamond" w:cs="Arial"/>
        </w:rPr>
        <w:t xml:space="preserve"> skies </w:t>
      </w:r>
    </w:p>
    <w:p w14:paraId="5B1CF073" w14:textId="77777777" w:rsidR="00162224" w:rsidRPr="003037D2" w:rsidRDefault="00162224" w:rsidP="00162224">
      <w:pPr>
        <w:ind w:left="1440" w:firstLine="720"/>
        <w:rPr>
          <w:rFonts w:ascii="Garamond" w:eastAsia="Calibri" w:hAnsi="Garamond" w:cs="Arial"/>
        </w:rPr>
      </w:pPr>
      <w:r w:rsidRPr="003037D2">
        <w:rPr>
          <w:rFonts w:ascii="Garamond" w:eastAsia="Calibri" w:hAnsi="Garamond" w:cs="Arial"/>
        </w:rPr>
        <w:t xml:space="preserve">Dispatch the </w:t>
      </w:r>
      <w:r w:rsidRPr="003037D2">
        <w:rPr>
          <w:rFonts w:ascii="Garamond" w:eastAsia="Calibri" w:hAnsi="Garamond" w:cs="Arial"/>
          <w:i/>
          <w:iCs/>
        </w:rPr>
        <w:t xml:space="preserve">Fumes </w:t>
      </w:r>
      <w:r w:rsidRPr="003037D2">
        <w:rPr>
          <w:rFonts w:ascii="Garamond" w:eastAsia="Calibri" w:hAnsi="Garamond" w:cs="Arial"/>
        </w:rPr>
        <w:t xml:space="preserve">that Cloud the </w:t>
      </w:r>
      <w:proofErr w:type="spellStart"/>
      <w:r w:rsidRPr="003037D2">
        <w:rPr>
          <w:rFonts w:ascii="Garamond" w:eastAsia="Calibri" w:hAnsi="Garamond" w:cs="Arial"/>
        </w:rPr>
        <w:t>subtile</w:t>
      </w:r>
      <w:proofErr w:type="spellEnd"/>
      <w:r w:rsidRPr="003037D2">
        <w:rPr>
          <w:rFonts w:ascii="Garamond" w:eastAsia="Calibri" w:hAnsi="Garamond" w:cs="Arial"/>
        </w:rPr>
        <w:t xml:space="preserve"> Aire, </w:t>
      </w:r>
    </w:p>
    <w:p w14:paraId="00414253" w14:textId="77777777" w:rsidR="00162224" w:rsidRPr="003037D2" w:rsidRDefault="00162224" w:rsidP="00162224">
      <w:pPr>
        <w:ind w:left="1440" w:firstLine="720"/>
        <w:rPr>
          <w:rFonts w:ascii="Garamond" w:eastAsia="Calibri" w:hAnsi="Garamond" w:cs="Arial"/>
        </w:rPr>
      </w:pPr>
      <w:r w:rsidRPr="003037D2">
        <w:rPr>
          <w:rFonts w:ascii="Garamond" w:eastAsia="Calibri" w:hAnsi="Garamond" w:cs="Arial"/>
        </w:rPr>
        <w:t xml:space="preserve">And make the </w:t>
      </w:r>
      <w:proofErr w:type="spellStart"/>
      <w:r w:rsidRPr="003037D2">
        <w:rPr>
          <w:rFonts w:ascii="Garamond" w:eastAsia="Calibri" w:hAnsi="Garamond" w:cs="Arial"/>
          <w:i/>
          <w:iCs/>
        </w:rPr>
        <w:t>Heav’ns</w:t>
      </w:r>
      <w:proofErr w:type="spellEnd"/>
      <w:r w:rsidRPr="003037D2">
        <w:rPr>
          <w:rFonts w:ascii="Garamond" w:eastAsia="Calibri" w:hAnsi="Garamond" w:cs="Arial"/>
          <w:i/>
          <w:iCs/>
        </w:rPr>
        <w:t xml:space="preserve"> </w:t>
      </w:r>
      <w:r w:rsidRPr="003037D2">
        <w:rPr>
          <w:rFonts w:ascii="Garamond" w:eastAsia="Calibri" w:hAnsi="Garamond" w:cs="Arial"/>
        </w:rPr>
        <w:t xml:space="preserve">look Maiden-smooth and faire </w:t>
      </w:r>
    </w:p>
    <w:p w14:paraId="629A15C2" w14:textId="77777777" w:rsidR="00162224" w:rsidRPr="003037D2" w:rsidRDefault="00162224" w:rsidP="00162224">
      <w:pPr>
        <w:ind w:left="1440" w:firstLine="720"/>
        <w:rPr>
          <w:rFonts w:ascii="Garamond" w:eastAsia="Calibri" w:hAnsi="Garamond" w:cs="Arial"/>
        </w:rPr>
      </w:pPr>
      <w:r w:rsidRPr="003037D2">
        <w:rPr>
          <w:rFonts w:ascii="Garamond" w:eastAsia="Calibri" w:hAnsi="Garamond" w:cs="Arial"/>
        </w:rPr>
        <w:tab/>
        <w:t xml:space="preserve">Else is that </w:t>
      </w:r>
      <w:r w:rsidRPr="003037D2">
        <w:rPr>
          <w:rFonts w:ascii="Garamond" w:eastAsia="Calibri" w:hAnsi="Garamond" w:cs="Arial"/>
          <w:i/>
          <w:iCs/>
        </w:rPr>
        <w:t xml:space="preserve">Roof </w:t>
      </w:r>
      <w:r w:rsidRPr="003037D2">
        <w:rPr>
          <w:rFonts w:ascii="Garamond" w:eastAsia="Calibri" w:hAnsi="Garamond" w:cs="Arial"/>
        </w:rPr>
        <w:t xml:space="preserve">too mean for those that use </w:t>
      </w:r>
    </w:p>
    <w:p w14:paraId="4C41A8BE" w14:textId="77777777" w:rsidR="00162224" w:rsidRPr="003037D2" w:rsidRDefault="00162224" w:rsidP="00162224">
      <w:pPr>
        <w:ind w:left="1440" w:firstLine="720"/>
        <w:rPr>
          <w:rFonts w:ascii="Garamond" w:eastAsia="Calibri" w:hAnsi="Garamond" w:cs="Arial"/>
        </w:rPr>
      </w:pPr>
      <w:r w:rsidRPr="003037D2">
        <w:rPr>
          <w:rFonts w:ascii="Garamond" w:eastAsia="Calibri" w:hAnsi="Garamond" w:cs="Arial"/>
        </w:rPr>
        <w:tab/>
        <w:t xml:space="preserve">With </w:t>
      </w:r>
      <w:r w:rsidRPr="003037D2">
        <w:rPr>
          <w:rFonts w:ascii="Garamond" w:eastAsia="Calibri" w:hAnsi="Garamond" w:cs="Arial"/>
          <w:i/>
          <w:iCs/>
        </w:rPr>
        <w:t xml:space="preserve">Gods </w:t>
      </w:r>
      <w:r w:rsidRPr="003037D2">
        <w:rPr>
          <w:rFonts w:ascii="Garamond" w:eastAsia="Calibri" w:hAnsi="Garamond" w:cs="Arial"/>
        </w:rPr>
        <w:t xml:space="preserve">themselves for </w:t>
      </w:r>
      <w:proofErr w:type="spellStart"/>
      <w:r w:rsidRPr="003037D2">
        <w:rPr>
          <w:rFonts w:ascii="Garamond" w:eastAsia="Calibri" w:hAnsi="Garamond" w:cs="Arial"/>
          <w:i/>
          <w:iCs/>
        </w:rPr>
        <w:t>Crownes</w:t>
      </w:r>
      <w:proofErr w:type="spellEnd"/>
      <w:r w:rsidRPr="003037D2">
        <w:rPr>
          <w:rFonts w:ascii="Garamond" w:eastAsia="Calibri" w:hAnsi="Garamond" w:cs="Arial"/>
          <w:i/>
          <w:iCs/>
        </w:rPr>
        <w:t xml:space="preserve"> </w:t>
      </w:r>
      <w:r w:rsidRPr="003037D2">
        <w:rPr>
          <w:rFonts w:ascii="Garamond" w:eastAsia="Calibri" w:hAnsi="Garamond" w:cs="Arial"/>
        </w:rPr>
        <w:t>and Majesty.</w:t>
      </w:r>
      <w:r w:rsidRPr="003037D2">
        <w:rPr>
          <w:rFonts w:ascii="Garamond" w:eastAsia="Calibri" w:hAnsi="Garamond" w:cs="Arial"/>
          <w:vertAlign w:val="superscript"/>
        </w:rPr>
        <w:footnoteReference w:id="162"/>
      </w:r>
    </w:p>
    <w:p w14:paraId="0DF34D27" w14:textId="77777777" w:rsidR="00162224" w:rsidRPr="003037D2" w:rsidRDefault="00162224" w:rsidP="00162224">
      <w:pPr>
        <w:spacing w:line="360" w:lineRule="auto"/>
        <w:ind w:firstLine="720"/>
        <w:rPr>
          <w:rFonts w:ascii="Garamond" w:eastAsia="Calibri" w:hAnsi="Garamond" w:cs="Arial"/>
        </w:rPr>
      </w:pPr>
    </w:p>
    <w:p w14:paraId="49E399A0" w14:textId="77777777" w:rsidR="00162224" w:rsidRPr="003037D2" w:rsidRDefault="00162224" w:rsidP="00162224">
      <w:pPr>
        <w:spacing w:line="360" w:lineRule="auto"/>
        <w:rPr>
          <w:rFonts w:ascii="Garamond" w:eastAsia="Calibri" w:hAnsi="Garamond" w:cs="Arial"/>
        </w:rPr>
      </w:pPr>
      <w:r w:rsidRPr="003037D2">
        <w:rPr>
          <w:rFonts w:ascii="Garamond" w:eastAsia="Calibri" w:hAnsi="Garamond" w:cs="Arial"/>
        </w:rPr>
        <w:t xml:space="preserve">War-torn England is described as a dirty, damaged house, needing the vigorous intervention of the almanac writer to return to an acceptable state. The country demands the </w:t>
      </w:r>
      <w:proofErr w:type="spellStart"/>
      <w:r w:rsidRPr="003037D2">
        <w:rPr>
          <w:rFonts w:ascii="Garamond" w:eastAsia="Calibri" w:hAnsi="Garamond" w:cs="Arial"/>
        </w:rPr>
        <w:t>labour</w:t>
      </w:r>
      <w:proofErr w:type="spellEnd"/>
      <w:r w:rsidRPr="003037D2">
        <w:rPr>
          <w:rFonts w:ascii="Garamond" w:eastAsia="Calibri" w:hAnsi="Garamond" w:cs="Arial"/>
        </w:rPr>
        <w:t xml:space="preserve"> of its residents, particularly in this period of transition. </w:t>
      </w:r>
    </w:p>
    <w:p w14:paraId="3B895B67" w14:textId="77777777" w:rsidR="00162224" w:rsidRPr="003037D2" w:rsidRDefault="00162224" w:rsidP="00162224">
      <w:pPr>
        <w:spacing w:line="360" w:lineRule="auto"/>
        <w:rPr>
          <w:rFonts w:ascii="Garamond" w:eastAsia="Calibri" w:hAnsi="Garamond" w:cs="Arial"/>
        </w:rPr>
      </w:pPr>
    </w:p>
    <w:p w14:paraId="1F8454D0" w14:textId="77777777" w:rsidR="00162224" w:rsidRPr="003037D2" w:rsidRDefault="00162224" w:rsidP="00162224">
      <w:pPr>
        <w:spacing w:line="360" w:lineRule="auto"/>
        <w:rPr>
          <w:rFonts w:ascii="Garamond" w:eastAsia="Calibri" w:hAnsi="Garamond" w:cs="Arial"/>
        </w:rPr>
      </w:pPr>
    </w:p>
    <w:p w14:paraId="32B67399" w14:textId="635A51AE"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t xml:space="preserve">In the Huntington’s copies of Samuel Danforth’s 1647 and 1648 almanacs, bound together, the annotator </w:t>
      </w:r>
      <w:proofErr w:type="spellStart"/>
      <w:r w:rsidRPr="003037D2">
        <w:rPr>
          <w:rFonts w:ascii="Garamond" w:eastAsia="Calibri" w:hAnsi="Garamond" w:cs="Arial"/>
        </w:rPr>
        <w:t>emphasises</w:t>
      </w:r>
      <w:proofErr w:type="spellEnd"/>
      <w:r w:rsidRPr="003037D2">
        <w:rPr>
          <w:rFonts w:ascii="Garamond" w:eastAsia="Calibri" w:hAnsi="Garamond" w:cs="Arial"/>
        </w:rPr>
        <w:t xml:space="preserve"> their industry, along with notes about occurrences that have happened in the wider community. The notes demonstrate the </w:t>
      </w:r>
      <w:r w:rsidRPr="003037D2">
        <w:rPr>
          <w:rFonts w:ascii="Garamond" w:eastAsia="Calibri" w:hAnsi="Garamond" w:cs="Arial"/>
        </w:rPr>
        <w:lastRenderedPageBreak/>
        <w:t xml:space="preserve">concerns of a farmer, with April being a predictably mixed month in terms of weather, ‘8th day the wind easterly &amp; rained / 9th day little wind, &amp; </w:t>
      </w:r>
      <w:proofErr w:type="spellStart"/>
      <w:r w:rsidRPr="003037D2">
        <w:rPr>
          <w:rFonts w:ascii="Garamond" w:eastAsia="Calibri" w:hAnsi="Garamond" w:cs="Arial"/>
        </w:rPr>
        <w:t>showry</w:t>
      </w:r>
      <w:proofErr w:type="spellEnd"/>
      <w:r w:rsidRPr="003037D2">
        <w:rPr>
          <w:rFonts w:ascii="Garamond" w:eastAsia="Calibri" w:hAnsi="Garamond" w:cs="Arial"/>
        </w:rPr>
        <w:t xml:space="preserve"> / 10th day cloudy moon with a small western </w:t>
      </w:r>
      <w:proofErr w:type="spellStart"/>
      <w:r w:rsidRPr="003037D2">
        <w:rPr>
          <w:rFonts w:ascii="Garamond" w:eastAsia="Calibri" w:hAnsi="Garamond" w:cs="Arial"/>
        </w:rPr>
        <w:t>breiz</w:t>
      </w:r>
      <w:proofErr w:type="spellEnd"/>
      <w:r w:rsidRPr="003037D2">
        <w:rPr>
          <w:rFonts w:ascii="Garamond" w:eastAsia="Calibri" w:hAnsi="Garamond" w:cs="Arial"/>
        </w:rPr>
        <w:t xml:space="preserve">: </w:t>
      </w:r>
      <w:proofErr w:type="spellStart"/>
      <w:r w:rsidRPr="003037D2">
        <w:rPr>
          <w:rFonts w:ascii="Garamond" w:eastAsia="Calibri" w:hAnsi="Garamond" w:cs="Arial"/>
        </w:rPr>
        <w:t>showry</w:t>
      </w:r>
      <w:proofErr w:type="spellEnd"/>
      <w:r w:rsidRPr="003037D2">
        <w:rPr>
          <w:rFonts w:ascii="Garamond" w:eastAsia="Calibri" w:hAnsi="Garamond" w:cs="Arial"/>
        </w:rPr>
        <w:t>. About 11 ye wind mixed’.</w:t>
      </w:r>
      <w:r w:rsidRPr="003037D2">
        <w:rPr>
          <w:rFonts w:ascii="Garamond" w:eastAsia="Calibri" w:hAnsi="Garamond" w:cs="Arial"/>
          <w:vertAlign w:val="superscript"/>
        </w:rPr>
        <w:footnoteReference w:id="163"/>
      </w:r>
      <w:r w:rsidRPr="003037D2">
        <w:rPr>
          <w:rFonts w:ascii="Garamond" w:eastAsia="Calibri" w:hAnsi="Garamond" w:cs="Arial"/>
        </w:rPr>
        <w:t xml:space="preserve"> The tasks undertaken on various days are noted down, ‘14</w:t>
      </w:r>
      <w:r w:rsidRPr="003037D2">
        <w:rPr>
          <w:rFonts w:ascii="Garamond" w:eastAsia="Calibri" w:hAnsi="Garamond" w:cs="Arial"/>
          <w:vertAlign w:val="superscript"/>
        </w:rPr>
        <w:t>th</w:t>
      </w:r>
      <w:r w:rsidRPr="003037D2">
        <w:rPr>
          <w:rFonts w:ascii="Garamond" w:eastAsia="Calibri" w:hAnsi="Garamond" w:cs="Arial"/>
        </w:rPr>
        <w:t xml:space="preserve"> day [June] 1647 we began to shear Rye/ 21 day Abraham went away for a fortnight being fully satisfied for all his former work’, ‘2</w:t>
      </w:r>
      <w:r w:rsidRPr="003037D2">
        <w:rPr>
          <w:rFonts w:ascii="Garamond" w:eastAsia="Calibri" w:hAnsi="Garamond" w:cs="Arial"/>
          <w:vertAlign w:val="superscript"/>
        </w:rPr>
        <w:t>nd</w:t>
      </w:r>
      <w:r w:rsidRPr="003037D2">
        <w:rPr>
          <w:rFonts w:ascii="Garamond" w:eastAsia="Calibri" w:hAnsi="Garamond" w:cs="Arial"/>
        </w:rPr>
        <w:t xml:space="preserve"> day [August] we mowed barley’.</w:t>
      </w:r>
      <w:r w:rsidRPr="003037D2">
        <w:rPr>
          <w:rFonts w:ascii="Garamond" w:eastAsia="Calibri" w:hAnsi="Garamond" w:cs="Arial"/>
          <w:vertAlign w:val="superscript"/>
        </w:rPr>
        <w:footnoteReference w:id="164"/>
      </w:r>
      <w:r w:rsidRPr="003037D2">
        <w:rPr>
          <w:rFonts w:ascii="Garamond" w:eastAsia="Calibri" w:hAnsi="Garamond" w:cs="Arial"/>
        </w:rPr>
        <w:t xml:space="preserve"> The blanks have been personally added, as each printed leaf holds two months calendars, on recto and verso of the folio. This is an almanac from the ‘New World’, recording the extremes of this new land in events such as ‘an Earth quake’ on ‘17 [march] in the morning about 5’ (one of the few references to ‘clock time</w:t>
      </w:r>
      <w:r w:rsidR="001C28BB" w:rsidRPr="003037D2">
        <w:rPr>
          <w:rFonts w:ascii="Garamond" w:eastAsia="Calibri" w:hAnsi="Garamond" w:cs="Arial"/>
        </w:rPr>
        <w:t>’</w:t>
      </w:r>
      <w:r w:rsidRPr="003037D2">
        <w:rPr>
          <w:rFonts w:ascii="Garamond" w:eastAsia="Calibri" w:hAnsi="Garamond" w:cs="Arial"/>
        </w:rPr>
        <w:t xml:space="preserve"> found in the almanac annotations).  Moreover, the number of notes on tasks completed could be read as a symptom of the </w:t>
      </w:r>
      <w:proofErr w:type="spellStart"/>
      <w:r w:rsidRPr="003037D2">
        <w:rPr>
          <w:rFonts w:ascii="Garamond" w:eastAsia="Calibri" w:hAnsi="Garamond" w:cs="Arial"/>
        </w:rPr>
        <w:t>colonisers</w:t>
      </w:r>
      <w:proofErr w:type="spellEnd"/>
      <w:r w:rsidRPr="003037D2">
        <w:rPr>
          <w:rFonts w:ascii="Garamond" w:eastAsia="Calibri" w:hAnsi="Garamond" w:cs="Arial"/>
        </w:rPr>
        <w:t xml:space="preserve"> need to demonstrate their attempts to tame the new land. Coding the English as ‘industrious’, whether that be as the result of Protestantism or otherwise, was crucial for the colonial project. From the fifteenth century onwards, the seizing of Irish lands was explicitly justified by the argument that the Irish were unproductive:  they had not moved from low-level agriculture to mineral extraction, ignoring the Biblical directives for man to tame the earth.</w:t>
      </w:r>
      <w:r w:rsidRPr="003037D2">
        <w:rPr>
          <w:rFonts w:ascii="Garamond" w:eastAsia="Calibri" w:hAnsi="Garamond" w:cs="Arial"/>
          <w:bCs/>
          <w:vertAlign w:val="superscript"/>
        </w:rPr>
        <w:t xml:space="preserve"> </w:t>
      </w:r>
      <w:r w:rsidRPr="003037D2">
        <w:rPr>
          <w:rFonts w:ascii="Garamond" w:eastAsia="Calibri" w:hAnsi="Garamond" w:cs="Arial"/>
          <w:bCs/>
          <w:vertAlign w:val="superscript"/>
        </w:rPr>
        <w:footnoteReference w:id="165"/>
      </w:r>
      <w:r w:rsidRPr="003037D2">
        <w:rPr>
          <w:rFonts w:ascii="Garamond" w:eastAsia="Calibri" w:hAnsi="Garamond" w:cs="Arial"/>
        </w:rPr>
        <w:t xml:space="preserve"> The principal of </w:t>
      </w:r>
      <w:r w:rsidRPr="003037D2">
        <w:rPr>
          <w:rFonts w:ascii="Garamond" w:eastAsia="Calibri" w:hAnsi="Garamond" w:cs="Arial"/>
          <w:i/>
          <w:iCs/>
        </w:rPr>
        <w:t>terra nullius</w:t>
      </w:r>
      <w:r w:rsidRPr="003037D2">
        <w:rPr>
          <w:rFonts w:ascii="Garamond" w:eastAsia="Calibri" w:hAnsi="Garamond" w:cs="Arial"/>
        </w:rPr>
        <w:t>, or ‘no-one’s land’ was a commonplace: land that had not been worked, had not been measured and depicted in maps belonged to no one, and could be taken at will by those with the work ethic to subdue it.</w:t>
      </w:r>
      <w:r w:rsidRPr="003037D2">
        <w:rPr>
          <w:rFonts w:ascii="Garamond" w:eastAsia="Calibri" w:hAnsi="Garamond" w:cs="Arial"/>
          <w:bCs/>
          <w:vertAlign w:val="superscript"/>
        </w:rPr>
        <w:footnoteReference w:id="166"/>
      </w:r>
      <w:r w:rsidRPr="003037D2">
        <w:rPr>
          <w:rFonts w:ascii="Garamond" w:eastAsia="Calibri" w:hAnsi="Garamond" w:cs="Arial"/>
          <w:bCs/>
        </w:rPr>
        <w:t xml:space="preserve"> </w:t>
      </w:r>
      <w:r w:rsidRPr="003037D2">
        <w:rPr>
          <w:rFonts w:ascii="Garamond" w:eastAsia="Calibri" w:hAnsi="Garamond" w:cs="Arial"/>
        </w:rPr>
        <w:t xml:space="preserve"> As discussed earlier with reference to Thomas Hill’</w:t>
      </w:r>
      <w:r w:rsidR="00C03F06" w:rsidRPr="003037D2">
        <w:rPr>
          <w:rFonts w:ascii="Garamond" w:eastAsia="Calibri" w:hAnsi="Garamond" w:cs="Arial"/>
        </w:rPr>
        <w:t>s</w:t>
      </w:r>
      <w:r w:rsidRPr="003037D2">
        <w:rPr>
          <w:rFonts w:ascii="Garamond" w:eastAsia="Calibri" w:hAnsi="Garamond" w:cs="Arial"/>
        </w:rPr>
        <w:t xml:space="preserve"> books on gardening, measuring and mapping land was intimately connected to principles of ownership and to the scientific mapping of time. Whilst the English may have compared themselves </w:t>
      </w:r>
      <w:proofErr w:type="spellStart"/>
      <w:r w:rsidRPr="003037D2">
        <w:rPr>
          <w:rFonts w:ascii="Garamond" w:eastAsia="Calibri" w:hAnsi="Garamond" w:cs="Arial"/>
        </w:rPr>
        <w:t>favourably</w:t>
      </w:r>
      <w:proofErr w:type="spellEnd"/>
      <w:r w:rsidRPr="003037D2">
        <w:rPr>
          <w:rFonts w:ascii="Garamond" w:eastAsia="Calibri" w:hAnsi="Garamond" w:cs="Arial"/>
        </w:rPr>
        <w:t xml:space="preserve"> to the Irish in terms of productivity</w:t>
      </w:r>
      <w:r w:rsidR="001C28BB" w:rsidRPr="003037D2">
        <w:rPr>
          <w:rFonts w:ascii="Garamond" w:eastAsia="Calibri" w:hAnsi="Garamond" w:cs="Arial"/>
        </w:rPr>
        <w:t>,</w:t>
      </w:r>
      <w:r w:rsidRPr="003037D2">
        <w:rPr>
          <w:rFonts w:ascii="Garamond" w:eastAsia="Calibri" w:hAnsi="Garamond" w:cs="Arial"/>
        </w:rPr>
        <w:t xml:space="preserve"> in Robert Burton’s </w:t>
      </w:r>
      <w:r w:rsidRPr="003037D2">
        <w:rPr>
          <w:rFonts w:ascii="Garamond" w:eastAsia="Calibri" w:hAnsi="Garamond" w:cs="Arial"/>
          <w:i/>
          <w:iCs/>
        </w:rPr>
        <w:t>The Anatomy of Melancholy</w:t>
      </w:r>
      <w:r w:rsidRPr="003037D2">
        <w:rPr>
          <w:rFonts w:ascii="Garamond" w:eastAsia="Calibri" w:hAnsi="Garamond" w:cs="Arial"/>
        </w:rPr>
        <w:t xml:space="preserve"> he declares, ‘</w:t>
      </w:r>
      <w:proofErr w:type="spellStart"/>
      <w:r w:rsidRPr="003037D2">
        <w:rPr>
          <w:rFonts w:ascii="Garamond" w:eastAsia="Calibri" w:hAnsi="Garamond" w:cs="Arial"/>
        </w:rPr>
        <w:t>Idlenesse</w:t>
      </w:r>
      <w:proofErr w:type="spellEnd"/>
      <w:r w:rsidRPr="003037D2">
        <w:rPr>
          <w:rFonts w:ascii="Garamond" w:eastAsia="Calibri" w:hAnsi="Garamond" w:cs="Arial"/>
        </w:rPr>
        <w:t xml:space="preserve"> is the </w:t>
      </w:r>
      <w:r w:rsidRPr="003037D2">
        <w:rPr>
          <w:rFonts w:ascii="Garamond" w:eastAsia="Calibri" w:hAnsi="Garamond" w:cs="Arial"/>
          <w:i/>
          <w:iCs/>
        </w:rPr>
        <w:t>malus Genius</w:t>
      </w:r>
      <w:r w:rsidRPr="003037D2">
        <w:rPr>
          <w:rFonts w:ascii="Garamond" w:eastAsia="Calibri" w:hAnsi="Garamond" w:cs="Arial"/>
        </w:rPr>
        <w:t xml:space="preserve"> of our nation’.</w:t>
      </w:r>
      <w:r w:rsidRPr="003037D2">
        <w:rPr>
          <w:rFonts w:ascii="Garamond" w:eastAsia="Calibri" w:hAnsi="Garamond" w:cs="Arial"/>
          <w:bCs/>
          <w:vertAlign w:val="superscript"/>
        </w:rPr>
        <w:footnoteReference w:id="167"/>
      </w:r>
      <w:r w:rsidRPr="003037D2">
        <w:rPr>
          <w:rFonts w:ascii="Garamond" w:eastAsia="Calibri" w:hAnsi="Garamond" w:cs="Arial"/>
        </w:rPr>
        <w:t xml:space="preserve"> Many early modern commentators </w:t>
      </w:r>
      <w:proofErr w:type="spellStart"/>
      <w:r w:rsidRPr="003037D2">
        <w:rPr>
          <w:rFonts w:ascii="Garamond" w:eastAsia="Calibri" w:hAnsi="Garamond" w:cs="Arial"/>
        </w:rPr>
        <w:t>unfavourably</w:t>
      </w:r>
      <w:proofErr w:type="spellEnd"/>
      <w:r w:rsidRPr="003037D2">
        <w:rPr>
          <w:rFonts w:ascii="Garamond" w:eastAsia="Calibri" w:hAnsi="Garamond" w:cs="Arial"/>
        </w:rPr>
        <w:t xml:space="preserve"> compared the English to the Dutch, who were held up as paragons of </w:t>
      </w:r>
      <w:r w:rsidRPr="003037D2">
        <w:rPr>
          <w:rFonts w:ascii="Garamond" w:eastAsia="Calibri" w:hAnsi="Garamond" w:cs="Arial"/>
        </w:rPr>
        <w:lastRenderedPageBreak/>
        <w:t>industry.</w:t>
      </w:r>
      <w:r w:rsidRPr="003037D2">
        <w:rPr>
          <w:rFonts w:ascii="Garamond" w:eastAsia="Calibri" w:hAnsi="Garamond" w:cs="Arial"/>
          <w:bCs/>
          <w:vertAlign w:val="superscript"/>
        </w:rPr>
        <w:footnoteReference w:id="168"/>
      </w:r>
      <w:r w:rsidRPr="003037D2">
        <w:rPr>
          <w:rFonts w:ascii="Garamond" w:eastAsia="Calibri" w:hAnsi="Garamond" w:cs="Arial"/>
        </w:rPr>
        <w:t xml:space="preserve"> As I will discuss in Chapter Three, George Herbert had similar worries, opening </w:t>
      </w:r>
      <w:r w:rsidRPr="003037D2">
        <w:rPr>
          <w:rFonts w:ascii="Garamond" w:eastAsia="Calibri" w:hAnsi="Garamond" w:cs="Calibri"/>
        </w:rPr>
        <w:t xml:space="preserve">his poem ‘The Church Porch’ with the declaration ‘O England! Full of </w:t>
      </w:r>
      <w:proofErr w:type="spellStart"/>
      <w:r w:rsidRPr="003037D2">
        <w:rPr>
          <w:rFonts w:ascii="Garamond" w:eastAsia="Calibri" w:hAnsi="Garamond" w:cs="Calibri"/>
        </w:rPr>
        <w:t>sinne</w:t>
      </w:r>
      <w:proofErr w:type="spellEnd"/>
      <w:r w:rsidRPr="003037D2">
        <w:rPr>
          <w:rFonts w:ascii="Garamond" w:eastAsia="Calibri" w:hAnsi="Garamond" w:cs="Calibri"/>
        </w:rPr>
        <w:t>, but most of sloth’.</w:t>
      </w:r>
      <w:r w:rsidRPr="003037D2">
        <w:rPr>
          <w:rFonts w:ascii="Garamond" w:eastAsia="Calibri" w:hAnsi="Garamond" w:cs="Calibri"/>
          <w:vertAlign w:val="superscript"/>
        </w:rPr>
        <w:footnoteReference w:id="169"/>
      </w:r>
      <w:r w:rsidRPr="003037D2">
        <w:rPr>
          <w:rFonts w:ascii="Garamond" w:eastAsia="Calibri" w:hAnsi="Garamond" w:cs="Calibri"/>
        </w:rPr>
        <w:t xml:space="preserve"> </w:t>
      </w:r>
      <w:r w:rsidRPr="003037D2">
        <w:rPr>
          <w:rFonts w:ascii="Garamond" w:eastAsia="Calibri" w:hAnsi="Garamond" w:cs="Arial"/>
        </w:rPr>
        <w:t xml:space="preserve">A line is drawn between the hard-worker and the racial or social other throughout history. The tensions between different understandings of time, although they may seem theoretical and detached from day to day life, have had profound ramifications for world history.  The notes in almanacs provide compelling evidence of this anxiety in early modern book owners seeking to demonstrate their own </w:t>
      </w:r>
      <w:proofErr w:type="spellStart"/>
      <w:r w:rsidRPr="003037D2">
        <w:rPr>
          <w:rFonts w:ascii="Garamond" w:eastAsia="Calibri" w:hAnsi="Garamond" w:cs="Arial"/>
        </w:rPr>
        <w:t>labour</w:t>
      </w:r>
      <w:proofErr w:type="spellEnd"/>
      <w:r w:rsidRPr="003037D2">
        <w:rPr>
          <w:rFonts w:ascii="Garamond" w:eastAsia="Calibri" w:hAnsi="Garamond" w:cs="Arial"/>
        </w:rPr>
        <w:t xml:space="preserve">. However, the notes in the Danforth almanac may also have had a more practical use: in a new environment, it may have been helpful for farmers to keep more complete records, so they could track how effective their </w:t>
      </w:r>
      <w:proofErr w:type="spellStart"/>
      <w:r w:rsidRPr="003037D2">
        <w:rPr>
          <w:rFonts w:ascii="Garamond" w:eastAsia="Calibri" w:hAnsi="Garamond" w:cs="Arial"/>
        </w:rPr>
        <w:t>labour</w:t>
      </w:r>
      <w:proofErr w:type="spellEnd"/>
      <w:r w:rsidRPr="003037D2">
        <w:rPr>
          <w:rFonts w:ascii="Garamond" w:eastAsia="Calibri" w:hAnsi="Garamond" w:cs="Arial"/>
        </w:rPr>
        <w:t xml:space="preserve"> was. </w:t>
      </w:r>
    </w:p>
    <w:p w14:paraId="1C7D8BBA" w14:textId="77777777" w:rsidR="00162224" w:rsidRPr="003037D2" w:rsidRDefault="00162224" w:rsidP="00162224">
      <w:pPr>
        <w:spacing w:line="360" w:lineRule="auto"/>
        <w:ind w:firstLine="720"/>
        <w:rPr>
          <w:rFonts w:ascii="Garamond" w:eastAsia="Calibri" w:hAnsi="Garamond" w:cs="Arial"/>
        </w:rPr>
      </w:pPr>
    </w:p>
    <w:p w14:paraId="17661B91" w14:textId="681BE0BA"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t xml:space="preserve">The Danforth annotator also noted local events, such as on the </w:t>
      </w:r>
      <w:r w:rsidR="00C03F06" w:rsidRPr="003037D2">
        <w:rPr>
          <w:rFonts w:ascii="Garamond" w:eastAsia="Calibri" w:hAnsi="Garamond" w:cs="Arial"/>
        </w:rPr>
        <w:t>‘</w:t>
      </w:r>
      <w:r w:rsidRPr="003037D2">
        <w:rPr>
          <w:rFonts w:ascii="Garamond" w:eastAsia="Calibri" w:hAnsi="Garamond" w:cs="Arial"/>
        </w:rPr>
        <w:t xml:space="preserve">16 day [March] Mary Martin executed at Boston for </w:t>
      </w:r>
      <w:proofErr w:type="spellStart"/>
      <w:r w:rsidRPr="003037D2">
        <w:rPr>
          <w:rFonts w:ascii="Garamond" w:eastAsia="Calibri" w:hAnsi="Garamond" w:cs="Arial"/>
        </w:rPr>
        <w:t>muthiering</w:t>
      </w:r>
      <w:proofErr w:type="spellEnd"/>
      <w:r w:rsidRPr="003037D2">
        <w:rPr>
          <w:rFonts w:ascii="Garamond" w:eastAsia="Calibri" w:hAnsi="Garamond" w:cs="Arial"/>
        </w:rPr>
        <w:t xml:space="preserve"> her child’.</w:t>
      </w:r>
      <w:r w:rsidRPr="003037D2">
        <w:rPr>
          <w:rFonts w:ascii="Garamond" w:eastAsia="Calibri" w:hAnsi="Garamond" w:cs="Arial"/>
          <w:vertAlign w:val="superscript"/>
        </w:rPr>
        <w:footnoteReference w:id="170"/>
      </w:r>
      <w:r w:rsidRPr="003037D2">
        <w:rPr>
          <w:rFonts w:ascii="Garamond" w:eastAsia="Calibri" w:hAnsi="Garamond" w:cs="Arial"/>
        </w:rPr>
        <w:t xml:space="preserve"> In June, disaster strikes the local community: </w:t>
      </w:r>
    </w:p>
    <w:p w14:paraId="433C379B" w14:textId="6ED54896" w:rsidR="00162224" w:rsidRDefault="00162224" w:rsidP="00162224">
      <w:pPr>
        <w:ind w:left="737" w:right="737"/>
        <w:rPr>
          <w:rFonts w:ascii="Garamond" w:eastAsia="Calibri" w:hAnsi="Garamond" w:cs="Arial"/>
        </w:rPr>
      </w:pPr>
      <w:r w:rsidRPr="003037D2">
        <w:rPr>
          <w:rFonts w:ascii="Garamond" w:eastAsia="Calibri" w:hAnsi="Garamond" w:cs="Arial"/>
        </w:rPr>
        <w:t>the second week in this month a general &amp; severe cold seize upon most p[</w:t>
      </w:r>
      <w:proofErr w:type="spellStart"/>
      <w:r w:rsidRPr="003037D2">
        <w:rPr>
          <w:rFonts w:ascii="Garamond" w:eastAsia="Calibri" w:hAnsi="Garamond" w:cs="Arial"/>
        </w:rPr>
        <w:t>er</w:t>
      </w:r>
      <w:proofErr w:type="spellEnd"/>
      <w:r w:rsidRPr="003037D2">
        <w:rPr>
          <w:rFonts w:ascii="Garamond" w:eastAsia="Calibri" w:hAnsi="Garamond" w:cs="Arial"/>
        </w:rPr>
        <w:t xml:space="preserve">]sons in this town… many lay </w:t>
      </w:r>
      <w:proofErr w:type="spellStart"/>
      <w:r w:rsidRPr="003037D2">
        <w:rPr>
          <w:rFonts w:ascii="Garamond" w:eastAsia="Calibri" w:hAnsi="Garamond" w:cs="Arial"/>
        </w:rPr>
        <w:t>bedrid</w:t>
      </w:r>
      <w:proofErr w:type="spellEnd"/>
      <w:r w:rsidRPr="003037D2">
        <w:rPr>
          <w:rFonts w:ascii="Garamond" w:eastAsia="Calibri" w:hAnsi="Garamond" w:cs="Arial"/>
        </w:rPr>
        <w:t xml:space="preserve">… 13: </w:t>
      </w:r>
      <w:proofErr w:type="spellStart"/>
      <w:r w:rsidRPr="003037D2">
        <w:rPr>
          <w:rFonts w:ascii="Garamond" w:eastAsia="Calibri" w:hAnsi="Garamond" w:cs="Arial"/>
        </w:rPr>
        <w:t>Mr</w:t>
      </w:r>
      <w:proofErr w:type="spellEnd"/>
      <w:r w:rsidRPr="003037D2">
        <w:rPr>
          <w:rFonts w:ascii="Garamond" w:eastAsia="Calibri" w:hAnsi="Garamond" w:cs="Arial"/>
        </w:rPr>
        <w:t xml:space="preserve"> Graves &amp; </w:t>
      </w:r>
      <w:proofErr w:type="spellStart"/>
      <w:r w:rsidRPr="003037D2">
        <w:rPr>
          <w:rFonts w:ascii="Garamond" w:eastAsia="Calibri" w:hAnsi="Garamond" w:cs="Arial"/>
        </w:rPr>
        <w:t>Mr</w:t>
      </w:r>
      <w:proofErr w:type="spellEnd"/>
      <w:r w:rsidRPr="003037D2">
        <w:rPr>
          <w:rFonts w:ascii="Garamond" w:eastAsia="Calibri" w:hAnsi="Garamond" w:cs="Arial"/>
        </w:rPr>
        <w:t xml:space="preserve"> Daniel came in from London 15th day </w:t>
      </w:r>
      <w:proofErr w:type="spellStart"/>
      <w:r w:rsidRPr="003037D2">
        <w:rPr>
          <w:rFonts w:ascii="Garamond" w:eastAsia="Calibri" w:hAnsi="Garamond" w:cs="Arial"/>
        </w:rPr>
        <w:t>Mrs</w:t>
      </w:r>
      <w:proofErr w:type="spellEnd"/>
      <w:r w:rsidRPr="003037D2">
        <w:rPr>
          <w:rFonts w:ascii="Garamond" w:eastAsia="Calibri" w:hAnsi="Garamond" w:cs="Arial"/>
        </w:rPr>
        <w:t xml:space="preserve"> Bing~ which God his wife was buried who fell first on the 3th day in afternoon &amp; dyed the next morning 16 </w:t>
      </w:r>
      <w:proofErr w:type="spellStart"/>
      <w:r w:rsidRPr="003037D2">
        <w:rPr>
          <w:rFonts w:ascii="Garamond" w:eastAsia="Calibri" w:hAnsi="Garamond" w:cs="Arial"/>
        </w:rPr>
        <w:t>Mrs</w:t>
      </w:r>
      <w:proofErr w:type="spellEnd"/>
      <w:r w:rsidRPr="003037D2">
        <w:rPr>
          <w:rFonts w:ascii="Garamond" w:eastAsia="Calibri" w:hAnsi="Garamond" w:cs="Arial"/>
        </w:rPr>
        <w:t xml:space="preserve"> </w:t>
      </w:r>
      <w:proofErr w:type="spellStart"/>
      <w:r w:rsidRPr="003037D2">
        <w:rPr>
          <w:rFonts w:ascii="Garamond" w:eastAsia="Calibri" w:hAnsi="Garamond" w:cs="Arial"/>
        </w:rPr>
        <w:t>Studder</w:t>
      </w:r>
      <w:proofErr w:type="spellEnd"/>
      <w:r w:rsidRPr="003037D2">
        <w:rPr>
          <w:rFonts w:ascii="Garamond" w:eastAsia="Calibri" w:hAnsi="Garamond" w:cs="Arial"/>
        </w:rPr>
        <w:t xml:space="preserve"> dyed [</w:t>
      </w:r>
      <w:r w:rsidRPr="003037D2">
        <w:rPr>
          <w:rFonts w:ascii="Garamond" w:eastAsia="Calibri" w:hAnsi="Garamond" w:cs="Arial"/>
          <w:i/>
          <w:iCs/>
        </w:rPr>
        <w:t xml:space="preserve">in a separate hand] </w:t>
      </w:r>
      <w:r w:rsidRPr="003037D2">
        <w:rPr>
          <w:rFonts w:ascii="Garamond" w:eastAsia="Calibri" w:hAnsi="Garamond" w:cs="Arial"/>
        </w:rPr>
        <w:t xml:space="preserve">wife of Anthony Stoddard… 25 day </w:t>
      </w:r>
      <w:proofErr w:type="spellStart"/>
      <w:r w:rsidRPr="003037D2">
        <w:rPr>
          <w:rFonts w:ascii="Garamond" w:eastAsia="Calibri" w:hAnsi="Garamond" w:cs="Arial"/>
        </w:rPr>
        <w:t>Mr</w:t>
      </w:r>
      <w:proofErr w:type="spellEnd"/>
      <w:r w:rsidRPr="003037D2">
        <w:rPr>
          <w:rFonts w:ascii="Garamond" w:eastAsia="Calibri" w:hAnsi="Garamond" w:cs="Arial"/>
        </w:rPr>
        <w:t xml:space="preserve"> </w:t>
      </w:r>
      <w:proofErr w:type="spellStart"/>
      <w:r w:rsidRPr="003037D2">
        <w:rPr>
          <w:rFonts w:ascii="Garamond" w:eastAsia="Calibri" w:hAnsi="Garamond" w:cs="Arial"/>
        </w:rPr>
        <w:t>Sparrowhawk</w:t>
      </w:r>
      <w:proofErr w:type="spellEnd"/>
      <w:r w:rsidRPr="003037D2">
        <w:rPr>
          <w:rFonts w:ascii="Garamond" w:eastAsia="Calibri" w:hAnsi="Garamond" w:cs="Arial"/>
        </w:rPr>
        <w:t xml:space="preserve"> died.</w:t>
      </w:r>
      <w:r w:rsidRPr="003037D2">
        <w:rPr>
          <w:rFonts w:ascii="Garamond" w:eastAsia="Calibri" w:hAnsi="Garamond" w:cs="Arial"/>
          <w:vertAlign w:val="superscript"/>
        </w:rPr>
        <w:footnoteReference w:id="171"/>
      </w:r>
      <w:r w:rsidRPr="003037D2">
        <w:rPr>
          <w:rFonts w:ascii="Garamond" w:eastAsia="Calibri" w:hAnsi="Garamond" w:cs="Arial"/>
        </w:rPr>
        <w:t xml:space="preserve"> </w:t>
      </w:r>
    </w:p>
    <w:p w14:paraId="074EA0D3" w14:textId="77777777" w:rsidR="0056489A" w:rsidRPr="003037D2" w:rsidRDefault="0056489A" w:rsidP="00162224">
      <w:pPr>
        <w:ind w:left="737" w:right="737"/>
        <w:rPr>
          <w:rFonts w:ascii="Garamond" w:eastAsia="Calibri" w:hAnsi="Garamond" w:cs="Arial"/>
        </w:rPr>
      </w:pPr>
    </w:p>
    <w:p w14:paraId="782E1C68" w14:textId="77777777" w:rsidR="00162224" w:rsidRPr="003037D2" w:rsidRDefault="00162224" w:rsidP="00162224">
      <w:pPr>
        <w:spacing w:line="360" w:lineRule="auto"/>
        <w:rPr>
          <w:rFonts w:ascii="Garamond" w:eastAsia="Calibri" w:hAnsi="Garamond" w:cs="Arial"/>
        </w:rPr>
      </w:pPr>
      <w:r w:rsidRPr="003037D2">
        <w:rPr>
          <w:rFonts w:ascii="Garamond" w:eastAsia="Calibri" w:hAnsi="Garamond" w:cs="Arial"/>
        </w:rPr>
        <w:t xml:space="preserve">There are multiple hands seen on this page, seemingly two making notes as the events occur, and then another writing in later glosses. As well as a personal memory aid, the almanac is becoming a history, and as such commented upon by others.  This almanac tracks the actions of a town, whilst others plot the movements of families. In the Huntington’s annotated copy of Nathaniel Nye’s 1645 </w:t>
      </w:r>
      <w:r w:rsidRPr="003037D2">
        <w:rPr>
          <w:rFonts w:ascii="Garamond" w:eastAsia="Calibri" w:hAnsi="Garamond" w:cs="Arial"/>
          <w:i/>
        </w:rPr>
        <w:t xml:space="preserve">A new </w:t>
      </w:r>
      <w:proofErr w:type="spellStart"/>
      <w:r w:rsidRPr="003037D2">
        <w:rPr>
          <w:rFonts w:ascii="Garamond" w:eastAsia="Calibri" w:hAnsi="Garamond" w:cs="Arial"/>
          <w:i/>
        </w:rPr>
        <w:t>Almanacke</w:t>
      </w:r>
      <w:proofErr w:type="spellEnd"/>
      <w:r w:rsidRPr="003037D2">
        <w:rPr>
          <w:rFonts w:ascii="Garamond" w:eastAsia="Calibri" w:hAnsi="Garamond" w:cs="Arial"/>
          <w:i/>
        </w:rPr>
        <w:t xml:space="preserve"> and Prognostication</w:t>
      </w:r>
      <w:r w:rsidRPr="003037D2">
        <w:rPr>
          <w:rFonts w:ascii="Garamond" w:eastAsia="Calibri" w:hAnsi="Garamond" w:cs="Arial"/>
        </w:rPr>
        <w:t xml:space="preserve">, the author notes down the movements of their immediate family, recording that on ‘Munday the 24 [February] my wife went to </w:t>
      </w:r>
      <w:proofErr w:type="spellStart"/>
      <w:r w:rsidRPr="003037D2">
        <w:rPr>
          <w:rFonts w:ascii="Garamond" w:eastAsia="Calibri" w:hAnsi="Garamond" w:cs="Arial"/>
        </w:rPr>
        <w:t>Collnell</w:t>
      </w:r>
      <w:proofErr w:type="spellEnd"/>
      <w:r w:rsidRPr="003037D2">
        <w:rPr>
          <w:rFonts w:ascii="Garamond" w:eastAsia="Calibri" w:hAnsi="Garamond" w:cs="Arial"/>
        </w:rPr>
        <w:t xml:space="preserve"> </w:t>
      </w:r>
      <w:proofErr w:type="spellStart"/>
      <w:r w:rsidRPr="003037D2">
        <w:rPr>
          <w:rFonts w:ascii="Garamond" w:eastAsia="Calibri" w:hAnsi="Garamond" w:cs="Arial"/>
        </w:rPr>
        <w:t>Popam</w:t>
      </w:r>
      <w:proofErr w:type="spellEnd"/>
      <w:r w:rsidRPr="003037D2">
        <w:rPr>
          <w:rFonts w:ascii="Garamond" w:eastAsia="Calibri" w:hAnsi="Garamond" w:cs="Arial"/>
        </w:rPr>
        <w:t xml:space="preserve">.’ On one page of the Lilly 1648 almanac the annotator writes ‘a note of </w:t>
      </w:r>
      <w:proofErr w:type="spellStart"/>
      <w:r w:rsidRPr="003037D2">
        <w:rPr>
          <w:rFonts w:ascii="Garamond" w:eastAsia="Calibri" w:hAnsi="Garamond" w:cs="Arial"/>
        </w:rPr>
        <w:t>suche</w:t>
      </w:r>
      <w:proofErr w:type="spellEnd"/>
      <w:r w:rsidRPr="003037D2">
        <w:rPr>
          <w:rFonts w:ascii="Garamond" w:eastAsia="Calibri" w:hAnsi="Garamond" w:cs="Arial"/>
        </w:rPr>
        <w:t xml:space="preserve"> goods as is left in </w:t>
      </w:r>
      <w:proofErr w:type="spellStart"/>
      <w:r w:rsidRPr="003037D2">
        <w:rPr>
          <w:rFonts w:ascii="Garamond" w:eastAsia="Calibri" w:hAnsi="Garamond" w:cs="Arial"/>
        </w:rPr>
        <w:t>spicit</w:t>
      </w:r>
      <w:proofErr w:type="spellEnd"/>
      <w:r w:rsidRPr="003037D2">
        <w:rPr>
          <w:rFonts w:ascii="Garamond" w:eastAsia="Calibri" w:hAnsi="Garamond" w:cs="Arial"/>
        </w:rPr>
        <w:t xml:space="preserve"> for my Uncle Woods children’ on ‘Sept. vi 1661’: ‘3 </w:t>
      </w:r>
      <w:proofErr w:type="spellStart"/>
      <w:r w:rsidRPr="003037D2">
        <w:rPr>
          <w:rFonts w:ascii="Garamond" w:eastAsia="Calibri" w:hAnsi="Garamond" w:cs="Arial"/>
        </w:rPr>
        <w:t>dcm</w:t>
      </w:r>
      <w:proofErr w:type="spellEnd"/>
      <w:r w:rsidRPr="003037D2">
        <w:rPr>
          <w:rFonts w:ascii="Garamond" w:eastAsia="Calibri" w:hAnsi="Garamond" w:cs="Arial"/>
        </w:rPr>
        <w:t xml:space="preserve"> &amp; 8 table napkins/ 4 pairs of pillow cases/ 4 pairs of sheets/ 4 table clothes/ 1 pair of Gloves… 3 </w:t>
      </w:r>
      <w:proofErr w:type="spellStart"/>
      <w:r w:rsidRPr="003037D2">
        <w:rPr>
          <w:rFonts w:ascii="Garamond" w:eastAsia="Calibri" w:hAnsi="Garamond" w:cs="Arial"/>
        </w:rPr>
        <w:t>parcells</w:t>
      </w:r>
      <w:proofErr w:type="spellEnd"/>
      <w:r w:rsidRPr="003037D2">
        <w:rPr>
          <w:rFonts w:ascii="Garamond" w:eastAsia="Calibri" w:hAnsi="Garamond" w:cs="Arial"/>
        </w:rPr>
        <w:t xml:space="preserve"> of letters 1 for Sarah 1 for Alice’.</w:t>
      </w:r>
      <w:r w:rsidRPr="003037D2">
        <w:rPr>
          <w:rFonts w:ascii="Garamond" w:eastAsia="Calibri" w:hAnsi="Garamond" w:cs="Arial"/>
          <w:vertAlign w:val="superscript"/>
        </w:rPr>
        <w:footnoteReference w:id="172"/>
      </w:r>
      <w:r w:rsidRPr="003037D2">
        <w:rPr>
          <w:rFonts w:ascii="Garamond" w:eastAsia="Calibri" w:hAnsi="Garamond" w:cs="Arial"/>
        </w:rPr>
        <w:t xml:space="preserve"> </w:t>
      </w:r>
    </w:p>
    <w:p w14:paraId="1C04BF97" w14:textId="77777777" w:rsidR="00162224" w:rsidRPr="003037D2" w:rsidRDefault="00162224" w:rsidP="00162224">
      <w:pPr>
        <w:spacing w:line="360" w:lineRule="auto"/>
        <w:rPr>
          <w:rFonts w:ascii="Garamond" w:eastAsia="Calibri" w:hAnsi="Garamond" w:cs="Arial"/>
        </w:rPr>
      </w:pPr>
    </w:p>
    <w:p w14:paraId="37018B1B" w14:textId="77777777" w:rsidR="00162224" w:rsidRPr="003037D2" w:rsidRDefault="00162224" w:rsidP="00162224">
      <w:pPr>
        <w:keepNext/>
        <w:keepLines/>
        <w:numPr>
          <w:ilvl w:val="0"/>
          <w:numId w:val="24"/>
        </w:numPr>
        <w:spacing w:before="40" w:line="360" w:lineRule="auto"/>
        <w:outlineLvl w:val="2"/>
        <w:rPr>
          <w:rFonts w:ascii="Garamond" w:eastAsia="DengXian Light" w:hAnsi="Garamond" w:cs="Times New Roman"/>
          <w:color w:val="000000"/>
        </w:rPr>
      </w:pPr>
      <w:bookmarkStart w:id="13" w:name="_Toc3967166"/>
      <w:r w:rsidRPr="003037D2">
        <w:rPr>
          <w:rFonts w:ascii="Garamond" w:eastAsia="DengXian Light" w:hAnsi="Garamond" w:cs="Times New Roman"/>
          <w:color w:val="000000"/>
        </w:rPr>
        <w:lastRenderedPageBreak/>
        <w:t>Resourceful time</w:t>
      </w:r>
      <w:bookmarkEnd w:id="13"/>
      <w:r w:rsidRPr="003037D2">
        <w:rPr>
          <w:rFonts w:ascii="Garamond" w:eastAsia="DengXian Light" w:hAnsi="Garamond" w:cs="Times New Roman"/>
          <w:color w:val="000000"/>
        </w:rPr>
        <w:t xml:space="preserve"> </w:t>
      </w:r>
    </w:p>
    <w:p w14:paraId="51424913" w14:textId="77777777" w:rsidR="00162224" w:rsidRPr="003037D2" w:rsidRDefault="00162224" w:rsidP="00162224">
      <w:pPr>
        <w:spacing w:line="360" w:lineRule="auto"/>
        <w:rPr>
          <w:rFonts w:ascii="Garamond" w:eastAsia="Calibri" w:hAnsi="Garamond" w:cs="Arial"/>
        </w:rPr>
      </w:pPr>
    </w:p>
    <w:p w14:paraId="76FA3591" w14:textId="77777777" w:rsidR="00162224" w:rsidRPr="003037D2" w:rsidRDefault="00162224" w:rsidP="00162224">
      <w:pPr>
        <w:spacing w:line="360" w:lineRule="auto"/>
        <w:rPr>
          <w:rFonts w:ascii="Garamond" w:eastAsia="Calibri" w:hAnsi="Garamond" w:cs="Arial"/>
        </w:rPr>
      </w:pPr>
      <w:r w:rsidRPr="003037D2">
        <w:rPr>
          <w:rFonts w:ascii="Garamond" w:eastAsia="Calibri" w:hAnsi="Garamond" w:cs="Arial"/>
        </w:rPr>
        <w:tab/>
        <w:t xml:space="preserve">As well as evidence for an anxiety regarding the productive use of time, demonstrated by records of money earned, work done, and places visited, annotated almanacs also hold evidence of the flexible, resourceful way in which individuals could think and write about time in the early modern period.  Michelle </w:t>
      </w:r>
      <w:proofErr w:type="spellStart"/>
      <w:r w:rsidRPr="003037D2">
        <w:rPr>
          <w:rFonts w:ascii="Garamond" w:eastAsia="Calibri" w:hAnsi="Garamond" w:cs="Arial"/>
        </w:rPr>
        <w:t>Serres</w:t>
      </w:r>
      <w:proofErr w:type="spellEnd"/>
      <w:r w:rsidRPr="003037D2">
        <w:rPr>
          <w:rFonts w:ascii="Garamond" w:eastAsia="Calibri" w:hAnsi="Garamond" w:cs="Arial"/>
        </w:rPr>
        <w:t xml:space="preserve"> has presented an idea of time that stands in opposition to the ‘classical theory… of the line, continuous or interrupted’. He focuses instead on the ‘chaotic’ nature of time, arguing that ‘time is paradoxical; it folds or twists… here interrupted, there vertical, mobile, and unexpected’.</w:t>
      </w:r>
      <w:r w:rsidRPr="003037D2">
        <w:rPr>
          <w:rFonts w:ascii="Garamond" w:eastAsia="Calibri" w:hAnsi="Garamond" w:cs="Arial"/>
          <w:vertAlign w:val="superscript"/>
        </w:rPr>
        <w:footnoteReference w:id="173"/>
      </w:r>
      <w:r w:rsidRPr="003037D2">
        <w:rPr>
          <w:rFonts w:ascii="Garamond" w:eastAsia="Calibri" w:hAnsi="Garamond" w:cs="Arial"/>
        </w:rPr>
        <w:t xml:space="preserve">  He points toward the fact that in French the term </w:t>
      </w:r>
      <w:r w:rsidRPr="003037D2">
        <w:rPr>
          <w:rFonts w:ascii="Garamond" w:eastAsia="Calibri" w:hAnsi="Garamond" w:cs="Arial"/>
          <w:i/>
          <w:iCs/>
        </w:rPr>
        <w:t xml:space="preserve">le temps </w:t>
      </w:r>
      <w:r w:rsidRPr="003037D2">
        <w:rPr>
          <w:rFonts w:ascii="Garamond" w:eastAsia="Calibri" w:hAnsi="Garamond" w:cs="Arial"/>
        </w:rPr>
        <w:t xml:space="preserve">means both time and weather, and argues that this casts a light on the fact that both are changeable.  </w:t>
      </w:r>
      <w:proofErr w:type="spellStart"/>
      <w:r w:rsidRPr="003037D2">
        <w:rPr>
          <w:rFonts w:ascii="Garamond" w:eastAsia="Calibri" w:hAnsi="Garamond" w:cs="Arial"/>
        </w:rPr>
        <w:t>Serres</w:t>
      </w:r>
      <w:proofErr w:type="spellEnd"/>
      <w:r w:rsidRPr="003037D2">
        <w:rPr>
          <w:rFonts w:ascii="Garamond" w:eastAsia="Calibri" w:hAnsi="Garamond" w:cs="Arial"/>
        </w:rPr>
        <w:t xml:space="preserve"> argues that a topological, rather than geometric understanding of time, is needed, to avoid imposing ‘a constant distance between moving </w:t>
      </w:r>
      <w:proofErr w:type="gramStart"/>
      <w:r w:rsidRPr="003037D2">
        <w:rPr>
          <w:rFonts w:ascii="Garamond" w:eastAsia="Calibri" w:hAnsi="Garamond" w:cs="Arial"/>
        </w:rPr>
        <w:t>objects’</w:t>
      </w:r>
      <w:proofErr w:type="gramEnd"/>
      <w:r w:rsidRPr="003037D2">
        <w:rPr>
          <w:rFonts w:ascii="Garamond" w:eastAsia="Calibri" w:hAnsi="Garamond" w:cs="Arial"/>
        </w:rPr>
        <w:t>.</w:t>
      </w:r>
      <w:r w:rsidRPr="003037D2">
        <w:rPr>
          <w:rFonts w:ascii="Garamond" w:eastAsia="Calibri" w:hAnsi="Garamond" w:cs="Arial"/>
          <w:vertAlign w:val="superscript"/>
        </w:rPr>
        <w:footnoteReference w:id="174"/>
      </w:r>
      <w:r w:rsidRPr="003037D2">
        <w:rPr>
          <w:rFonts w:ascii="Garamond" w:eastAsia="Calibri" w:hAnsi="Garamond" w:cs="Arial"/>
        </w:rPr>
        <w:t xml:space="preserve"> Time is experienced in an interior way by the bringing together of certain points which may seem temporally removed from one another. </w:t>
      </w:r>
      <w:proofErr w:type="spellStart"/>
      <w:r w:rsidRPr="003037D2">
        <w:rPr>
          <w:rFonts w:ascii="Garamond" w:eastAsia="Calibri" w:hAnsi="Garamond" w:cs="Arial"/>
        </w:rPr>
        <w:t>Serres</w:t>
      </w:r>
      <w:proofErr w:type="spellEnd"/>
      <w:r w:rsidRPr="003037D2">
        <w:rPr>
          <w:rFonts w:ascii="Garamond" w:eastAsia="Calibri" w:hAnsi="Garamond" w:cs="Arial"/>
        </w:rPr>
        <w:t xml:space="preserve"> uses the motif of a handkerchief to explain this, saying that experiential time ‘resembles [a…] crumpled version much more than the flat, overly simplified one’. Although linear time is needed as for measurements, </w:t>
      </w:r>
      <w:proofErr w:type="spellStart"/>
      <w:r w:rsidRPr="003037D2">
        <w:rPr>
          <w:rFonts w:ascii="Garamond" w:eastAsia="Calibri" w:hAnsi="Garamond" w:cs="Arial"/>
        </w:rPr>
        <w:t>Serres</w:t>
      </w:r>
      <w:proofErr w:type="spellEnd"/>
      <w:r w:rsidRPr="003037D2">
        <w:rPr>
          <w:rFonts w:ascii="Garamond" w:eastAsia="Calibri" w:hAnsi="Garamond" w:cs="Arial"/>
        </w:rPr>
        <w:t xml:space="preserve"> states that we should not extrapolate our general theory of time from this.</w:t>
      </w:r>
      <w:r w:rsidRPr="003037D2">
        <w:rPr>
          <w:rFonts w:ascii="Garamond" w:eastAsia="Calibri" w:hAnsi="Garamond" w:cs="Arial"/>
          <w:vertAlign w:val="superscript"/>
        </w:rPr>
        <w:footnoteReference w:id="175"/>
      </w:r>
      <w:r w:rsidRPr="003037D2">
        <w:rPr>
          <w:rFonts w:ascii="Garamond" w:eastAsia="Calibri" w:hAnsi="Garamond" w:cs="Arial"/>
        </w:rPr>
        <w:t xml:space="preserve"> </w:t>
      </w:r>
    </w:p>
    <w:p w14:paraId="77E5E971" w14:textId="77777777" w:rsidR="00162224" w:rsidRPr="003037D2" w:rsidRDefault="00162224" w:rsidP="00162224">
      <w:pPr>
        <w:spacing w:line="360" w:lineRule="auto"/>
        <w:rPr>
          <w:rFonts w:ascii="Garamond" w:eastAsia="Calibri" w:hAnsi="Garamond" w:cs="Arial"/>
        </w:rPr>
      </w:pPr>
    </w:p>
    <w:p w14:paraId="4A39984D" w14:textId="77777777"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t xml:space="preserve">This ‘flat’ view of linear time is present in the printed form of almanacs. However, even this is an oversimplification. Almanacs customarily provide many different dating systems, so we should perhaps see them providing many parallel timelines. Almanac annotators </w:t>
      </w:r>
      <w:proofErr w:type="spellStart"/>
      <w:r w:rsidRPr="003037D2">
        <w:rPr>
          <w:rFonts w:ascii="Garamond" w:eastAsia="Calibri" w:hAnsi="Garamond" w:cs="Arial"/>
        </w:rPr>
        <w:t>capitalise</w:t>
      </w:r>
      <w:proofErr w:type="spellEnd"/>
      <w:r w:rsidRPr="003037D2">
        <w:rPr>
          <w:rFonts w:ascii="Garamond" w:eastAsia="Calibri" w:hAnsi="Garamond" w:cs="Arial"/>
        </w:rPr>
        <w:t xml:space="preserve"> on this resource of a variety of timelines and add to them in their own idiosyncratic ways, creating what </w:t>
      </w:r>
      <w:proofErr w:type="spellStart"/>
      <w:r w:rsidRPr="003037D2">
        <w:rPr>
          <w:rFonts w:ascii="Garamond" w:eastAsia="Calibri" w:hAnsi="Garamond" w:cs="Arial"/>
        </w:rPr>
        <w:t>Serres</w:t>
      </w:r>
      <w:proofErr w:type="spellEnd"/>
      <w:r w:rsidRPr="003037D2">
        <w:rPr>
          <w:rFonts w:ascii="Garamond" w:eastAsia="Calibri" w:hAnsi="Garamond" w:cs="Arial"/>
        </w:rPr>
        <w:t xml:space="preserve"> terms a ‘crumpled’ notion of time, in which past, present, and future are brought together. In Wharton’s </w:t>
      </w:r>
      <w:proofErr w:type="spellStart"/>
      <w:r w:rsidRPr="003037D2">
        <w:rPr>
          <w:rFonts w:ascii="Garamond" w:eastAsia="Calibri" w:hAnsi="Garamond" w:cs="Arial"/>
          <w:i/>
        </w:rPr>
        <w:t>Calendarium</w:t>
      </w:r>
      <w:proofErr w:type="spellEnd"/>
      <w:r w:rsidRPr="003037D2">
        <w:rPr>
          <w:rFonts w:ascii="Garamond" w:eastAsia="Calibri" w:hAnsi="Garamond" w:cs="Arial"/>
          <w:i/>
        </w:rPr>
        <w:t xml:space="preserve"> </w:t>
      </w:r>
      <w:proofErr w:type="spellStart"/>
      <w:r w:rsidRPr="003037D2">
        <w:rPr>
          <w:rFonts w:ascii="Garamond" w:eastAsia="Calibri" w:hAnsi="Garamond" w:cs="Arial"/>
          <w:i/>
        </w:rPr>
        <w:t>Ecclesiasticum</w:t>
      </w:r>
      <w:proofErr w:type="spellEnd"/>
      <w:r w:rsidRPr="003037D2">
        <w:rPr>
          <w:rFonts w:ascii="Garamond" w:eastAsia="Calibri" w:hAnsi="Garamond" w:cs="Arial"/>
          <w:i/>
        </w:rPr>
        <w:t xml:space="preserve">, or A New Almanack after the old Fashion </w:t>
      </w:r>
      <w:r w:rsidRPr="003037D2">
        <w:rPr>
          <w:rFonts w:ascii="Garamond" w:eastAsia="Calibri" w:hAnsi="Garamond" w:cs="Arial"/>
        </w:rPr>
        <w:t xml:space="preserve">(1659) the chronology is lacking. The unknown annotator of the Huntington Library copy has created their own chronology on the facing blank page for April. At the top of the page is listed, ‘1645 </w:t>
      </w:r>
      <w:proofErr w:type="spellStart"/>
      <w:r w:rsidRPr="003037D2">
        <w:rPr>
          <w:rFonts w:ascii="Garamond" w:eastAsia="Calibri" w:hAnsi="Garamond" w:cs="Arial"/>
        </w:rPr>
        <w:t>Tho</w:t>
      </w:r>
      <w:proofErr w:type="spellEnd"/>
      <w:r w:rsidRPr="003037D2">
        <w:rPr>
          <w:rFonts w:ascii="Garamond" w:eastAsia="Calibri" w:hAnsi="Garamond" w:cs="Arial"/>
        </w:rPr>
        <w:t xml:space="preserve">. Parr dyed being aged 152 </w:t>
      </w:r>
      <w:proofErr w:type="spellStart"/>
      <w:r w:rsidRPr="003037D2">
        <w:rPr>
          <w:rFonts w:ascii="Garamond" w:eastAsia="Calibri" w:hAnsi="Garamond" w:cs="Arial"/>
        </w:rPr>
        <w:t>yeeres</w:t>
      </w:r>
      <w:proofErr w:type="spellEnd"/>
      <w:r w:rsidRPr="003037D2">
        <w:rPr>
          <w:rFonts w:ascii="Garamond" w:eastAsia="Calibri" w:hAnsi="Garamond" w:cs="Arial"/>
        </w:rPr>
        <w:t xml:space="preserve">/ 1555 Coaches first used in England’. This is followed by current political notes, ‘Friday 22 1659 the Parliament dispersed, and at the </w:t>
      </w:r>
      <w:r w:rsidRPr="003037D2">
        <w:rPr>
          <w:rFonts w:ascii="Garamond" w:eastAsia="Calibri" w:hAnsi="Garamond" w:cs="Arial"/>
        </w:rPr>
        <w:lastRenderedPageBreak/>
        <w:t>bottom of the page another historical note: ‘1380 guns invented’.</w:t>
      </w:r>
      <w:r w:rsidRPr="003037D2">
        <w:rPr>
          <w:rFonts w:ascii="Garamond" w:eastAsia="Calibri" w:hAnsi="Garamond" w:cs="Arial"/>
          <w:vertAlign w:val="superscript"/>
        </w:rPr>
        <w:footnoteReference w:id="176"/>
      </w:r>
      <w:r w:rsidRPr="003037D2">
        <w:rPr>
          <w:rFonts w:ascii="Garamond" w:eastAsia="Calibri" w:hAnsi="Garamond" w:cs="Arial"/>
        </w:rPr>
        <w:t xml:space="preserve"> In the same way that the title off the almanac both proclaims its newness and gestures towards its invocation of the ‘old fashion’, the handwritten chronology flits between different time frames. This non-linear chronology demonstrates the annotator’s various concerns, combining facts often found on chronologies, such as the first use of coaches and guns, with the unusual invocation of Thomas Parr, ‘the old, old, very old man’ </w:t>
      </w:r>
      <w:proofErr w:type="spellStart"/>
      <w:r w:rsidRPr="003037D2">
        <w:rPr>
          <w:rFonts w:ascii="Garamond" w:eastAsia="Calibri" w:hAnsi="Garamond" w:cs="Arial"/>
        </w:rPr>
        <w:t>memorialised</w:t>
      </w:r>
      <w:proofErr w:type="spellEnd"/>
      <w:r w:rsidRPr="003037D2">
        <w:rPr>
          <w:rFonts w:ascii="Garamond" w:eastAsia="Calibri" w:hAnsi="Garamond" w:cs="Arial"/>
        </w:rPr>
        <w:t xml:space="preserve"> in John Taylor’s 1635 poem.</w:t>
      </w:r>
      <w:r w:rsidRPr="003037D2">
        <w:rPr>
          <w:rFonts w:ascii="Garamond" w:eastAsia="Calibri" w:hAnsi="Garamond" w:cs="Arial"/>
          <w:vertAlign w:val="superscript"/>
        </w:rPr>
        <w:footnoteReference w:id="177"/>
      </w:r>
      <w:r w:rsidRPr="003037D2">
        <w:rPr>
          <w:rFonts w:ascii="Garamond" w:eastAsia="Calibri" w:hAnsi="Garamond" w:cs="Arial"/>
        </w:rPr>
        <w:t xml:space="preserve"> The gathering together of both history and current affairs on one page speaks to the owner’s flexibility of use with the almanac. </w:t>
      </w:r>
    </w:p>
    <w:p w14:paraId="1E948C61" w14:textId="77777777" w:rsidR="00162224" w:rsidRPr="003037D2" w:rsidRDefault="00162224" w:rsidP="00162224">
      <w:pPr>
        <w:spacing w:line="360" w:lineRule="auto"/>
        <w:ind w:firstLine="720"/>
        <w:rPr>
          <w:rFonts w:ascii="Garamond" w:eastAsia="Calibri" w:hAnsi="Garamond" w:cs="Arial"/>
        </w:rPr>
      </w:pPr>
    </w:p>
    <w:p w14:paraId="43DA26E0" w14:textId="4B628DEE"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t>Andy Clark and David Chalmers’ theory of the ‘extended mind’, first espoused in</w:t>
      </w:r>
      <w:r w:rsidRPr="003037D2">
        <w:rPr>
          <w:rFonts w:ascii="Garamond" w:eastAsia="Calibri" w:hAnsi="Garamond" w:cs="Arial"/>
          <w:i/>
        </w:rPr>
        <w:t xml:space="preserve"> </w:t>
      </w:r>
      <w:r w:rsidRPr="003037D2">
        <w:rPr>
          <w:rFonts w:ascii="Garamond" w:eastAsia="Calibri" w:hAnsi="Garamond" w:cs="Arial"/>
        </w:rPr>
        <w:t xml:space="preserve">the 1998 edition of </w:t>
      </w:r>
      <w:r w:rsidRPr="003037D2">
        <w:rPr>
          <w:rFonts w:ascii="Garamond" w:eastAsia="Calibri" w:hAnsi="Garamond" w:cs="Arial"/>
          <w:i/>
        </w:rPr>
        <w:t xml:space="preserve">Analysis, </w:t>
      </w:r>
      <w:r w:rsidRPr="003037D2">
        <w:rPr>
          <w:rFonts w:ascii="Garamond" w:eastAsia="Calibri" w:hAnsi="Garamond" w:cs="Arial"/>
        </w:rPr>
        <w:t xml:space="preserve">questions the normal dualism about where the mind </w:t>
      </w:r>
      <w:proofErr w:type="gramStart"/>
      <w:r w:rsidRPr="003037D2">
        <w:rPr>
          <w:rFonts w:ascii="Garamond" w:eastAsia="Calibri" w:hAnsi="Garamond" w:cs="Arial"/>
        </w:rPr>
        <w:t>stops</w:t>
      </w:r>
      <w:proofErr w:type="gramEnd"/>
      <w:r w:rsidRPr="003037D2">
        <w:rPr>
          <w:rFonts w:ascii="Garamond" w:eastAsia="Calibri" w:hAnsi="Garamond" w:cs="Arial"/>
        </w:rPr>
        <w:t xml:space="preserve"> and the rest of the world begins. Clark and Chalmers propose an ‘active externalism’ which demonstrates the ‘active role of the environment in driving cognitive processes’.</w:t>
      </w:r>
      <w:r w:rsidRPr="003037D2">
        <w:rPr>
          <w:rFonts w:ascii="Garamond" w:eastAsia="Calibri" w:hAnsi="Garamond" w:cs="Arial"/>
          <w:vertAlign w:val="superscript"/>
        </w:rPr>
        <w:t xml:space="preserve"> </w:t>
      </w:r>
      <w:r w:rsidRPr="003037D2">
        <w:rPr>
          <w:rFonts w:ascii="Garamond" w:eastAsia="Calibri" w:hAnsi="Garamond" w:cs="Arial"/>
          <w:vertAlign w:val="superscript"/>
        </w:rPr>
        <w:footnoteReference w:id="178"/>
      </w:r>
      <w:r w:rsidRPr="003037D2">
        <w:rPr>
          <w:rFonts w:ascii="Garamond" w:eastAsia="Calibri" w:hAnsi="Garamond" w:cs="Arial"/>
        </w:rPr>
        <w:t xml:space="preserve"> They base this</w:t>
      </w:r>
      <w:r w:rsidR="00C03F06" w:rsidRPr="003037D2">
        <w:rPr>
          <w:rFonts w:ascii="Garamond" w:eastAsia="Calibri" w:hAnsi="Garamond" w:cs="Arial"/>
        </w:rPr>
        <w:t xml:space="preserve"> theory</w:t>
      </w:r>
      <w:r w:rsidRPr="003037D2">
        <w:rPr>
          <w:rFonts w:ascii="Garamond" w:eastAsia="Calibri" w:hAnsi="Garamond" w:cs="Arial"/>
        </w:rPr>
        <w:t xml:space="preserve"> on their observation</w:t>
      </w:r>
      <w:r w:rsidR="00C03F06" w:rsidRPr="003037D2">
        <w:rPr>
          <w:rFonts w:ascii="Garamond" w:eastAsia="Calibri" w:hAnsi="Garamond" w:cs="Arial"/>
        </w:rPr>
        <w:t>s of</w:t>
      </w:r>
      <w:r w:rsidRPr="003037D2">
        <w:rPr>
          <w:rFonts w:ascii="Garamond" w:eastAsia="Calibri" w:hAnsi="Garamond" w:cs="Arial"/>
        </w:rPr>
        <w:t xml:space="preserve"> ‘the general tendency of human reasoners to lean heavily on environmental supports’, citing the examples of using a pen and paper to do long multiplication, and rearranging letter tiles in Scrabble to prompt word recall. Indeed, in Clark and Chalmers’ view, ‘the general paraphernalia of language, books, diagrams and culture’ can be seen as ‘environmental supports’ enabling cognition.</w:t>
      </w:r>
      <w:r w:rsidRPr="003037D2">
        <w:rPr>
          <w:rFonts w:ascii="Garamond" w:eastAsia="Calibri" w:hAnsi="Garamond" w:cs="Arial"/>
          <w:vertAlign w:val="superscript"/>
        </w:rPr>
        <w:footnoteReference w:id="179"/>
      </w:r>
      <w:r w:rsidRPr="003037D2">
        <w:rPr>
          <w:rFonts w:ascii="Garamond" w:eastAsia="Calibri" w:hAnsi="Garamond" w:cs="Arial"/>
        </w:rPr>
        <w:t xml:space="preserve"> The personal diary is an ideal example of this form of embodied cognition; Clark and Chalmers use it in their case study of ‘Otto’, the amnesiac who needs his notebook to find his way to the art gallery. Moreover, Richard </w:t>
      </w:r>
      <w:proofErr w:type="spellStart"/>
      <w:r w:rsidRPr="003037D2">
        <w:rPr>
          <w:rFonts w:ascii="Garamond" w:eastAsia="Calibri" w:hAnsi="Garamond" w:cs="Arial"/>
        </w:rPr>
        <w:t>Menary</w:t>
      </w:r>
      <w:proofErr w:type="spellEnd"/>
      <w:r w:rsidRPr="003037D2">
        <w:rPr>
          <w:rFonts w:ascii="Garamond" w:eastAsia="Calibri" w:hAnsi="Garamond" w:cs="Arial"/>
        </w:rPr>
        <w:t xml:space="preserve"> uses the diary to explain the difference between asymmetric and symmetric theories of the extended mind. In the asymmetric model, environmental features have causal influence over inner processes – so if you take someone’s diary away, they will not be able to remember their engagements: ‘The diary prompts my recall of memories, but there is no need to go further and say that because the diary has a causal influence on me that it is thereby part of my memory, or the cognitive processes that allow me to remember’.</w:t>
      </w:r>
      <w:r w:rsidRPr="003037D2">
        <w:rPr>
          <w:rFonts w:ascii="Garamond" w:eastAsia="Calibri" w:hAnsi="Garamond" w:cs="Arial"/>
          <w:vertAlign w:val="superscript"/>
        </w:rPr>
        <w:footnoteReference w:id="180"/>
      </w:r>
      <w:r w:rsidRPr="003037D2">
        <w:rPr>
          <w:rFonts w:ascii="Garamond" w:eastAsia="Calibri" w:hAnsi="Garamond" w:cs="Arial"/>
        </w:rPr>
        <w:t xml:space="preserve"> The diary is also used to explain the symmetrical model of the extended mind: </w:t>
      </w:r>
    </w:p>
    <w:p w14:paraId="23123DB6" w14:textId="6352BB05" w:rsidR="00162224" w:rsidRDefault="00162224" w:rsidP="00162224">
      <w:pPr>
        <w:ind w:left="737" w:right="737"/>
        <w:rPr>
          <w:rFonts w:ascii="Garamond" w:eastAsia="Calibri" w:hAnsi="Garamond" w:cs="Arial"/>
        </w:rPr>
      </w:pPr>
      <w:r w:rsidRPr="003037D2">
        <w:rPr>
          <w:rFonts w:ascii="Garamond" w:eastAsia="Calibri" w:hAnsi="Garamond" w:cs="Arial"/>
        </w:rPr>
        <w:t xml:space="preserve">the inner and outer features have a mutually constraining causal influence on one another that unfolds over time. It is not simply that </w:t>
      </w:r>
      <w:r w:rsidRPr="003037D2">
        <w:rPr>
          <w:rFonts w:ascii="Garamond" w:eastAsia="Calibri" w:hAnsi="Garamond" w:cs="Arial"/>
        </w:rPr>
        <w:lastRenderedPageBreak/>
        <w:t xml:space="preserve">the diary prompts or causes… various cognitive processes to unfold in my brain; rather, the external process of retrieving the information from the diary and the concurrent process in my brain jointly govern my future </w:t>
      </w:r>
      <w:proofErr w:type="spellStart"/>
      <w:r w:rsidRPr="003037D2">
        <w:rPr>
          <w:rFonts w:ascii="Garamond" w:eastAsia="Calibri" w:hAnsi="Garamond" w:cs="Arial"/>
        </w:rPr>
        <w:t>behaviour</w:t>
      </w:r>
      <w:proofErr w:type="spellEnd"/>
      <w:r w:rsidRPr="003037D2">
        <w:rPr>
          <w:rFonts w:ascii="Garamond" w:eastAsia="Calibri" w:hAnsi="Garamond" w:cs="Arial"/>
        </w:rPr>
        <w:t>.</w:t>
      </w:r>
      <w:r w:rsidRPr="003037D2">
        <w:rPr>
          <w:rFonts w:ascii="Garamond" w:eastAsia="Calibri" w:hAnsi="Garamond" w:cs="Arial"/>
          <w:vertAlign w:val="superscript"/>
        </w:rPr>
        <w:footnoteReference w:id="181"/>
      </w:r>
    </w:p>
    <w:p w14:paraId="77DDA3C7" w14:textId="77777777" w:rsidR="0056489A" w:rsidRPr="003037D2" w:rsidRDefault="0056489A" w:rsidP="00162224">
      <w:pPr>
        <w:ind w:left="737" w:right="737"/>
        <w:rPr>
          <w:rFonts w:ascii="Garamond" w:eastAsia="Calibri" w:hAnsi="Garamond" w:cs="Arial"/>
        </w:rPr>
      </w:pPr>
    </w:p>
    <w:p w14:paraId="0DD63CE5" w14:textId="77777777" w:rsidR="00162224" w:rsidRPr="003037D2" w:rsidRDefault="00162224" w:rsidP="00162224">
      <w:pPr>
        <w:spacing w:line="360" w:lineRule="auto"/>
        <w:rPr>
          <w:rFonts w:ascii="Garamond" w:eastAsia="Calibri" w:hAnsi="Garamond" w:cs="Arial"/>
        </w:rPr>
      </w:pPr>
      <w:r w:rsidRPr="003037D2">
        <w:rPr>
          <w:rFonts w:ascii="Garamond" w:eastAsia="Calibri" w:hAnsi="Garamond" w:cs="Arial"/>
        </w:rPr>
        <w:t xml:space="preserve">Clark and Chalmers are not necessarily insisting on equal importance for external objects and the internal mind in governing </w:t>
      </w:r>
      <w:proofErr w:type="spellStart"/>
      <w:r w:rsidRPr="003037D2">
        <w:rPr>
          <w:rFonts w:ascii="Garamond" w:eastAsia="Calibri" w:hAnsi="Garamond" w:cs="Arial"/>
        </w:rPr>
        <w:t>behaviour</w:t>
      </w:r>
      <w:proofErr w:type="spellEnd"/>
      <w:r w:rsidRPr="003037D2">
        <w:rPr>
          <w:rFonts w:ascii="Garamond" w:eastAsia="Calibri" w:hAnsi="Garamond" w:cs="Arial"/>
        </w:rPr>
        <w:t xml:space="preserve">. A note at the beginning of the article tells us that ‘the authors are listed in order of belief in the central thesis’, suggesting that even as they presented </w:t>
      </w:r>
      <w:proofErr w:type="gramStart"/>
      <w:r w:rsidRPr="003037D2">
        <w:rPr>
          <w:rFonts w:ascii="Garamond" w:eastAsia="Calibri" w:hAnsi="Garamond" w:cs="Arial"/>
        </w:rPr>
        <w:t>it</w:t>
      </w:r>
      <w:proofErr w:type="gramEnd"/>
      <w:r w:rsidRPr="003037D2">
        <w:rPr>
          <w:rFonts w:ascii="Garamond" w:eastAsia="Calibri" w:hAnsi="Garamond" w:cs="Arial"/>
        </w:rPr>
        <w:t xml:space="preserve"> they held back from espousing it completely. However, their theory posits that in many ways, cognition is extended to the objects and environment that surrounds us.</w:t>
      </w:r>
      <w:r w:rsidRPr="003037D2">
        <w:rPr>
          <w:rFonts w:ascii="Garamond" w:eastAsia="Calibri" w:hAnsi="Garamond" w:cs="Arial"/>
          <w:vertAlign w:val="superscript"/>
        </w:rPr>
        <w:footnoteReference w:id="182"/>
      </w:r>
      <w:r w:rsidRPr="003037D2">
        <w:rPr>
          <w:rFonts w:ascii="Garamond" w:eastAsia="Calibri" w:hAnsi="Garamond" w:cs="Arial"/>
        </w:rPr>
        <w:t xml:space="preserve"> They argue that ‘what keeps real cognition processes in the head is the requirement that cognitive processes be </w:t>
      </w:r>
      <w:r w:rsidRPr="003037D2">
        <w:rPr>
          <w:rFonts w:ascii="Garamond" w:eastAsia="Calibri" w:hAnsi="Garamond" w:cs="Arial"/>
          <w:i/>
        </w:rPr>
        <w:t>portable’</w:t>
      </w:r>
      <w:r w:rsidRPr="003037D2">
        <w:rPr>
          <w:rFonts w:ascii="Garamond" w:eastAsia="Calibri" w:hAnsi="Garamond" w:cs="Arial"/>
        </w:rPr>
        <w:t>.</w:t>
      </w:r>
      <w:r w:rsidRPr="003037D2">
        <w:rPr>
          <w:rFonts w:ascii="Garamond" w:eastAsia="Calibri" w:hAnsi="Garamond" w:cs="Arial"/>
          <w:vertAlign w:val="superscript"/>
        </w:rPr>
        <w:footnoteReference w:id="183"/>
      </w:r>
      <w:r w:rsidRPr="003037D2">
        <w:rPr>
          <w:rFonts w:ascii="Garamond" w:eastAsia="Calibri" w:hAnsi="Garamond" w:cs="Arial"/>
        </w:rPr>
        <w:t xml:space="preserve"> Almanacs were often portable, in the way a phone is today, in comparison to a large tome. Therefore, following Clark and Chalmers’ theory, the almanac has a greater potential to become a working element of cognition. </w:t>
      </w:r>
    </w:p>
    <w:p w14:paraId="6EEAE57F" w14:textId="77777777" w:rsidR="00162224" w:rsidRPr="003037D2" w:rsidRDefault="00162224" w:rsidP="00162224">
      <w:pPr>
        <w:spacing w:line="360" w:lineRule="auto"/>
        <w:rPr>
          <w:rFonts w:ascii="Garamond" w:eastAsia="Calibri" w:hAnsi="Garamond" w:cs="Arial"/>
        </w:rPr>
      </w:pPr>
    </w:p>
    <w:p w14:paraId="44731DD7" w14:textId="77777777" w:rsidR="00162224" w:rsidRPr="003037D2" w:rsidRDefault="00162224" w:rsidP="00162224">
      <w:pPr>
        <w:spacing w:line="360" w:lineRule="auto"/>
        <w:ind w:firstLine="567"/>
        <w:rPr>
          <w:rFonts w:ascii="Garamond" w:eastAsia="Calibri" w:hAnsi="Garamond" w:cs="Arial"/>
        </w:rPr>
      </w:pPr>
      <w:r w:rsidRPr="003037D2">
        <w:rPr>
          <w:rFonts w:ascii="Garamond" w:eastAsia="Calibri" w:hAnsi="Garamond" w:cs="Arial"/>
        </w:rPr>
        <w:t xml:space="preserve">Thomas Hill’s </w:t>
      </w:r>
      <w:proofErr w:type="spellStart"/>
      <w:r w:rsidRPr="003037D2">
        <w:rPr>
          <w:rFonts w:ascii="Garamond" w:eastAsia="Calibri" w:hAnsi="Garamond" w:cs="Arial"/>
          <w:i/>
          <w:iCs/>
        </w:rPr>
        <w:t>Booke</w:t>
      </w:r>
      <w:proofErr w:type="spellEnd"/>
      <w:r w:rsidRPr="003037D2">
        <w:rPr>
          <w:rFonts w:ascii="Garamond" w:eastAsia="Calibri" w:hAnsi="Garamond" w:cs="Arial"/>
          <w:i/>
          <w:iCs/>
        </w:rPr>
        <w:t xml:space="preserve"> of </w:t>
      </w:r>
      <w:proofErr w:type="spellStart"/>
      <w:r w:rsidRPr="003037D2">
        <w:rPr>
          <w:rFonts w:ascii="Garamond" w:eastAsia="Calibri" w:hAnsi="Garamond" w:cs="Arial"/>
          <w:i/>
          <w:iCs/>
        </w:rPr>
        <w:t>Memorie</w:t>
      </w:r>
      <w:proofErr w:type="spellEnd"/>
      <w:r w:rsidRPr="003037D2">
        <w:rPr>
          <w:rFonts w:ascii="Garamond" w:eastAsia="Calibri" w:hAnsi="Garamond" w:cs="Arial"/>
          <w:i/>
          <w:iCs/>
        </w:rPr>
        <w:t xml:space="preserve">, </w:t>
      </w:r>
      <w:r w:rsidRPr="003037D2">
        <w:rPr>
          <w:rFonts w:ascii="Garamond" w:eastAsia="Calibri" w:hAnsi="Garamond" w:cs="Arial"/>
        </w:rPr>
        <w:t>discussed earlier in this chapter, makes an explicit claim to assist the reader in remembering. The annotator of the Huntington Library copy has reworked the book to their own need, turning it into a spiritual guide with every page covered in densely written</w:t>
      </w:r>
      <w:r w:rsidRPr="003037D2">
        <w:rPr>
          <w:rFonts w:ascii="Garamond" w:eastAsia="Calibri" w:hAnsi="Garamond" w:cs="Arial"/>
          <w:i/>
        </w:rPr>
        <w:t xml:space="preserve"> </w:t>
      </w:r>
      <w:r w:rsidRPr="003037D2">
        <w:rPr>
          <w:rFonts w:ascii="Garamond" w:eastAsia="Calibri" w:hAnsi="Garamond" w:cs="Arial"/>
        </w:rPr>
        <w:t>aphorisms and sententious sayings, presumably gathered from a wealth of writers, divines, and philosophers. Peculiarly, the Huntington Library copy is a good deal larger than a (largely unannotated) copy consulted at the British Library. Although the printing is the same size in each copy, the Huntington Library copy has extremely large margins below and to either side of the printed matter, suggesting that the British Library copy has been savagely trimmed for an unknown reason.</w:t>
      </w:r>
      <w:r w:rsidRPr="003037D2">
        <w:rPr>
          <w:rFonts w:ascii="Garamond" w:eastAsia="Calibri" w:hAnsi="Garamond" w:cs="Arial"/>
          <w:vertAlign w:val="superscript"/>
        </w:rPr>
        <w:footnoteReference w:id="184"/>
      </w:r>
      <w:r w:rsidRPr="003037D2">
        <w:rPr>
          <w:rFonts w:ascii="Garamond" w:eastAsia="Calibri" w:hAnsi="Garamond" w:cs="Arial"/>
        </w:rPr>
        <w:t xml:space="preserve"> The inside cover is filled with aphorisms to strengthen resolve: </w:t>
      </w:r>
    </w:p>
    <w:p w14:paraId="0F4C9FBE" w14:textId="1798E3E6" w:rsidR="00162224" w:rsidRDefault="00162224" w:rsidP="00162224">
      <w:pPr>
        <w:ind w:left="737" w:right="737"/>
        <w:rPr>
          <w:rFonts w:ascii="Garamond" w:eastAsia="Calibri" w:hAnsi="Garamond" w:cs="Arial"/>
        </w:rPr>
      </w:pPr>
      <w:r w:rsidRPr="003037D2">
        <w:rPr>
          <w:rFonts w:ascii="Garamond" w:eastAsia="Calibri" w:hAnsi="Garamond" w:cs="Arial"/>
        </w:rPr>
        <w:t xml:space="preserve">Howe can one be constant &amp; </w:t>
      </w:r>
      <w:proofErr w:type="gramStart"/>
      <w:r w:rsidRPr="003037D2">
        <w:rPr>
          <w:rFonts w:ascii="Garamond" w:eastAsia="Calibri" w:hAnsi="Garamond" w:cs="Arial"/>
        </w:rPr>
        <w:t>sure, or</w:t>
      </w:r>
      <w:proofErr w:type="gramEnd"/>
      <w:r w:rsidRPr="003037D2">
        <w:rPr>
          <w:rFonts w:ascii="Garamond" w:eastAsia="Calibri" w:hAnsi="Garamond" w:cs="Arial"/>
        </w:rPr>
        <w:t xml:space="preserve"> is it to be thought </w:t>
      </w:r>
      <w:proofErr w:type="spellStart"/>
      <w:r w:rsidRPr="003037D2">
        <w:rPr>
          <w:rFonts w:ascii="Garamond" w:eastAsia="Calibri" w:hAnsi="Garamond" w:cs="Arial"/>
        </w:rPr>
        <w:t>y</w:t>
      </w:r>
      <w:r w:rsidRPr="003037D2">
        <w:rPr>
          <w:rFonts w:ascii="Garamond" w:eastAsia="Calibri" w:hAnsi="Garamond" w:cs="Arial"/>
          <w:vertAlign w:val="superscript"/>
        </w:rPr>
        <w:t>t</w:t>
      </w:r>
      <w:proofErr w:type="spellEnd"/>
      <w:r w:rsidRPr="003037D2">
        <w:rPr>
          <w:rFonts w:ascii="Garamond" w:eastAsia="Calibri" w:hAnsi="Garamond" w:cs="Arial"/>
          <w:vertAlign w:val="superscript"/>
        </w:rPr>
        <w:t xml:space="preserve"> </w:t>
      </w:r>
      <w:proofErr w:type="spellStart"/>
      <w:r w:rsidRPr="003037D2">
        <w:rPr>
          <w:rFonts w:ascii="Garamond" w:eastAsia="Calibri" w:hAnsi="Garamond" w:cs="Arial"/>
        </w:rPr>
        <w:t>siche</w:t>
      </w:r>
      <w:proofErr w:type="spellEnd"/>
      <w:r w:rsidRPr="003037D2">
        <w:rPr>
          <w:rFonts w:ascii="Garamond" w:eastAsia="Calibri" w:hAnsi="Garamond" w:cs="Arial"/>
        </w:rPr>
        <w:t xml:space="preserve"> a one wilt put </w:t>
      </w:r>
      <w:proofErr w:type="spellStart"/>
      <w:r w:rsidRPr="003037D2">
        <w:rPr>
          <w:rFonts w:ascii="Garamond" w:eastAsia="Calibri" w:hAnsi="Garamond" w:cs="Arial"/>
        </w:rPr>
        <w:t>hi~self</w:t>
      </w:r>
      <w:proofErr w:type="spellEnd"/>
      <w:r w:rsidRPr="003037D2">
        <w:rPr>
          <w:rFonts w:ascii="Garamond" w:eastAsia="Calibri" w:hAnsi="Garamond" w:cs="Arial"/>
        </w:rPr>
        <w:t xml:space="preserve"> in </w:t>
      </w:r>
      <w:proofErr w:type="spellStart"/>
      <w:r w:rsidRPr="003037D2">
        <w:rPr>
          <w:rFonts w:ascii="Garamond" w:eastAsia="Calibri" w:hAnsi="Garamond" w:cs="Arial"/>
        </w:rPr>
        <w:t>perilll</w:t>
      </w:r>
      <w:proofErr w:type="spellEnd"/>
      <w:r w:rsidRPr="003037D2">
        <w:rPr>
          <w:rFonts w:ascii="Garamond" w:eastAsia="Calibri" w:hAnsi="Garamond" w:cs="Arial"/>
        </w:rPr>
        <w:t xml:space="preserve"> &amp; </w:t>
      </w:r>
      <w:proofErr w:type="spellStart"/>
      <w:r w:rsidRPr="003037D2">
        <w:rPr>
          <w:rFonts w:ascii="Garamond" w:eastAsia="Calibri" w:hAnsi="Garamond" w:cs="Arial"/>
        </w:rPr>
        <w:t>y</w:t>
      </w:r>
      <w:r w:rsidRPr="003037D2">
        <w:rPr>
          <w:rFonts w:ascii="Garamond" w:eastAsia="Calibri" w:hAnsi="Garamond" w:cs="Arial"/>
          <w:vertAlign w:val="superscript"/>
        </w:rPr>
        <w:t>t</w:t>
      </w:r>
      <w:proofErr w:type="spellEnd"/>
      <w:r w:rsidRPr="003037D2">
        <w:rPr>
          <w:rFonts w:ascii="Garamond" w:eastAsia="Calibri" w:hAnsi="Garamond" w:cs="Arial"/>
          <w:vertAlign w:val="superscript"/>
        </w:rPr>
        <w:t xml:space="preserve"> </w:t>
      </w:r>
      <w:proofErr w:type="spellStart"/>
      <w:r w:rsidRPr="003037D2">
        <w:rPr>
          <w:rFonts w:ascii="Garamond" w:eastAsia="Calibri" w:hAnsi="Garamond" w:cs="Arial"/>
        </w:rPr>
        <w:t>servith</w:t>
      </w:r>
      <w:proofErr w:type="spellEnd"/>
      <w:r w:rsidRPr="003037D2">
        <w:rPr>
          <w:rFonts w:ascii="Garamond" w:eastAsia="Calibri" w:hAnsi="Garamond" w:cs="Arial"/>
        </w:rPr>
        <w:t xml:space="preserve"> word[s] Care </w:t>
      </w:r>
      <w:proofErr w:type="spellStart"/>
      <w:r w:rsidRPr="003037D2">
        <w:rPr>
          <w:rFonts w:ascii="Garamond" w:eastAsia="Calibri" w:hAnsi="Garamond" w:cs="Arial"/>
        </w:rPr>
        <w:t>nat</w:t>
      </w:r>
      <w:proofErr w:type="spellEnd"/>
      <w:r w:rsidRPr="003037D2">
        <w:rPr>
          <w:rFonts w:ascii="Garamond" w:eastAsia="Calibri" w:hAnsi="Garamond" w:cs="Arial"/>
        </w:rPr>
        <w:t xml:space="preserve"> to suffer what is to be </w:t>
      </w:r>
      <w:proofErr w:type="spellStart"/>
      <w:r w:rsidRPr="003037D2">
        <w:rPr>
          <w:rFonts w:ascii="Garamond" w:eastAsia="Calibri" w:hAnsi="Garamond" w:cs="Arial"/>
        </w:rPr>
        <w:t>suferid</w:t>
      </w:r>
      <w:proofErr w:type="spellEnd"/>
      <w:r w:rsidRPr="003037D2">
        <w:rPr>
          <w:rFonts w:ascii="Garamond" w:eastAsia="Calibri" w:hAnsi="Garamond" w:cs="Arial"/>
        </w:rPr>
        <w:t xml:space="preserve">, It skillet owe well we </w:t>
      </w:r>
      <w:proofErr w:type="spellStart"/>
      <w:r w:rsidRPr="003037D2">
        <w:rPr>
          <w:rFonts w:ascii="Garamond" w:eastAsia="Calibri" w:hAnsi="Garamond" w:cs="Arial"/>
        </w:rPr>
        <w:t>lyve</w:t>
      </w:r>
      <w:proofErr w:type="spellEnd"/>
      <w:r w:rsidRPr="003037D2">
        <w:rPr>
          <w:rFonts w:ascii="Garamond" w:eastAsia="Calibri" w:hAnsi="Garamond" w:cs="Arial"/>
        </w:rPr>
        <w:t xml:space="preserve">, &amp; </w:t>
      </w:r>
      <w:proofErr w:type="spellStart"/>
      <w:r w:rsidRPr="003037D2">
        <w:rPr>
          <w:rFonts w:ascii="Garamond" w:eastAsia="Calibri" w:hAnsi="Garamond" w:cs="Arial"/>
        </w:rPr>
        <w:t>nat</w:t>
      </w:r>
      <w:proofErr w:type="spellEnd"/>
      <w:r w:rsidRPr="003037D2">
        <w:rPr>
          <w:rFonts w:ascii="Garamond" w:eastAsia="Calibri" w:hAnsi="Garamond" w:cs="Arial"/>
        </w:rPr>
        <w:t xml:space="preserve"> </w:t>
      </w:r>
      <w:proofErr w:type="spellStart"/>
      <w:r w:rsidRPr="003037D2">
        <w:rPr>
          <w:rFonts w:ascii="Garamond" w:eastAsia="Calibri" w:hAnsi="Garamond" w:cs="Arial"/>
        </w:rPr>
        <w:t>howe</w:t>
      </w:r>
      <w:proofErr w:type="spellEnd"/>
      <w:r w:rsidRPr="003037D2">
        <w:rPr>
          <w:rFonts w:ascii="Garamond" w:eastAsia="Calibri" w:hAnsi="Garamond" w:cs="Arial"/>
        </w:rPr>
        <w:t xml:space="preserve"> </w:t>
      </w:r>
      <w:proofErr w:type="spellStart"/>
      <w:r w:rsidRPr="003037D2">
        <w:rPr>
          <w:rFonts w:ascii="Garamond" w:eastAsia="Calibri" w:hAnsi="Garamond" w:cs="Arial"/>
        </w:rPr>
        <w:t>longe</w:t>
      </w:r>
      <w:proofErr w:type="spellEnd"/>
      <w:r w:rsidRPr="003037D2">
        <w:rPr>
          <w:rFonts w:ascii="Garamond" w:eastAsia="Calibri" w:hAnsi="Garamond" w:cs="Arial"/>
        </w:rPr>
        <w:t xml:space="preserve">. We pretend many times we </w:t>
      </w:r>
      <w:proofErr w:type="spellStart"/>
      <w:r w:rsidRPr="003037D2">
        <w:rPr>
          <w:rFonts w:ascii="Garamond" w:eastAsia="Calibri" w:hAnsi="Garamond" w:cs="Arial"/>
        </w:rPr>
        <w:t>can not</w:t>
      </w:r>
      <w:proofErr w:type="spellEnd"/>
      <w:r w:rsidRPr="003037D2">
        <w:rPr>
          <w:rFonts w:ascii="Garamond" w:eastAsia="Calibri" w:hAnsi="Garamond" w:cs="Arial"/>
        </w:rPr>
        <w:t xml:space="preserve">, when in </w:t>
      </w:r>
      <w:proofErr w:type="spellStart"/>
      <w:r w:rsidRPr="003037D2">
        <w:rPr>
          <w:rFonts w:ascii="Garamond" w:eastAsia="Calibri" w:hAnsi="Garamond" w:cs="Arial"/>
        </w:rPr>
        <w:t>dede</w:t>
      </w:r>
      <w:proofErr w:type="spellEnd"/>
      <w:r w:rsidRPr="003037D2">
        <w:rPr>
          <w:rFonts w:ascii="Garamond" w:eastAsia="Calibri" w:hAnsi="Garamond" w:cs="Arial"/>
        </w:rPr>
        <w:t xml:space="preserve"> we </w:t>
      </w:r>
      <w:proofErr w:type="spellStart"/>
      <w:r w:rsidRPr="003037D2">
        <w:rPr>
          <w:rFonts w:ascii="Garamond" w:eastAsia="Calibri" w:hAnsi="Garamond" w:cs="Arial"/>
        </w:rPr>
        <w:t>wilt</w:t>
      </w:r>
      <w:proofErr w:type="spellEnd"/>
      <w:r w:rsidRPr="003037D2">
        <w:rPr>
          <w:rFonts w:ascii="Garamond" w:eastAsia="Calibri" w:hAnsi="Garamond" w:cs="Arial"/>
        </w:rPr>
        <w:t xml:space="preserve"> not.</w:t>
      </w:r>
      <w:r w:rsidRPr="003037D2">
        <w:rPr>
          <w:rFonts w:ascii="Garamond" w:eastAsia="Calibri" w:hAnsi="Garamond" w:cs="Arial"/>
          <w:vertAlign w:val="superscript"/>
        </w:rPr>
        <w:footnoteReference w:id="185"/>
      </w:r>
      <w:r w:rsidRPr="003037D2">
        <w:rPr>
          <w:rFonts w:ascii="Garamond" w:eastAsia="Calibri" w:hAnsi="Garamond" w:cs="Arial"/>
        </w:rPr>
        <w:t xml:space="preserve"> </w:t>
      </w:r>
    </w:p>
    <w:p w14:paraId="5F6B9C7C" w14:textId="77777777" w:rsidR="0056489A" w:rsidRPr="003037D2" w:rsidRDefault="0056489A" w:rsidP="00162224">
      <w:pPr>
        <w:ind w:left="737" w:right="737"/>
        <w:rPr>
          <w:rFonts w:ascii="Garamond" w:eastAsia="Calibri" w:hAnsi="Garamond" w:cs="Arial"/>
        </w:rPr>
      </w:pPr>
    </w:p>
    <w:p w14:paraId="0998FF50" w14:textId="77777777" w:rsidR="00162224" w:rsidRPr="003037D2" w:rsidRDefault="00162224" w:rsidP="00162224">
      <w:pPr>
        <w:spacing w:line="360" w:lineRule="auto"/>
        <w:rPr>
          <w:rFonts w:ascii="Garamond" w:eastAsia="Calibri" w:hAnsi="Garamond" w:cs="Arial"/>
        </w:rPr>
      </w:pPr>
      <w:r w:rsidRPr="003037D2">
        <w:rPr>
          <w:rFonts w:ascii="Garamond" w:eastAsia="Calibri" w:hAnsi="Garamond" w:cs="Arial"/>
        </w:rPr>
        <w:lastRenderedPageBreak/>
        <w:t xml:space="preserve">This page also includes many thoughts about governance, such as ‘when </w:t>
      </w:r>
      <w:proofErr w:type="spellStart"/>
      <w:r w:rsidRPr="003037D2">
        <w:rPr>
          <w:rFonts w:ascii="Garamond" w:eastAsia="Calibri" w:hAnsi="Garamond" w:cs="Arial"/>
        </w:rPr>
        <w:t>y</w:t>
      </w:r>
      <w:r w:rsidRPr="003037D2">
        <w:rPr>
          <w:rFonts w:ascii="Garamond" w:eastAsia="Calibri" w:hAnsi="Garamond" w:cs="Arial"/>
          <w:vertAlign w:val="superscript"/>
        </w:rPr>
        <w:t>t</w:t>
      </w:r>
      <w:proofErr w:type="spellEnd"/>
      <w:r w:rsidRPr="003037D2">
        <w:rPr>
          <w:rFonts w:ascii="Garamond" w:eastAsia="Calibri" w:hAnsi="Garamond" w:cs="Arial"/>
          <w:vertAlign w:val="superscript"/>
        </w:rPr>
        <w:t xml:space="preserve"> </w:t>
      </w:r>
      <w:r w:rsidRPr="003037D2">
        <w:rPr>
          <w:rFonts w:ascii="Garamond" w:eastAsia="Calibri" w:hAnsi="Garamond" w:cs="Arial"/>
        </w:rPr>
        <w:t xml:space="preserve">Prince </w:t>
      </w:r>
      <w:proofErr w:type="spellStart"/>
      <w:r w:rsidRPr="003037D2">
        <w:rPr>
          <w:rFonts w:ascii="Garamond" w:eastAsia="Calibri" w:hAnsi="Garamond" w:cs="Arial"/>
        </w:rPr>
        <w:t>dothe</w:t>
      </w:r>
      <w:proofErr w:type="spellEnd"/>
      <w:r w:rsidRPr="003037D2">
        <w:rPr>
          <w:rFonts w:ascii="Garamond" w:eastAsia="Calibri" w:hAnsi="Garamond" w:cs="Arial"/>
        </w:rPr>
        <w:t xml:space="preserve"> well countenance y</w:t>
      </w:r>
      <w:r w:rsidRPr="003037D2">
        <w:rPr>
          <w:rFonts w:ascii="Garamond" w:eastAsia="Calibri" w:hAnsi="Garamond" w:cs="Arial"/>
          <w:vertAlign w:val="superscript"/>
        </w:rPr>
        <w:t xml:space="preserve">e </w:t>
      </w:r>
      <w:proofErr w:type="spellStart"/>
      <w:r w:rsidRPr="003037D2">
        <w:rPr>
          <w:rFonts w:ascii="Garamond" w:eastAsia="Calibri" w:hAnsi="Garamond" w:cs="Arial"/>
        </w:rPr>
        <w:t>honeste</w:t>
      </w:r>
      <w:proofErr w:type="spellEnd"/>
      <w:r w:rsidRPr="003037D2">
        <w:rPr>
          <w:rFonts w:ascii="Garamond" w:eastAsia="Calibri" w:hAnsi="Garamond" w:cs="Arial"/>
        </w:rPr>
        <w:t xml:space="preserve">, it is a </w:t>
      </w:r>
      <w:proofErr w:type="spellStart"/>
      <w:r w:rsidRPr="003037D2">
        <w:rPr>
          <w:rFonts w:ascii="Garamond" w:eastAsia="Calibri" w:hAnsi="Garamond" w:cs="Arial"/>
        </w:rPr>
        <w:t>safetye</w:t>
      </w:r>
      <w:proofErr w:type="spellEnd"/>
      <w:r w:rsidRPr="003037D2">
        <w:rPr>
          <w:rFonts w:ascii="Garamond" w:eastAsia="Calibri" w:hAnsi="Garamond" w:cs="Arial"/>
        </w:rPr>
        <w:t xml:space="preserve"> to y</w:t>
      </w:r>
      <w:r w:rsidRPr="003037D2">
        <w:rPr>
          <w:rFonts w:ascii="Garamond" w:eastAsia="Calibri" w:hAnsi="Garamond" w:cs="Arial"/>
          <w:vertAlign w:val="superscript"/>
        </w:rPr>
        <w:t xml:space="preserve">e </w:t>
      </w:r>
      <w:r w:rsidRPr="003037D2">
        <w:rPr>
          <w:rFonts w:ascii="Garamond" w:eastAsia="Calibri" w:hAnsi="Garamond" w:cs="Arial"/>
        </w:rPr>
        <w:t xml:space="preserve">whole body </w:t>
      </w:r>
      <w:proofErr w:type="spellStart"/>
      <w:r w:rsidRPr="003037D2">
        <w:rPr>
          <w:rFonts w:ascii="Garamond" w:eastAsia="Calibri" w:hAnsi="Garamond" w:cs="Arial"/>
        </w:rPr>
        <w:t>co~mitted</w:t>
      </w:r>
      <w:proofErr w:type="spellEnd"/>
      <w:r w:rsidRPr="003037D2">
        <w:rPr>
          <w:rFonts w:ascii="Garamond" w:eastAsia="Calibri" w:hAnsi="Garamond" w:cs="Arial"/>
        </w:rPr>
        <w:t xml:space="preserve"> this charge. When y</w:t>
      </w:r>
      <w:r w:rsidRPr="003037D2">
        <w:rPr>
          <w:rFonts w:ascii="Garamond" w:eastAsia="Calibri" w:hAnsi="Garamond" w:cs="Arial"/>
          <w:vertAlign w:val="superscript"/>
        </w:rPr>
        <w:t xml:space="preserve">e </w:t>
      </w:r>
      <w:r w:rsidRPr="003037D2">
        <w:rPr>
          <w:rFonts w:ascii="Garamond" w:eastAsia="Calibri" w:hAnsi="Garamond" w:cs="Arial"/>
        </w:rPr>
        <w:t xml:space="preserve">Prince is </w:t>
      </w:r>
      <w:proofErr w:type="spellStart"/>
      <w:r w:rsidRPr="003037D2">
        <w:rPr>
          <w:rFonts w:ascii="Garamond" w:eastAsia="Calibri" w:hAnsi="Garamond" w:cs="Arial"/>
        </w:rPr>
        <w:t>drawen</w:t>
      </w:r>
      <w:proofErr w:type="spellEnd"/>
      <w:r w:rsidRPr="003037D2">
        <w:rPr>
          <w:rFonts w:ascii="Garamond" w:eastAsia="Calibri" w:hAnsi="Garamond" w:cs="Arial"/>
        </w:rPr>
        <w:t xml:space="preserve"> to </w:t>
      </w:r>
      <w:proofErr w:type="spellStart"/>
      <w:r w:rsidRPr="003037D2">
        <w:rPr>
          <w:rFonts w:ascii="Garamond" w:eastAsia="Calibri" w:hAnsi="Garamond" w:cs="Arial"/>
        </w:rPr>
        <w:t>Tiranye</w:t>
      </w:r>
      <w:proofErr w:type="spellEnd"/>
      <w:r w:rsidRPr="003037D2">
        <w:rPr>
          <w:rFonts w:ascii="Garamond" w:eastAsia="Calibri" w:hAnsi="Garamond" w:cs="Arial"/>
        </w:rPr>
        <w:t xml:space="preserve">, then </w:t>
      </w:r>
      <w:proofErr w:type="spellStart"/>
      <w:r w:rsidRPr="003037D2">
        <w:rPr>
          <w:rFonts w:ascii="Garamond" w:eastAsia="Calibri" w:hAnsi="Garamond" w:cs="Arial"/>
        </w:rPr>
        <w:t>folowith</w:t>
      </w:r>
      <w:proofErr w:type="spellEnd"/>
      <w:r w:rsidRPr="003037D2">
        <w:rPr>
          <w:rFonts w:ascii="Garamond" w:eastAsia="Calibri" w:hAnsi="Garamond" w:cs="Arial"/>
        </w:rPr>
        <w:t xml:space="preserve"> </w:t>
      </w:r>
      <w:proofErr w:type="spellStart"/>
      <w:r w:rsidRPr="003037D2">
        <w:rPr>
          <w:rFonts w:ascii="Garamond" w:eastAsia="Calibri" w:hAnsi="Garamond" w:cs="Arial"/>
        </w:rPr>
        <w:t>unsuerty</w:t>
      </w:r>
      <w:proofErr w:type="spellEnd"/>
      <w:r w:rsidRPr="003037D2">
        <w:rPr>
          <w:rFonts w:ascii="Garamond" w:eastAsia="Calibri" w:hAnsi="Garamond" w:cs="Arial"/>
        </w:rPr>
        <w:t xml:space="preserve"> &amp; </w:t>
      </w:r>
      <w:proofErr w:type="spellStart"/>
      <w:r w:rsidRPr="003037D2">
        <w:rPr>
          <w:rFonts w:ascii="Garamond" w:eastAsia="Calibri" w:hAnsi="Garamond" w:cs="Arial"/>
        </w:rPr>
        <w:t>lacke</w:t>
      </w:r>
      <w:proofErr w:type="spellEnd"/>
      <w:r w:rsidRPr="003037D2">
        <w:rPr>
          <w:rFonts w:ascii="Garamond" w:eastAsia="Calibri" w:hAnsi="Garamond" w:cs="Arial"/>
        </w:rPr>
        <w:t xml:space="preserve"> of order’.</w:t>
      </w:r>
      <w:r w:rsidRPr="003037D2">
        <w:rPr>
          <w:rFonts w:ascii="Garamond" w:eastAsia="Calibri" w:hAnsi="Garamond" w:cs="Arial"/>
          <w:vertAlign w:val="superscript"/>
        </w:rPr>
        <w:footnoteReference w:id="186"/>
      </w:r>
      <w:r w:rsidRPr="003037D2">
        <w:rPr>
          <w:rFonts w:ascii="Garamond" w:eastAsia="Calibri" w:hAnsi="Garamond" w:cs="Arial"/>
        </w:rPr>
        <w:t xml:space="preserve"> The collecting together of sayings on governance seems akin to the way in which information was often </w:t>
      </w:r>
      <w:proofErr w:type="spellStart"/>
      <w:r w:rsidRPr="003037D2">
        <w:rPr>
          <w:rFonts w:ascii="Garamond" w:eastAsia="Calibri" w:hAnsi="Garamond" w:cs="Arial"/>
        </w:rPr>
        <w:t>organised</w:t>
      </w:r>
      <w:proofErr w:type="spellEnd"/>
      <w:r w:rsidRPr="003037D2">
        <w:rPr>
          <w:rFonts w:ascii="Garamond" w:eastAsia="Calibri" w:hAnsi="Garamond" w:cs="Arial"/>
        </w:rPr>
        <w:t xml:space="preserve"> in early modern commonplace books, gathered under headings which would then provide guidance to the reader.</w:t>
      </w:r>
      <w:r w:rsidRPr="003037D2">
        <w:rPr>
          <w:rFonts w:ascii="Garamond" w:eastAsia="Calibri" w:hAnsi="Garamond" w:cs="Arial"/>
          <w:vertAlign w:val="superscript"/>
        </w:rPr>
        <w:footnoteReference w:id="187"/>
      </w:r>
    </w:p>
    <w:p w14:paraId="4D8757E2" w14:textId="77777777" w:rsidR="00162224" w:rsidRPr="003037D2" w:rsidRDefault="00162224" w:rsidP="00162224">
      <w:pPr>
        <w:spacing w:line="360" w:lineRule="auto"/>
        <w:rPr>
          <w:rFonts w:ascii="Garamond" w:eastAsia="Calibri" w:hAnsi="Garamond" w:cs="Arial"/>
        </w:rPr>
      </w:pPr>
    </w:p>
    <w:p w14:paraId="5C435F4D" w14:textId="49DD43A9"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t xml:space="preserve">Examining the annotations reveals that the compiler may have used a means of </w:t>
      </w:r>
      <w:proofErr w:type="spellStart"/>
      <w:r w:rsidRPr="003037D2">
        <w:rPr>
          <w:rFonts w:ascii="Garamond" w:eastAsia="Calibri" w:hAnsi="Garamond" w:cs="Arial"/>
        </w:rPr>
        <w:t>organisation</w:t>
      </w:r>
      <w:proofErr w:type="spellEnd"/>
      <w:r w:rsidRPr="003037D2">
        <w:rPr>
          <w:rFonts w:ascii="Garamond" w:eastAsia="Calibri" w:hAnsi="Garamond" w:cs="Arial"/>
        </w:rPr>
        <w:t xml:space="preserve"> often seen in commonplace books: gathering together quotations by theme. On a leaf with a woodcut figure of ‘The </w:t>
      </w:r>
      <w:proofErr w:type="spellStart"/>
      <w:r w:rsidRPr="003037D2">
        <w:rPr>
          <w:rFonts w:ascii="Garamond" w:eastAsia="Calibri" w:hAnsi="Garamond" w:cs="Arial"/>
        </w:rPr>
        <w:t>anatomie</w:t>
      </w:r>
      <w:proofErr w:type="spellEnd"/>
      <w:r w:rsidRPr="003037D2">
        <w:rPr>
          <w:rFonts w:ascii="Garamond" w:eastAsia="Calibri" w:hAnsi="Garamond" w:cs="Arial"/>
        </w:rPr>
        <w:t xml:space="preserve"> of Man’, Biblical references to lions and bears are positioned at the top of the page: ‘David small </w:t>
      </w:r>
      <w:proofErr w:type="gramStart"/>
      <w:r w:rsidRPr="003037D2">
        <w:rPr>
          <w:rFonts w:ascii="Garamond" w:eastAsia="Calibri" w:hAnsi="Garamond" w:cs="Arial"/>
        </w:rPr>
        <w:t>In</w:t>
      </w:r>
      <w:proofErr w:type="gramEnd"/>
      <w:r w:rsidRPr="003037D2">
        <w:rPr>
          <w:rFonts w:ascii="Garamond" w:eastAsia="Calibri" w:hAnsi="Garamond" w:cs="Arial"/>
        </w:rPr>
        <w:t xml:space="preserve"> the </w:t>
      </w:r>
      <w:proofErr w:type="spellStart"/>
      <w:r w:rsidRPr="003037D2">
        <w:rPr>
          <w:rFonts w:ascii="Garamond" w:eastAsia="Calibri" w:hAnsi="Garamond" w:cs="Arial"/>
        </w:rPr>
        <w:t>the</w:t>
      </w:r>
      <w:proofErr w:type="spellEnd"/>
      <w:r w:rsidRPr="003037D2">
        <w:rPr>
          <w:rFonts w:ascii="Garamond" w:eastAsia="Calibri" w:hAnsi="Garamond" w:cs="Arial"/>
        </w:rPr>
        <w:t xml:space="preserve"> sight of </w:t>
      </w:r>
      <w:proofErr w:type="spellStart"/>
      <w:r w:rsidRPr="003037D2">
        <w:rPr>
          <w:rFonts w:ascii="Garamond" w:eastAsia="Calibri" w:hAnsi="Garamond" w:cs="Arial"/>
        </w:rPr>
        <w:t>israell</w:t>
      </w:r>
      <w:proofErr w:type="spellEnd"/>
      <w:r w:rsidRPr="003037D2">
        <w:rPr>
          <w:rFonts w:ascii="Garamond" w:eastAsia="Calibri" w:hAnsi="Garamond" w:cs="Arial"/>
        </w:rPr>
        <w:t xml:space="preserve"> slew y</w:t>
      </w:r>
      <w:r w:rsidRPr="003037D2">
        <w:rPr>
          <w:rFonts w:ascii="Garamond" w:eastAsia="Calibri" w:hAnsi="Garamond" w:cs="Arial"/>
          <w:vertAlign w:val="superscript"/>
        </w:rPr>
        <w:t xml:space="preserve">e </w:t>
      </w:r>
      <w:proofErr w:type="spellStart"/>
      <w:r w:rsidRPr="003037D2">
        <w:rPr>
          <w:rFonts w:ascii="Garamond" w:eastAsia="Calibri" w:hAnsi="Garamond" w:cs="Arial"/>
        </w:rPr>
        <w:t>lio</w:t>
      </w:r>
      <w:proofErr w:type="spellEnd"/>
      <w:r w:rsidRPr="003037D2">
        <w:rPr>
          <w:rFonts w:ascii="Garamond" w:eastAsia="Calibri" w:hAnsi="Garamond" w:cs="Arial"/>
        </w:rPr>
        <w:t xml:space="preserve">~ &amp; bear stoke his faith~ </w:t>
      </w:r>
      <w:proofErr w:type="spellStart"/>
      <w:r w:rsidRPr="003037D2">
        <w:rPr>
          <w:rFonts w:ascii="Garamond" w:eastAsia="Calibri" w:hAnsi="Garamond" w:cs="Arial"/>
        </w:rPr>
        <w:t>shepe</w:t>
      </w:r>
      <w:proofErr w:type="spellEnd"/>
      <w:r w:rsidRPr="003037D2">
        <w:rPr>
          <w:rFonts w:ascii="Garamond" w:eastAsia="Calibri" w:hAnsi="Garamond" w:cs="Arial"/>
        </w:rPr>
        <w:t xml:space="preserve"> out of </w:t>
      </w:r>
      <w:proofErr w:type="spellStart"/>
      <w:r w:rsidRPr="003037D2">
        <w:rPr>
          <w:rFonts w:ascii="Garamond" w:eastAsia="Calibri" w:hAnsi="Garamond" w:cs="Arial"/>
        </w:rPr>
        <w:t>y</w:t>
      </w:r>
      <w:r w:rsidRPr="003037D2">
        <w:rPr>
          <w:rFonts w:ascii="Garamond" w:eastAsia="Calibri" w:hAnsi="Garamond" w:cs="Arial"/>
          <w:vertAlign w:val="superscript"/>
        </w:rPr>
        <w:t>th</w:t>
      </w:r>
      <w:proofErr w:type="spellEnd"/>
      <w:r w:rsidRPr="003037D2">
        <w:rPr>
          <w:rFonts w:ascii="Garamond" w:eastAsia="Calibri" w:hAnsi="Garamond" w:cs="Arial"/>
          <w:vertAlign w:val="superscript"/>
        </w:rPr>
        <w:t xml:space="preserve">? </w:t>
      </w:r>
      <w:r w:rsidRPr="003037D2">
        <w:rPr>
          <w:rFonts w:ascii="Garamond" w:eastAsia="Calibri" w:hAnsi="Garamond" w:cs="Arial"/>
        </w:rPr>
        <w:t xml:space="preserve">Hands’, ‘the bear </w:t>
      </w:r>
      <w:proofErr w:type="spellStart"/>
      <w:r w:rsidRPr="003037D2">
        <w:rPr>
          <w:rFonts w:ascii="Garamond" w:eastAsia="Calibri" w:hAnsi="Garamond" w:cs="Arial"/>
        </w:rPr>
        <w:t>slewe</w:t>
      </w:r>
      <w:proofErr w:type="spellEnd"/>
      <w:r w:rsidRPr="003037D2">
        <w:rPr>
          <w:rFonts w:ascii="Garamond" w:eastAsia="Calibri" w:hAnsi="Garamond" w:cs="Arial"/>
        </w:rPr>
        <w:t xml:space="preserve"> </w:t>
      </w:r>
      <w:proofErr w:type="spellStart"/>
      <w:r w:rsidRPr="003037D2">
        <w:rPr>
          <w:rFonts w:ascii="Garamond" w:eastAsia="Calibri" w:hAnsi="Garamond" w:cs="Arial"/>
        </w:rPr>
        <w:t>chilre</w:t>
      </w:r>
      <w:proofErr w:type="spellEnd"/>
      <w:r w:rsidRPr="003037D2">
        <w:rPr>
          <w:rFonts w:ascii="Garamond" w:eastAsia="Calibri" w:hAnsi="Garamond" w:cs="Arial"/>
        </w:rPr>
        <w:t xml:space="preserve">~ </w:t>
      </w:r>
      <w:proofErr w:type="spellStart"/>
      <w:r w:rsidRPr="003037D2">
        <w:rPr>
          <w:rFonts w:ascii="Garamond" w:eastAsia="Calibri" w:hAnsi="Garamond" w:cs="Arial"/>
        </w:rPr>
        <w:t>y</w:t>
      </w:r>
      <w:r w:rsidRPr="003037D2">
        <w:rPr>
          <w:rFonts w:ascii="Garamond" w:eastAsia="Calibri" w:hAnsi="Garamond" w:cs="Arial"/>
          <w:vertAlign w:val="superscript"/>
        </w:rPr>
        <w:t>t</w:t>
      </w:r>
      <w:proofErr w:type="spellEnd"/>
      <w:r w:rsidRPr="003037D2">
        <w:rPr>
          <w:rFonts w:ascii="Garamond" w:eastAsia="Calibri" w:hAnsi="Garamond" w:cs="Arial"/>
        </w:rPr>
        <w:t xml:space="preserve"> </w:t>
      </w:r>
      <w:proofErr w:type="spellStart"/>
      <w:r w:rsidRPr="003037D2">
        <w:rPr>
          <w:rFonts w:ascii="Garamond" w:eastAsia="Calibri" w:hAnsi="Garamond" w:cs="Arial"/>
        </w:rPr>
        <w:t>moekid</w:t>
      </w:r>
      <w:proofErr w:type="spellEnd"/>
      <w:r w:rsidRPr="003037D2">
        <w:rPr>
          <w:rFonts w:ascii="Garamond" w:eastAsia="Calibri" w:hAnsi="Garamond" w:cs="Arial"/>
        </w:rPr>
        <w:t xml:space="preserve"> </w:t>
      </w:r>
      <w:proofErr w:type="spellStart"/>
      <w:r w:rsidRPr="003037D2">
        <w:rPr>
          <w:rFonts w:ascii="Garamond" w:eastAsia="Calibri" w:hAnsi="Garamond" w:cs="Arial"/>
        </w:rPr>
        <w:t>Elize</w:t>
      </w:r>
      <w:proofErr w:type="spellEnd"/>
      <w:r w:rsidRPr="003037D2">
        <w:rPr>
          <w:rFonts w:ascii="Garamond" w:eastAsia="Calibri" w:hAnsi="Garamond" w:cs="Arial"/>
        </w:rPr>
        <w:t xml:space="preserve">.’, ‘Lions </w:t>
      </w:r>
      <w:proofErr w:type="spellStart"/>
      <w:r w:rsidRPr="003037D2">
        <w:rPr>
          <w:rFonts w:ascii="Garamond" w:eastAsia="Calibri" w:hAnsi="Garamond" w:cs="Arial"/>
        </w:rPr>
        <w:t>devoureid</w:t>
      </w:r>
      <w:proofErr w:type="spellEnd"/>
      <w:r w:rsidRPr="003037D2">
        <w:rPr>
          <w:rFonts w:ascii="Garamond" w:eastAsia="Calibri" w:hAnsi="Garamond" w:cs="Arial"/>
        </w:rPr>
        <w:t xml:space="preserve"> </w:t>
      </w:r>
      <w:proofErr w:type="spellStart"/>
      <w:r w:rsidRPr="003037D2">
        <w:rPr>
          <w:rFonts w:ascii="Garamond" w:eastAsia="Calibri" w:hAnsi="Garamond" w:cs="Arial"/>
        </w:rPr>
        <w:t>samaria</w:t>
      </w:r>
      <w:proofErr w:type="spellEnd"/>
      <w:r w:rsidRPr="003037D2">
        <w:rPr>
          <w:rFonts w:ascii="Garamond" w:eastAsia="Calibri" w:hAnsi="Garamond" w:cs="Arial"/>
        </w:rPr>
        <w:t xml:space="preserve"> </w:t>
      </w:r>
      <w:proofErr w:type="spellStart"/>
      <w:r w:rsidRPr="003037D2">
        <w:rPr>
          <w:rFonts w:ascii="Garamond" w:eastAsia="Calibri" w:hAnsi="Garamond" w:cs="Arial"/>
        </w:rPr>
        <w:t>y</w:t>
      </w:r>
      <w:r w:rsidRPr="003037D2">
        <w:rPr>
          <w:rFonts w:ascii="Garamond" w:eastAsia="Calibri" w:hAnsi="Garamond" w:cs="Arial"/>
          <w:vertAlign w:val="superscript"/>
        </w:rPr>
        <w:t>ch</w:t>
      </w:r>
      <w:proofErr w:type="spellEnd"/>
      <w:r w:rsidRPr="003037D2">
        <w:rPr>
          <w:rFonts w:ascii="Garamond" w:eastAsia="Calibri" w:hAnsi="Garamond" w:cs="Arial"/>
          <w:vertAlign w:val="superscript"/>
        </w:rPr>
        <w:t xml:space="preserve"> </w:t>
      </w:r>
      <w:proofErr w:type="spellStart"/>
      <w:r w:rsidRPr="003037D2">
        <w:rPr>
          <w:rFonts w:ascii="Garamond" w:eastAsia="Calibri" w:hAnsi="Garamond" w:cs="Arial"/>
        </w:rPr>
        <w:t>y</w:t>
      </w:r>
      <w:r w:rsidRPr="003037D2">
        <w:rPr>
          <w:rFonts w:ascii="Garamond" w:eastAsia="Calibri" w:hAnsi="Garamond" w:cs="Arial"/>
          <w:vertAlign w:val="superscript"/>
        </w:rPr>
        <w:t>t</w:t>
      </w:r>
      <w:proofErr w:type="spellEnd"/>
      <w:r w:rsidRPr="003037D2">
        <w:rPr>
          <w:rFonts w:ascii="Garamond" w:eastAsia="Calibri" w:hAnsi="Garamond" w:cs="Arial"/>
          <w:vertAlign w:val="superscript"/>
        </w:rPr>
        <w:t xml:space="preserve"> </w:t>
      </w:r>
      <w:r w:rsidRPr="003037D2">
        <w:rPr>
          <w:rFonts w:ascii="Garamond" w:eastAsia="Calibri" w:hAnsi="Garamond" w:cs="Arial"/>
        </w:rPr>
        <w:t xml:space="preserve">did not </w:t>
      </w:r>
      <w:proofErr w:type="spellStart"/>
      <w:r w:rsidRPr="003037D2">
        <w:rPr>
          <w:rFonts w:ascii="Garamond" w:eastAsia="Calibri" w:hAnsi="Garamond" w:cs="Arial"/>
        </w:rPr>
        <w:t>feare</w:t>
      </w:r>
      <w:proofErr w:type="spellEnd"/>
      <w:r w:rsidRPr="003037D2">
        <w:rPr>
          <w:rFonts w:ascii="Garamond" w:eastAsia="Calibri" w:hAnsi="Garamond" w:cs="Arial"/>
        </w:rPr>
        <w:t xml:space="preserve"> God’, ‘Just as a Lion…’, ‘Du: the </w:t>
      </w:r>
      <w:proofErr w:type="spellStart"/>
      <w:r w:rsidRPr="003037D2">
        <w:rPr>
          <w:rFonts w:ascii="Garamond" w:eastAsia="Calibri" w:hAnsi="Garamond" w:cs="Arial"/>
        </w:rPr>
        <w:t>mouthes</w:t>
      </w:r>
      <w:proofErr w:type="spellEnd"/>
      <w:r w:rsidRPr="003037D2">
        <w:rPr>
          <w:rFonts w:ascii="Garamond" w:eastAsia="Calibri" w:hAnsi="Garamond" w:cs="Arial"/>
        </w:rPr>
        <w:t xml:space="preserve"> of y</w:t>
      </w:r>
      <w:r w:rsidRPr="003037D2">
        <w:rPr>
          <w:rFonts w:ascii="Garamond" w:eastAsia="Calibri" w:hAnsi="Garamond" w:cs="Arial"/>
          <w:vertAlign w:val="superscript"/>
        </w:rPr>
        <w:t xml:space="preserve">e </w:t>
      </w:r>
      <w:r w:rsidRPr="003037D2">
        <w:rPr>
          <w:rFonts w:ascii="Garamond" w:eastAsia="Calibri" w:hAnsi="Garamond" w:cs="Arial"/>
        </w:rPr>
        <w:t xml:space="preserve">Lions were hot when </w:t>
      </w:r>
      <w:proofErr w:type="spellStart"/>
      <w:r w:rsidRPr="003037D2">
        <w:rPr>
          <w:rFonts w:ascii="Garamond" w:eastAsia="Calibri" w:hAnsi="Garamond" w:cs="Arial"/>
        </w:rPr>
        <w:t>expersid</w:t>
      </w:r>
      <w:proofErr w:type="spellEnd"/>
      <w:r w:rsidRPr="003037D2">
        <w:rPr>
          <w:rFonts w:ascii="Garamond" w:eastAsia="Calibri" w:hAnsi="Garamond" w:cs="Arial"/>
        </w:rPr>
        <w:t xml:space="preserve"> Justice’.</w:t>
      </w:r>
      <w:r w:rsidRPr="003037D2">
        <w:rPr>
          <w:rFonts w:ascii="Garamond" w:eastAsia="Calibri" w:hAnsi="Garamond" w:cs="Arial"/>
          <w:vertAlign w:val="superscript"/>
        </w:rPr>
        <w:footnoteReference w:id="188"/>
      </w:r>
      <w:r w:rsidRPr="003037D2">
        <w:rPr>
          <w:rFonts w:ascii="Garamond" w:eastAsia="Calibri" w:hAnsi="Garamond" w:cs="Arial"/>
        </w:rPr>
        <w:t xml:space="preserve"> On a page describing ‘The nature and quality of the Xii. </w:t>
      </w:r>
      <w:proofErr w:type="spellStart"/>
      <w:r w:rsidRPr="003037D2">
        <w:rPr>
          <w:rFonts w:ascii="Garamond" w:eastAsia="Calibri" w:hAnsi="Garamond" w:cs="Arial"/>
        </w:rPr>
        <w:t>Signes</w:t>
      </w:r>
      <w:proofErr w:type="spellEnd"/>
      <w:r w:rsidRPr="003037D2">
        <w:rPr>
          <w:rFonts w:ascii="Garamond" w:eastAsia="Calibri" w:hAnsi="Garamond" w:cs="Arial"/>
        </w:rPr>
        <w:t xml:space="preserve">, </w:t>
      </w:r>
      <w:r w:rsidRPr="003037D2">
        <w:rPr>
          <w:rFonts w:ascii="Garamond" w:eastAsia="Calibri" w:hAnsi="Garamond" w:cs="Arial"/>
          <w:i/>
        </w:rPr>
        <w:t xml:space="preserve">as they are divided into </w:t>
      </w:r>
      <w:r w:rsidRPr="003037D2">
        <w:rPr>
          <w:rFonts w:ascii="Garamond" w:eastAsia="Calibri" w:hAnsi="Garamond" w:cs="Arial"/>
        </w:rPr>
        <w:t xml:space="preserve">four triplicates’, the annotator seems to have taken inspiration from the printed qualities, creating their own lists. (See </w:t>
      </w:r>
      <w:r w:rsidRPr="003037D2">
        <w:rPr>
          <w:rFonts w:ascii="Garamond" w:eastAsia="Calibri" w:hAnsi="Garamond" w:cs="Arial"/>
        </w:rPr>
        <w:fldChar w:fldCharType="begin"/>
      </w:r>
      <w:r w:rsidRPr="003037D2">
        <w:rPr>
          <w:rFonts w:ascii="Garamond" w:eastAsia="Calibri" w:hAnsi="Garamond" w:cs="Arial"/>
        </w:rPr>
        <w:instrText xml:space="preserve"> REF _Ref532896782 \h </w:instrText>
      </w:r>
      <w:r w:rsidR="003037D2">
        <w:rPr>
          <w:rFonts w:ascii="Garamond" w:eastAsia="Calibri" w:hAnsi="Garamond" w:cs="Arial"/>
        </w:rPr>
        <w:instrText xml:space="preserve"> \* MERGEFORMAT </w:instrText>
      </w:r>
      <w:r w:rsidRPr="003037D2">
        <w:rPr>
          <w:rFonts w:ascii="Garamond" w:eastAsia="Calibri" w:hAnsi="Garamond" w:cs="Arial"/>
        </w:rPr>
      </w:r>
      <w:r w:rsidRPr="003037D2">
        <w:rPr>
          <w:rFonts w:ascii="Garamond" w:eastAsia="Calibri" w:hAnsi="Garamond" w:cs="Arial"/>
        </w:rPr>
        <w:fldChar w:fldCharType="separate"/>
      </w:r>
      <w:r w:rsidR="001117A3" w:rsidRPr="003037D2">
        <w:rPr>
          <w:rFonts w:ascii="Garamond" w:hAnsi="Garamond"/>
        </w:rPr>
        <w:t xml:space="preserve">Figure </w:t>
      </w:r>
      <w:r w:rsidR="001117A3" w:rsidRPr="003037D2">
        <w:rPr>
          <w:rFonts w:ascii="Garamond" w:hAnsi="Garamond"/>
          <w:noProof/>
        </w:rPr>
        <w:t>13</w:t>
      </w:r>
      <w:r w:rsidRPr="003037D2">
        <w:rPr>
          <w:rFonts w:ascii="Garamond" w:eastAsia="Calibri" w:hAnsi="Garamond" w:cs="Arial"/>
        </w:rPr>
        <w:fldChar w:fldCharType="end"/>
      </w:r>
      <w:r w:rsidR="00ED0F4C">
        <w:rPr>
          <w:rFonts w:ascii="Garamond" w:eastAsia="Calibri" w:hAnsi="Garamond" w:cs="Arial"/>
        </w:rPr>
        <w:t>.</w:t>
      </w:r>
      <w:r w:rsidRPr="003037D2">
        <w:rPr>
          <w:rFonts w:ascii="Garamond" w:eastAsia="Calibri" w:hAnsi="Garamond" w:cs="Arial"/>
        </w:rPr>
        <w:t xml:space="preserve">) In the </w:t>
      </w:r>
      <w:proofErr w:type="gramStart"/>
      <w:r w:rsidRPr="003037D2">
        <w:rPr>
          <w:rFonts w:ascii="Garamond" w:eastAsia="Calibri" w:hAnsi="Garamond" w:cs="Arial"/>
        </w:rPr>
        <w:t>left hand</w:t>
      </w:r>
      <w:proofErr w:type="gramEnd"/>
      <w:r w:rsidRPr="003037D2">
        <w:rPr>
          <w:rFonts w:ascii="Garamond" w:eastAsia="Calibri" w:hAnsi="Garamond" w:cs="Arial"/>
        </w:rPr>
        <w:t xml:space="preserve"> margin, they note down:</w:t>
      </w:r>
    </w:p>
    <w:p w14:paraId="1FAC03E3" w14:textId="57997033" w:rsidR="00162224" w:rsidRDefault="00162224" w:rsidP="00162224">
      <w:pPr>
        <w:ind w:left="737" w:right="737"/>
        <w:rPr>
          <w:rFonts w:ascii="Garamond" w:eastAsia="Calibri" w:hAnsi="Garamond" w:cs="Arial"/>
        </w:rPr>
      </w:pPr>
      <w:proofErr w:type="spellStart"/>
      <w:r w:rsidRPr="003037D2">
        <w:rPr>
          <w:rFonts w:ascii="Garamond" w:eastAsia="Calibri" w:hAnsi="Garamond" w:cs="Arial"/>
        </w:rPr>
        <w:t>curiosyte</w:t>
      </w:r>
      <w:proofErr w:type="spellEnd"/>
      <w:r w:rsidRPr="003037D2">
        <w:rPr>
          <w:rFonts w:ascii="Garamond" w:eastAsia="Calibri" w:hAnsi="Garamond" w:cs="Arial"/>
        </w:rPr>
        <w:t xml:space="preserve">, lighten, </w:t>
      </w:r>
      <w:proofErr w:type="spellStart"/>
      <w:r w:rsidRPr="003037D2">
        <w:rPr>
          <w:rFonts w:ascii="Garamond" w:eastAsia="Calibri" w:hAnsi="Garamond" w:cs="Arial"/>
        </w:rPr>
        <w:t>vanite</w:t>
      </w:r>
      <w:proofErr w:type="spellEnd"/>
      <w:r w:rsidRPr="003037D2">
        <w:rPr>
          <w:rFonts w:ascii="Garamond" w:eastAsia="Calibri" w:hAnsi="Garamond" w:cs="Arial"/>
        </w:rPr>
        <w:t xml:space="preserve">, </w:t>
      </w:r>
      <w:proofErr w:type="spellStart"/>
      <w:r w:rsidRPr="003037D2">
        <w:rPr>
          <w:rFonts w:ascii="Garamond" w:eastAsia="Calibri" w:hAnsi="Garamond" w:cs="Arial"/>
        </w:rPr>
        <w:t>singularyte</w:t>
      </w:r>
      <w:proofErr w:type="spellEnd"/>
      <w:r w:rsidRPr="003037D2">
        <w:rPr>
          <w:rFonts w:ascii="Garamond" w:eastAsia="Calibri" w:hAnsi="Garamond" w:cs="Arial"/>
        </w:rPr>
        <w:t xml:space="preserve">, arrogancy… </w:t>
      </w:r>
      <w:proofErr w:type="spellStart"/>
      <w:r w:rsidRPr="003037D2">
        <w:rPr>
          <w:rFonts w:ascii="Garamond" w:eastAsia="Calibri" w:hAnsi="Garamond" w:cs="Arial"/>
        </w:rPr>
        <w:t>obstinancy</w:t>
      </w:r>
      <w:proofErr w:type="spellEnd"/>
      <w:r w:rsidRPr="003037D2">
        <w:rPr>
          <w:rFonts w:ascii="Garamond" w:eastAsia="Calibri" w:hAnsi="Garamond" w:cs="Arial"/>
        </w:rPr>
        <w:t xml:space="preserve">, dissimulation, &amp; </w:t>
      </w:r>
      <w:proofErr w:type="spellStart"/>
      <w:r w:rsidRPr="003037D2">
        <w:rPr>
          <w:rFonts w:ascii="Garamond" w:eastAsia="Calibri" w:hAnsi="Garamond" w:cs="Arial"/>
        </w:rPr>
        <w:t>Rebellio</w:t>
      </w:r>
      <w:proofErr w:type="spellEnd"/>
      <w:r w:rsidRPr="003037D2">
        <w:rPr>
          <w:rFonts w:ascii="Garamond" w:eastAsia="Calibri" w:hAnsi="Garamond" w:cs="Arial"/>
        </w:rPr>
        <w:t>~, be y</w:t>
      </w:r>
      <w:r w:rsidRPr="003037D2">
        <w:rPr>
          <w:rFonts w:ascii="Garamond" w:eastAsia="Calibri" w:hAnsi="Garamond" w:cs="Arial"/>
          <w:vertAlign w:val="superscript"/>
        </w:rPr>
        <w:t>e</w:t>
      </w:r>
      <w:r w:rsidRPr="003037D2">
        <w:rPr>
          <w:rFonts w:ascii="Garamond" w:eastAsia="Calibri" w:hAnsi="Garamond" w:cs="Arial"/>
        </w:rPr>
        <w:t xml:space="preserve"> offspring of </w:t>
      </w:r>
      <w:proofErr w:type="spellStart"/>
      <w:r w:rsidRPr="003037D2">
        <w:rPr>
          <w:rFonts w:ascii="Garamond" w:eastAsia="Calibri" w:hAnsi="Garamond" w:cs="Arial"/>
        </w:rPr>
        <w:t>Pryde</w:t>
      </w:r>
      <w:proofErr w:type="spellEnd"/>
      <w:r w:rsidRPr="003037D2">
        <w:rPr>
          <w:rFonts w:ascii="Garamond" w:eastAsia="Calibri" w:hAnsi="Garamond" w:cs="Arial"/>
        </w:rPr>
        <w:t xml:space="preserve">… Sharp </w:t>
      </w:r>
      <w:proofErr w:type="spellStart"/>
      <w:r w:rsidRPr="003037D2">
        <w:rPr>
          <w:rFonts w:ascii="Garamond" w:eastAsia="Calibri" w:hAnsi="Garamond" w:cs="Arial"/>
        </w:rPr>
        <w:t>nailes</w:t>
      </w:r>
      <w:proofErr w:type="spellEnd"/>
      <w:r w:rsidRPr="003037D2">
        <w:rPr>
          <w:rFonts w:ascii="Garamond" w:eastAsia="Calibri" w:hAnsi="Garamond" w:cs="Arial"/>
        </w:rPr>
        <w:t xml:space="preserve">, great, &amp; catching, &amp; </w:t>
      </w:r>
      <w:proofErr w:type="spellStart"/>
      <w:r w:rsidRPr="003037D2">
        <w:rPr>
          <w:rFonts w:ascii="Garamond" w:eastAsia="Calibri" w:hAnsi="Garamond" w:cs="Arial"/>
        </w:rPr>
        <w:t>siche</w:t>
      </w:r>
      <w:proofErr w:type="spellEnd"/>
      <w:r w:rsidRPr="003037D2">
        <w:rPr>
          <w:rFonts w:ascii="Garamond" w:eastAsia="Calibri" w:hAnsi="Garamond" w:cs="Arial"/>
        </w:rPr>
        <w:t xml:space="preserve"> </w:t>
      </w:r>
      <w:proofErr w:type="spellStart"/>
      <w:r w:rsidRPr="003037D2">
        <w:rPr>
          <w:rFonts w:ascii="Garamond" w:eastAsia="Calibri" w:hAnsi="Garamond" w:cs="Arial"/>
        </w:rPr>
        <w:t>teathe</w:t>
      </w:r>
      <w:proofErr w:type="spellEnd"/>
      <w:r w:rsidRPr="003037D2">
        <w:rPr>
          <w:rFonts w:ascii="Garamond" w:eastAsia="Calibri" w:hAnsi="Garamond" w:cs="Arial"/>
        </w:rPr>
        <w:t xml:space="preserve"> </w:t>
      </w:r>
      <w:proofErr w:type="spellStart"/>
      <w:r w:rsidRPr="003037D2">
        <w:rPr>
          <w:rFonts w:ascii="Garamond" w:eastAsia="Calibri" w:hAnsi="Garamond" w:cs="Arial"/>
        </w:rPr>
        <w:t>w</w:t>
      </w:r>
      <w:r w:rsidRPr="003037D2">
        <w:rPr>
          <w:rFonts w:ascii="Garamond" w:eastAsia="Calibri" w:hAnsi="Garamond" w:cs="Arial"/>
          <w:vertAlign w:val="superscript"/>
        </w:rPr>
        <w:t>th</w:t>
      </w:r>
      <w:proofErr w:type="spellEnd"/>
      <w:r w:rsidRPr="003037D2">
        <w:rPr>
          <w:rFonts w:ascii="Garamond" w:eastAsia="Calibri" w:hAnsi="Garamond" w:cs="Arial"/>
          <w:vertAlign w:val="superscript"/>
        </w:rPr>
        <w:t xml:space="preserve"> </w:t>
      </w:r>
      <w:r w:rsidRPr="003037D2">
        <w:rPr>
          <w:rFonts w:ascii="Garamond" w:eastAsia="Calibri" w:hAnsi="Garamond" w:cs="Arial"/>
        </w:rPr>
        <w:t xml:space="preserve">a great &amp; ravening mouth testify cruelly… </w:t>
      </w:r>
      <w:proofErr w:type="spellStart"/>
      <w:r w:rsidRPr="003037D2">
        <w:rPr>
          <w:rFonts w:ascii="Garamond" w:eastAsia="Calibri" w:hAnsi="Garamond" w:cs="Arial"/>
        </w:rPr>
        <w:t>Tirany</w:t>
      </w:r>
      <w:proofErr w:type="spellEnd"/>
      <w:r w:rsidRPr="003037D2">
        <w:rPr>
          <w:rFonts w:ascii="Garamond" w:eastAsia="Calibri" w:hAnsi="Garamond" w:cs="Arial"/>
        </w:rPr>
        <w:t xml:space="preserve">, fury, discord, disdain, </w:t>
      </w:r>
      <w:proofErr w:type="spellStart"/>
      <w:r w:rsidRPr="003037D2">
        <w:rPr>
          <w:rFonts w:ascii="Garamond" w:eastAsia="Calibri" w:hAnsi="Garamond" w:cs="Arial"/>
        </w:rPr>
        <w:t>pesitie</w:t>
      </w:r>
      <w:proofErr w:type="spellEnd"/>
      <w:r w:rsidRPr="003037D2">
        <w:rPr>
          <w:rFonts w:ascii="Garamond" w:eastAsia="Calibri" w:hAnsi="Garamond" w:cs="Arial"/>
        </w:rPr>
        <w:t xml:space="preserve">, &amp; </w:t>
      </w:r>
      <w:proofErr w:type="spellStart"/>
      <w:r w:rsidRPr="003037D2">
        <w:rPr>
          <w:rFonts w:ascii="Garamond" w:eastAsia="Calibri" w:hAnsi="Garamond" w:cs="Arial"/>
        </w:rPr>
        <w:t>matyre</w:t>
      </w:r>
      <w:proofErr w:type="spellEnd"/>
      <w:r w:rsidRPr="003037D2">
        <w:rPr>
          <w:rFonts w:ascii="Garamond" w:eastAsia="Calibri" w:hAnsi="Garamond" w:cs="Arial"/>
        </w:rPr>
        <w:t xml:space="preserve"> accompany y</w:t>
      </w:r>
      <w:r w:rsidRPr="003037D2">
        <w:rPr>
          <w:rFonts w:ascii="Garamond" w:eastAsia="Calibri" w:hAnsi="Garamond" w:cs="Arial"/>
          <w:vertAlign w:val="superscript"/>
        </w:rPr>
        <w:t xml:space="preserve">e </w:t>
      </w:r>
      <w:r w:rsidRPr="003037D2">
        <w:rPr>
          <w:rFonts w:ascii="Garamond" w:eastAsia="Calibri" w:hAnsi="Garamond" w:cs="Arial"/>
        </w:rPr>
        <w:t>Angry by which rise strife…</w:t>
      </w:r>
      <w:r w:rsidRPr="003037D2">
        <w:rPr>
          <w:rFonts w:ascii="Garamond" w:eastAsia="Calibri" w:hAnsi="Garamond" w:cs="Arial"/>
          <w:vertAlign w:val="superscript"/>
        </w:rPr>
        <w:footnoteReference w:id="189"/>
      </w:r>
      <w:r w:rsidRPr="003037D2">
        <w:rPr>
          <w:rFonts w:ascii="Garamond" w:eastAsia="Calibri" w:hAnsi="Garamond" w:cs="Arial"/>
        </w:rPr>
        <w:t xml:space="preserve"> </w:t>
      </w:r>
    </w:p>
    <w:p w14:paraId="34723E7A" w14:textId="77777777" w:rsidR="0056489A" w:rsidRPr="003037D2" w:rsidRDefault="0056489A" w:rsidP="00162224">
      <w:pPr>
        <w:ind w:left="737" w:right="737"/>
        <w:rPr>
          <w:rFonts w:ascii="Garamond" w:eastAsia="Calibri" w:hAnsi="Garamond" w:cs="Arial"/>
        </w:rPr>
      </w:pPr>
    </w:p>
    <w:p w14:paraId="251DD90F" w14:textId="1AFC5AF4" w:rsidR="00162224" w:rsidRPr="003037D2" w:rsidRDefault="00162224" w:rsidP="00162224">
      <w:pPr>
        <w:spacing w:line="360" w:lineRule="auto"/>
        <w:rPr>
          <w:rFonts w:ascii="Garamond" w:eastAsia="Calibri" w:hAnsi="Garamond" w:cs="Arial"/>
        </w:rPr>
      </w:pPr>
      <w:r w:rsidRPr="003037D2">
        <w:rPr>
          <w:rFonts w:ascii="Garamond" w:eastAsia="Calibri" w:hAnsi="Garamond" w:cs="Arial"/>
        </w:rPr>
        <w:t xml:space="preserve">Rather than a means of accounting for time, and money, the book as annotated points to interior wealth: a treasury of knowledge. The page which sets out in print ‘a </w:t>
      </w:r>
      <w:proofErr w:type="spellStart"/>
      <w:r w:rsidRPr="003037D2">
        <w:rPr>
          <w:rFonts w:ascii="Garamond" w:eastAsia="Calibri" w:hAnsi="Garamond" w:cs="Arial"/>
        </w:rPr>
        <w:t>necessarie</w:t>
      </w:r>
      <w:proofErr w:type="spellEnd"/>
      <w:r w:rsidRPr="003037D2">
        <w:rPr>
          <w:rFonts w:ascii="Garamond" w:eastAsia="Calibri" w:hAnsi="Garamond" w:cs="Arial"/>
        </w:rPr>
        <w:t xml:space="preserve"> and </w:t>
      </w:r>
      <w:proofErr w:type="spellStart"/>
      <w:r w:rsidRPr="003037D2">
        <w:rPr>
          <w:rFonts w:ascii="Garamond" w:eastAsia="Calibri" w:hAnsi="Garamond" w:cs="Arial"/>
        </w:rPr>
        <w:t>persite</w:t>
      </w:r>
      <w:proofErr w:type="spellEnd"/>
      <w:r w:rsidRPr="003037D2">
        <w:rPr>
          <w:rFonts w:ascii="Garamond" w:eastAsia="Calibri" w:hAnsi="Garamond" w:cs="Arial"/>
        </w:rPr>
        <w:t xml:space="preserve"> rule to </w:t>
      </w:r>
      <w:proofErr w:type="spellStart"/>
      <w:r w:rsidRPr="003037D2">
        <w:rPr>
          <w:rFonts w:ascii="Garamond" w:eastAsia="Calibri" w:hAnsi="Garamond" w:cs="Arial"/>
        </w:rPr>
        <w:t>knowe</w:t>
      </w:r>
      <w:proofErr w:type="spellEnd"/>
      <w:r w:rsidRPr="003037D2">
        <w:rPr>
          <w:rFonts w:ascii="Garamond" w:eastAsia="Calibri" w:hAnsi="Garamond" w:cs="Arial"/>
        </w:rPr>
        <w:t xml:space="preserve"> the beginning and ending of </w:t>
      </w:r>
      <w:proofErr w:type="spellStart"/>
      <w:r w:rsidRPr="003037D2">
        <w:rPr>
          <w:rFonts w:ascii="Garamond" w:eastAsia="Calibri" w:hAnsi="Garamond" w:cs="Arial"/>
        </w:rPr>
        <w:t>everie</w:t>
      </w:r>
      <w:proofErr w:type="spellEnd"/>
      <w:r w:rsidRPr="003037D2">
        <w:rPr>
          <w:rFonts w:ascii="Garamond" w:eastAsia="Calibri" w:hAnsi="Garamond" w:cs="Arial"/>
        </w:rPr>
        <w:t xml:space="preserve"> Terme with their </w:t>
      </w:r>
      <w:proofErr w:type="spellStart"/>
      <w:r w:rsidRPr="003037D2">
        <w:rPr>
          <w:rFonts w:ascii="Garamond" w:eastAsia="Calibri" w:hAnsi="Garamond" w:cs="Arial"/>
        </w:rPr>
        <w:t>returnes</w:t>
      </w:r>
      <w:proofErr w:type="spellEnd"/>
      <w:r w:rsidRPr="003037D2">
        <w:rPr>
          <w:rFonts w:ascii="Garamond" w:eastAsia="Calibri" w:hAnsi="Garamond" w:cs="Arial"/>
        </w:rPr>
        <w:t xml:space="preserve">’ is annotated with thoughts on death and the afterlife, rather than any commercial or legal thoughts. At the bottom of the page, the annotator has gathered together a variety of statements about death, burial, illness, and the dangers of pride: </w:t>
      </w:r>
    </w:p>
    <w:p w14:paraId="051CD3C4" w14:textId="0E0F3C71" w:rsidR="00162224" w:rsidRDefault="00162224" w:rsidP="00162224">
      <w:pPr>
        <w:ind w:left="737" w:right="737"/>
        <w:rPr>
          <w:rFonts w:ascii="Garamond" w:eastAsia="Calibri" w:hAnsi="Garamond" w:cs="Arial"/>
        </w:rPr>
      </w:pPr>
      <w:r w:rsidRPr="003037D2">
        <w:rPr>
          <w:rFonts w:ascii="Garamond" w:eastAsia="Calibri" w:hAnsi="Garamond" w:cs="Arial"/>
        </w:rPr>
        <w:t xml:space="preserve">Let dead Carcasses be </w:t>
      </w:r>
      <w:proofErr w:type="spellStart"/>
      <w:r w:rsidRPr="003037D2">
        <w:rPr>
          <w:rFonts w:ascii="Garamond" w:eastAsia="Calibri" w:hAnsi="Garamond" w:cs="Arial"/>
        </w:rPr>
        <w:t>buryed</w:t>
      </w:r>
      <w:proofErr w:type="spellEnd"/>
      <w:r w:rsidRPr="003037D2">
        <w:rPr>
          <w:rFonts w:ascii="Garamond" w:eastAsia="Calibri" w:hAnsi="Garamond" w:cs="Arial"/>
        </w:rPr>
        <w:t xml:space="preserve">; </w:t>
      </w:r>
      <w:proofErr w:type="spellStart"/>
      <w:r w:rsidRPr="003037D2">
        <w:rPr>
          <w:rFonts w:ascii="Garamond" w:eastAsia="Calibri" w:hAnsi="Garamond" w:cs="Arial"/>
        </w:rPr>
        <w:t>leste</w:t>
      </w:r>
      <w:proofErr w:type="spellEnd"/>
      <w:r w:rsidRPr="003037D2">
        <w:rPr>
          <w:rFonts w:ascii="Garamond" w:eastAsia="Calibri" w:hAnsi="Garamond" w:cs="Arial"/>
        </w:rPr>
        <w:t xml:space="preserve"> </w:t>
      </w:r>
      <w:proofErr w:type="spellStart"/>
      <w:r w:rsidRPr="003037D2">
        <w:rPr>
          <w:rFonts w:ascii="Garamond" w:eastAsia="Calibri" w:hAnsi="Garamond" w:cs="Arial"/>
        </w:rPr>
        <w:t>w</w:t>
      </w:r>
      <w:r w:rsidRPr="003037D2">
        <w:rPr>
          <w:rFonts w:ascii="Garamond" w:eastAsia="Calibri" w:hAnsi="Garamond" w:cs="Arial"/>
          <w:vertAlign w:val="superscript"/>
        </w:rPr>
        <w:t>th</w:t>
      </w:r>
      <w:proofErr w:type="spellEnd"/>
      <w:r w:rsidRPr="003037D2">
        <w:rPr>
          <w:rFonts w:ascii="Garamond" w:eastAsia="Calibri" w:hAnsi="Garamond" w:cs="Arial"/>
          <w:vertAlign w:val="superscript"/>
        </w:rPr>
        <w:t xml:space="preserve"> </w:t>
      </w:r>
      <w:r w:rsidRPr="003037D2">
        <w:rPr>
          <w:rFonts w:ascii="Garamond" w:eastAsia="Calibri" w:hAnsi="Garamond" w:cs="Arial"/>
        </w:rPr>
        <w:t>y</w:t>
      </w:r>
      <w:r w:rsidRPr="003037D2">
        <w:rPr>
          <w:rFonts w:ascii="Garamond" w:eastAsia="Calibri" w:hAnsi="Garamond" w:cs="Arial"/>
          <w:vertAlign w:val="superscript"/>
        </w:rPr>
        <w:t xml:space="preserve">e </w:t>
      </w:r>
      <w:proofErr w:type="spellStart"/>
      <w:r w:rsidRPr="003037D2">
        <w:rPr>
          <w:rFonts w:ascii="Garamond" w:eastAsia="Calibri" w:hAnsi="Garamond" w:cs="Arial"/>
        </w:rPr>
        <w:t>stinke</w:t>
      </w:r>
      <w:proofErr w:type="spellEnd"/>
      <w:r w:rsidRPr="003037D2">
        <w:rPr>
          <w:rFonts w:ascii="Garamond" w:eastAsia="Calibri" w:hAnsi="Garamond" w:cs="Arial"/>
        </w:rPr>
        <w:t xml:space="preserve"> of them other men be corrupted. Pride is a danger, </w:t>
      </w:r>
      <w:proofErr w:type="spellStart"/>
      <w:r w:rsidRPr="003037D2">
        <w:rPr>
          <w:rFonts w:ascii="Garamond" w:eastAsia="Calibri" w:hAnsi="Garamond" w:cs="Arial"/>
        </w:rPr>
        <w:t>Infermintie</w:t>
      </w:r>
      <w:proofErr w:type="spellEnd"/>
      <w:r w:rsidRPr="003037D2">
        <w:rPr>
          <w:rFonts w:ascii="Garamond" w:eastAsia="Calibri" w:hAnsi="Garamond" w:cs="Arial"/>
        </w:rPr>
        <w:t xml:space="preserve"> a great </w:t>
      </w:r>
      <w:proofErr w:type="spellStart"/>
      <w:r w:rsidRPr="003037D2">
        <w:rPr>
          <w:rFonts w:ascii="Garamond" w:eastAsia="Calibri" w:hAnsi="Garamond" w:cs="Arial"/>
        </w:rPr>
        <w:t>deformitie</w:t>
      </w:r>
      <w:proofErr w:type="spellEnd"/>
      <w:r w:rsidRPr="003037D2">
        <w:rPr>
          <w:rFonts w:ascii="Garamond" w:eastAsia="Calibri" w:hAnsi="Garamond" w:cs="Arial"/>
        </w:rPr>
        <w:t xml:space="preserve">, a miserable servitude, &amp; a great </w:t>
      </w:r>
      <w:proofErr w:type="spellStart"/>
      <w:r w:rsidRPr="003037D2">
        <w:rPr>
          <w:rFonts w:ascii="Garamond" w:eastAsia="Calibri" w:hAnsi="Garamond" w:cs="Arial"/>
        </w:rPr>
        <w:t>Debilite</w:t>
      </w:r>
      <w:proofErr w:type="spellEnd"/>
      <w:r w:rsidRPr="003037D2">
        <w:rPr>
          <w:rFonts w:ascii="Garamond" w:eastAsia="Calibri" w:hAnsi="Garamond" w:cs="Arial"/>
        </w:rPr>
        <w:t xml:space="preserve">. The unlearned be </w:t>
      </w:r>
      <w:proofErr w:type="spellStart"/>
      <w:r w:rsidRPr="003037D2">
        <w:rPr>
          <w:rFonts w:ascii="Garamond" w:eastAsia="Calibri" w:hAnsi="Garamond" w:cs="Arial"/>
        </w:rPr>
        <w:t>blynde</w:t>
      </w:r>
      <w:proofErr w:type="spellEnd"/>
      <w:r w:rsidRPr="003037D2">
        <w:rPr>
          <w:rFonts w:ascii="Garamond" w:eastAsia="Calibri" w:hAnsi="Garamond" w:cs="Arial"/>
        </w:rPr>
        <w:t xml:space="preserve"> They </w:t>
      </w:r>
      <w:proofErr w:type="spellStart"/>
      <w:r w:rsidRPr="003037D2">
        <w:rPr>
          <w:rFonts w:ascii="Garamond" w:eastAsia="Calibri" w:hAnsi="Garamond" w:cs="Arial"/>
        </w:rPr>
        <w:t>y</w:t>
      </w:r>
      <w:r w:rsidRPr="003037D2">
        <w:rPr>
          <w:rFonts w:ascii="Garamond" w:eastAsia="Calibri" w:hAnsi="Garamond" w:cs="Arial"/>
          <w:vertAlign w:val="superscript"/>
        </w:rPr>
        <w:t>t</w:t>
      </w:r>
      <w:proofErr w:type="spellEnd"/>
      <w:r w:rsidRPr="003037D2">
        <w:rPr>
          <w:rFonts w:ascii="Garamond" w:eastAsia="Calibri" w:hAnsi="Garamond" w:cs="Arial"/>
          <w:vertAlign w:val="superscript"/>
        </w:rPr>
        <w:t xml:space="preserve"> </w:t>
      </w:r>
      <w:r w:rsidRPr="003037D2">
        <w:rPr>
          <w:rFonts w:ascii="Garamond" w:eastAsia="Calibri" w:hAnsi="Garamond" w:cs="Arial"/>
        </w:rPr>
        <w:t>can hold of in contrary p[</w:t>
      </w:r>
      <w:proofErr w:type="spellStart"/>
      <w:r w:rsidRPr="003037D2">
        <w:rPr>
          <w:rFonts w:ascii="Garamond" w:eastAsia="Calibri" w:hAnsi="Garamond" w:cs="Arial"/>
        </w:rPr>
        <w:t>ar</w:t>
      </w:r>
      <w:proofErr w:type="spellEnd"/>
      <w:r w:rsidRPr="003037D2">
        <w:rPr>
          <w:rFonts w:ascii="Garamond" w:eastAsia="Calibri" w:hAnsi="Garamond" w:cs="Arial"/>
        </w:rPr>
        <w:t>]</w:t>
      </w:r>
      <w:proofErr w:type="spellStart"/>
      <w:r w:rsidRPr="003037D2">
        <w:rPr>
          <w:rFonts w:ascii="Garamond" w:eastAsia="Calibri" w:hAnsi="Garamond" w:cs="Arial"/>
        </w:rPr>
        <w:t>tes</w:t>
      </w:r>
      <w:proofErr w:type="spellEnd"/>
      <w:r w:rsidRPr="003037D2">
        <w:rPr>
          <w:rFonts w:ascii="Garamond" w:eastAsia="Calibri" w:hAnsi="Garamond" w:cs="Arial"/>
        </w:rPr>
        <w:t xml:space="preserve"> be same, the </w:t>
      </w:r>
      <w:proofErr w:type="spellStart"/>
      <w:r w:rsidRPr="003037D2">
        <w:rPr>
          <w:rFonts w:ascii="Garamond" w:eastAsia="Calibri" w:hAnsi="Garamond" w:cs="Arial"/>
        </w:rPr>
        <w:t>whall</w:t>
      </w:r>
      <w:proofErr w:type="spellEnd"/>
      <w:r w:rsidRPr="003037D2">
        <w:rPr>
          <w:rFonts w:ascii="Garamond" w:eastAsia="Calibri" w:hAnsi="Garamond" w:cs="Arial"/>
        </w:rPr>
        <w:t xml:space="preserve"> eyed be those </w:t>
      </w:r>
      <w:proofErr w:type="spellStart"/>
      <w:r w:rsidRPr="003037D2">
        <w:rPr>
          <w:rFonts w:ascii="Garamond" w:eastAsia="Calibri" w:hAnsi="Garamond" w:cs="Arial"/>
        </w:rPr>
        <w:t>y</w:t>
      </w:r>
      <w:r w:rsidRPr="003037D2">
        <w:rPr>
          <w:rFonts w:ascii="Garamond" w:eastAsia="Calibri" w:hAnsi="Garamond" w:cs="Arial"/>
          <w:vertAlign w:val="superscript"/>
        </w:rPr>
        <w:t>t</w:t>
      </w:r>
      <w:proofErr w:type="spellEnd"/>
      <w:r w:rsidRPr="003037D2">
        <w:rPr>
          <w:rFonts w:ascii="Garamond" w:eastAsia="Calibri" w:hAnsi="Garamond" w:cs="Arial"/>
          <w:vertAlign w:val="superscript"/>
        </w:rPr>
        <w:t xml:space="preserve"> </w:t>
      </w:r>
      <w:r w:rsidRPr="003037D2">
        <w:rPr>
          <w:rFonts w:ascii="Garamond" w:eastAsia="Calibri" w:hAnsi="Garamond" w:cs="Arial"/>
        </w:rPr>
        <w:t xml:space="preserve">think well of </w:t>
      </w:r>
      <w:proofErr w:type="spellStart"/>
      <w:r w:rsidRPr="003037D2">
        <w:rPr>
          <w:rFonts w:ascii="Garamond" w:eastAsia="Calibri" w:hAnsi="Garamond" w:cs="Arial"/>
        </w:rPr>
        <w:t>y</w:t>
      </w:r>
      <w:r w:rsidRPr="003037D2">
        <w:rPr>
          <w:rFonts w:ascii="Garamond" w:eastAsia="Calibri" w:hAnsi="Garamond" w:cs="Arial"/>
          <w:vertAlign w:val="superscript"/>
        </w:rPr>
        <w:t>th</w:t>
      </w:r>
      <w:r w:rsidRPr="003037D2">
        <w:rPr>
          <w:rFonts w:ascii="Garamond" w:eastAsia="Calibri" w:hAnsi="Garamond" w:cs="Arial"/>
        </w:rPr>
        <w:t>selfe</w:t>
      </w:r>
      <w:proofErr w:type="spellEnd"/>
      <w:r w:rsidRPr="003037D2">
        <w:rPr>
          <w:rFonts w:ascii="Garamond" w:eastAsia="Calibri" w:hAnsi="Garamond" w:cs="Arial"/>
        </w:rPr>
        <w:t xml:space="preserve">, generally scabby be those </w:t>
      </w:r>
      <w:proofErr w:type="spellStart"/>
      <w:r w:rsidRPr="003037D2">
        <w:rPr>
          <w:rFonts w:ascii="Garamond" w:eastAsia="Calibri" w:hAnsi="Garamond" w:cs="Arial"/>
        </w:rPr>
        <w:t>y</w:t>
      </w:r>
      <w:r w:rsidRPr="003037D2">
        <w:rPr>
          <w:rFonts w:ascii="Garamond" w:eastAsia="Calibri" w:hAnsi="Garamond" w:cs="Arial"/>
          <w:vertAlign w:val="superscript"/>
        </w:rPr>
        <w:t>t</w:t>
      </w:r>
      <w:proofErr w:type="spellEnd"/>
      <w:r w:rsidRPr="003037D2">
        <w:rPr>
          <w:rFonts w:ascii="Garamond" w:eastAsia="Calibri" w:hAnsi="Garamond" w:cs="Arial"/>
          <w:vertAlign w:val="superscript"/>
        </w:rPr>
        <w:t xml:space="preserve"> </w:t>
      </w:r>
      <w:r w:rsidRPr="003037D2">
        <w:rPr>
          <w:rFonts w:ascii="Garamond" w:eastAsia="Calibri" w:hAnsi="Garamond" w:cs="Arial"/>
        </w:rPr>
        <w:t xml:space="preserve">have </w:t>
      </w:r>
      <w:proofErr w:type="spellStart"/>
      <w:r w:rsidRPr="003037D2">
        <w:rPr>
          <w:rFonts w:ascii="Garamond" w:eastAsia="Calibri" w:hAnsi="Garamond" w:cs="Arial"/>
        </w:rPr>
        <w:t>cruell</w:t>
      </w:r>
      <w:proofErr w:type="spellEnd"/>
      <w:r w:rsidRPr="003037D2">
        <w:rPr>
          <w:rFonts w:ascii="Garamond" w:eastAsia="Calibri" w:hAnsi="Garamond" w:cs="Arial"/>
        </w:rPr>
        <w:t xml:space="preserve"> thoughts, y</w:t>
      </w:r>
      <w:r w:rsidRPr="003037D2">
        <w:rPr>
          <w:rFonts w:ascii="Garamond" w:eastAsia="Calibri" w:hAnsi="Garamond" w:cs="Arial"/>
          <w:vertAlign w:val="superscript"/>
        </w:rPr>
        <w:t xml:space="preserve">e </w:t>
      </w:r>
      <w:r w:rsidRPr="003037D2">
        <w:rPr>
          <w:rFonts w:ascii="Garamond" w:eastAsia="Calibri" w:hAnsi="Garamond" w:cs="Arial"/>
        </w:rPr>
        <w:t xml:space="preserve">dry scab </w:t>
      </w:r>
      <w:proofErr w:type="spellStart"/>
      <w:r w:rsidRPr="003037D2">
        <w:rPr>
          <w:rFonts w:ascii="Garamond" w:eastAsia="Calibri" w:hAnsi="Garamond" w:cs="Arial"/>
        </w:rPr>
        <w:lastRenderedPageBreak/>
        <w:t>signifieth</w:t>
      </w:r>
      <w:proofErr w:type="spellEnd"/>
      <w:r w:rsidRPr="003037D2">
        <w:rPr>
          <w:rFonts w:ascii="Garamond" w:eastAsia="Calibri" w:hAnsi="Garamond" w:cs="Arial"/>
        </w:rPr>
        <w:t xml:space="preserve"> </w:t>
      </w:r>
      <w:proofErr w:type="spellStart"/>
      <w:r w:rsidRPr="003037D2">
        <w:rPr>
          <w:rFonts w:ascii="Garamond" w:eastAsia="Calibri" w:hAnsi="Garamond" w:cs="Arial"/>
        </w:rPr>
        <w:t>infamye</w:t>
      </w:r>
      <w:proofErr w:type="spellEnd"/>
      <w:r w:rsidRPr="003037D2">
        <w:rPr>
          <w:rFonts w:ascii="Garamond" w:eastAsia="Calibri" w:hAnsi="Garamond" w:cs="Arial"/>
        </w:rPr>
        <w:t xml:space="preserve">. There be as many </w:t>
      </w:r>
      <w:proofErr w:type="spellStart"/>
      <w:r w:rsidRPr="003037D2">
        <w:rPr>
          <w:rFonts w:ascii="Garamond" w:eastAsia="Calibri" w:hAnsi="Garamond" w:cs="Arial"/>
        </w:rPr>
        <w:t>diersytess</w:t>
      </w:r>
      <w:proofErr w:type="spellEnd"/>
      <w:r w:rsidRPr="003037D2">
        <w:rPr>
          <w:rFonts w:ascii="Garamond" w:eastAsia="Calibri" w:hAnsi="Garamond" w:cs="Arial"/>
        </w:rPr>
        <w:t xml:space="preserve"> of p.[ride] as there be of </w:t>
      </w:r>
      <w:proofErr w:type="spellStart"/>
      <w:r w:rsidRPr="003037D2">
        <w:rPr>
          <w:rFonts w:ascii="Garamond" w:eastAsia="Calibri" w:hAnsi="Garamond" w:cs="Arial"/>
        </w:rPr>
        <w:t>thinges</w:t>
      </w:r>
      <w:proofErr w:type="spellEnd"/>
      <w:r w:rsidRPr="003037D2">
        <w:rPr>
          <w:rFonts w:ascii="Garamond" w:eastAsia="Calibri" w:hAnsi="Garamond" w:cs="Arial"/>
        </w:rPr>
        <w:t xml:space="preserve"> </w:t>
      </w:r>
      <w:proofErr w:type="spellStart"/>
      <w:r w:rsidRPr="003037D2">
        <w:rPr>
          <w:rFonts w:ascii="Garamond" w:eastAsia="Calibri" w:hAnsi="Garamond" w:cs="Arial"/>
        </w:rPr>
        <w:t>y</w:t>
      </w:r>
      <w:r w:rsidRPr="003037D2">
        <w:rPr>
          <w:rFonts w:ascii="Garamond" w:eastAsia="Calibri" w:hAnsi="Garamond" w:cs="Arial"/>
          <w:vertAlign w:val="superscript"/>
        </w:rPr>
        <w:t>t</w:t>
      </w:r>
      <w:proofErr w:type="spellEnd"/>
      <w:r w:rsidRPr="003037D2">
        <w:rPr>
          <w:rFonts w:ascii="Garamond" w:eastAsia="Calibri" w:hAnsi="Garamond" w:cs="Arial"/>
          <w:vertAlign w:val="superscript"/>
        </w:rPr>
        <w:t xml:space="preserve"> </w:t>
      </w:r>
      <w:r w:rsidRPr="003037D2">
        <w:rPr>
          <w:rFonts w:ascii="Garamond" w:eastAsia="Calibri" w:hAnsi="Garamond" w:cs="Arial"/>
        </w:rPr>
        <w:t xml:space="preserve">a man may be </w:t>
      </w:r>
      <w:proofErr w:type="spellStart"/>
      <w:r w:rsidRPr="003037D2">
        <w:rPr>
          <w:rFonts w:ascii="Garamond" w:eastAsia="Calibri" w:hAnsi="Garamond" w:cs="Arial"/>
        </w:rPr>
        <w:t>proude</w:t>
      </w:r>
      <w:proofErr w:type="spellEnd"/>
      <w:r w:rsidRPr="003037D2">
        <w:rPr>
          <w:rFonts w:ascii="Garamond" w:eastAsia="Calibri" w:hAnsi="Garamond" w:cs="Arial"/>
        </w:rPr>
        <w:t xml:space="preserve"> of.</w:t>
      </w:r>
      <w:r w:rsidRPr="003037D2">
        <w:rPr>
          <w:rFonts w:ascii="Garamond" w:eastAsia="Calibri" w:hAnsi="Garamond" w:cs="Arial"/>
          <w:vertAlign w:val="superscript"/>
        </w:rPr>
        <w:footnoteReference w:id="190"/>
      </w:r>
    </w:p>
    <w:p w14:paraId="798E792A" w14:textId="77777777" w:rsidR="0056489A" w:rsidRPr="003037D2" w:rsidRDefault="0056489A" w:rsidP="00162224">
      <w:pPr>
        <w:ind w:left="737" w:right="737"/>
        <w:rPr>
          <w:rFonts w:ascii="Garamond" w:eastAsia="Calibri" w:hAnsi="Garamond" w:cs="Arial"/>
        </w:rPr>
      </w:pPr>
    </w:p>
    <w:p w14:paraId="3DF4CC56" w14:textId="77777777" w:rsidR="00162224" w:rsidRPr="003037D2" w:rsidRDefault="00162224" w:rsidP="00162224">
      <w:pPr>
        <w:spacing w:line="360" w:lineRule="auto"/>
        <w:rPr>
          <w:rFonts w:ascii="Garamond" w:eastAsia="Calibri" w:hAnsi="Garamond" w:cs="Arial"/>
        </w:rPr>
      </w:pPr>
      <w:r w:rsidRPr="003037D2">
        <w:rPr>
          <w:rFonts w:ascii="Garamond" w:eastAsia="Calibri" w:hAnsi="Garamond" w:cs="Arial"/>
        </w:rPr>
        <w:t>This seems to draw on the teachings of Paracelsus, who often compared physical and spiritual health, arguing that in the same way that people warded off evil spirits with morality, they must ward off disease with good health.</w:t>
      </w:r>
      <w:r w:rsidRPr="003037D2">
        <w:rPr>
          <w:rFonts w:ascii="Garamond" w:eastAsia="Calibri" w:hAnsi="Garamond" w:cs="Arial"/>
          <w:vertAlign w:val="superscript"/>
        </w:rPr>
        <w:footnoteReference w:id="191"/>
      </w:r>
    </w:p>
    <w:p w14:paraId="734FD9AE" w14:textId="77777777" w:rsidR="00162224" w:rsidRPr="003037D2" w:rsidRDefault="00162224" w:rsidP="00162224">
      <w:pPr>
        <w:spacing w:line="360" w:lineRule="auto"/>
        <w:rPr>
          <w:rFonts w:ascii="Garamond" w:eastAsia="Calibri" w:hAnsi="Garamond" w:cs="Arial"/>
        </w:rPr>
      </w:pPr>
    </w:p>
    <w:p w14:paraId="595ECB44" w14:textId="71C376FF"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t>The exact dating systems used can be telling. Gerard T. Moran undertook a quantitative assessment of the types of date used in notarial agreements in early modern Montpellier.</w:t>
      </w:r>
      <w:r w:rsidRPr="003037D2">
        <w:rPr>
          <w:rFonts w:ascii="Garamond" w:eastAsia="Calibri" w:hAnsi="Garamond" w:cs="Arial"/>
          <w:vertAlign w:val="superscript"/>
        </w:rPr>
        <w:footnoteReference w:id="192"/>
      </w:r>
      <w:r w:rsidRPr="003037D2">
        <w:rPr>
          <w:rFonts w:ascii="Garamond" w:eastAsia="Calibri" w:hAnsi="Garamond" w:cs="Arial"/>
        </w:rPr>
        <w:t xml:space="preserve"> This followed from Jacques Le Goff’s arguments that many different types ‘existed simultaneously, sometimes in symbiosis, as agrarian and ecclesiastical time, but often too in contradiction, as church and merchant time’, reflecting the different needs of different groups.</w:t>
      </w:r>
      <w:r w:rsidRPr="003037D2">
        <w:rPr>
          <w:rFonts w:ascii="Garamond" w:eastAsia="Calibri" w:hAnsi="Garamond" w:cs="Arial"/>
          <w:vertAlign w:val="superscript"/>
        </w:rPr>
        <w:footnoteReference w:id="193"/>
      </w:r>
      <w:r w:rsidRPr="003037D2">
        <w:rPr>
          <w:rFonts w:ascii="Garamond" w:eastAsia="Calibri" w:hAnsi="Garamond" w:cs="Arial"/>
        </w:rPr>
        <w:t xml:space="preserve">  Moran noted that from the 1560s, a surprisingly high proportion of people (nearly 50%) used ‘modern’ ways of talking about time.</w:t>
      </w:r>
      <w:r w:rsidRPr="003037D2">
        <w:rPr>
          <w:rFonts w:ascii="Garamond" w:eastAsia="Calibri" w:hAnsi="Garamond" w:cs="Arial"/>
          <w:vertAlign w:val="superscript"/>
        </w:rPr>
        <w:footnoteReference w:id="194"/>
      </w:r>
      <w:r w:rsidRPr="003037D2">
        <w:rPr>
          <w:rFonts w:ascii="Garamond" w:eastAsia="Calibri" w:hAnsi="Garamond" w:cs="Arial"/>
        </w:rPr>
        <w:t xml:space="preserve"> However, he also observed that whilst the urban clergy and rural nobles often used ‘traditional-time contracts’, ‘the bourgeois and merchants’ were far less likely to turn to these terms in their contracts.</w:t>
      </w:r>
      <w:r w:rsidRPr="003037D2">
        <w:rPr>
          <w:rFonts w:ascii="Garamond" w:eastAsia="Calibri" w:hAnsi="Garamond" w:cs="Arial"/>
          <w:vertAlign w:val="superscript"/>
        </w:rPr>
        <w:footnoteReference w:id="195"/>
      </w:r>
      <w:r w:rsidRPr="003037D2">
        <w:rPr>
          <w:rFonts w:ascii="Garamond" w:eastAsia="Calibri" w:hAnsi="Garamond" w:cs="Arial"/>
        </w:rPr>
        <w:t xml:space="preserve"> This suggests that the notion of ‘merchant’s time’, a ‘modern’ understanding of time ushered in by the demands of the markets holds true to a certain extent. However, Moran attributes this more as the result of the Calvinist Protestantism that surrounded his test case of Montpellier, as the Calvinists would have targeted the calendar, which carried with it worries of idolatry.</w:t>
      </w:r>
      <w:r w:rsidRPr="003037D2">
        <w:rPr>
          <w:rFonts w:ascii="Garamond" w:eastAsia="Calibri" w:hAnsi="Garamond" w:cs="Arial"/>
          <w:vertAlign w:val="superscript"/>
        </w:rPr>
        <w:footnoteReference w:id="196"/>
      </w:r>
      <w:r w:rsidRPr="003037D2">
        <w:rPr>
          <w:rFonts w:ascii="Garamond" w:eastAsia="Calibri" w:hAnsi="Garamond" w:cs="Arial"/>
        </w:rPr>
        <w:t xml:space="preserve">  In an essay on ‘popular senses of past time’, Keith Wrightson identifies five different types of ‘time referent’ used in ecclesiastical court depositions in the north of England at the beginning of the </w:t>
      </w:r>
      <w:r w:rsidR="00C03F06" w:rsidRPr="003037D2">
        <w:rPr>
          <w:rFonts w:ascii="Garamond" w:eastAsia="Calibri" w:hAnsi="Garamond" w:cs="Arial"/>
        </w:rPr>
        <w:t xml:space="preserve">seventeenth </w:t>
      </w:r>
      <w:r w:rsidRPr="003037D2">
        <w:rPr>
          <w:rFonts w:ascii="Garamond" w:eastAsia="Calibri" w:hAnsi="Garamond" w:cs="Arial"/>
        </w:rPr>
        <w:t xml:space="preserve">century. Individuals would describe dates by referring to either ecclesiastical feasts, seasonal or agricultural events such as Midsummer’s Eve, or events such as deaths, births, or marriages, or citing specific dates. Others would reckon back from the present in units of time, be that days, weeks, months or years. Wrightson argues that this last form of time referent ‘implies a firm sense of the regular linear </w:t>
      </w:r>
      <w:r w:rsidRPr="003037D2">
        <w:rPr>
          <w:rFonts w:ascii="Garamond" w:eastAsia="Calibri" w:hAnsi="Garamond" w:cs="Arial"/>
        </w:rPr>
        <w:lastRenderedPageBreak/>
        <w:t>progression of time and a familiarity with the units in which it was measured’.</w:t>
      </w:r>
      <w:r w:rsidRPr="003037D2">
        <w:rPr>
          <w:rFonts w:ascii="Garamond" w:eastAsia="Calibri" w:hAnsi="Garamond" w:cs="Arial"/>
          <w:vertAlign w:val="superscript"/>
        </w:rPr>
        <w:footnoteReference w:id="197"/>
      </w:r>
      <w:r w:rsidRPr="003037D2">
        <w:rPr>
          <w:rFonts w:ascii="Garamond" w:eastAsia="Calibri" w:hAnsi="Garamond" w:cs="Arial"/>
        </w:rPr>
        <w:t xml:space="preserve"> This means of reckoning back seems remarkably akin to the structure of chronologies at the beginning of almanacs – creating linear narratives reaching backwards in time. </w:t>
      </w:r>
    </w:p>
    <w:p w14:paraId="24A8CEA4" w14:textId="77777777" w:rsidR="00162224" w:rsidRPr="003037D2" w:rsidRDefault="00162224" w:rsidP="00162224">
      <w:pPr>
        <w:spacing w:line="360" w:lineRule="auto"/>
        <w:ind w:firstLine="720"/>
        <w:rPr>
          <w:rFonts w:ascii="Garamond" w:eastAsia="Calibri" w:hAnsi="Garamond" w:cs="Arial"/>
        </w:rPr>
      </w:pPr>
    </w:p>
    <w:p w14:paraId="7B0C225F" w14:textId="77777777"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t xml:space="preserve">Several annotated almanacs I examined in my small-scale study contained extensive evidence of annotators substituting their own time referents for those suggested in the printed texts. For example, in a copy of Thomas </w:t>
      </w:r>
      <w:proofErr w:type="spellStart"/>
      <w:r w:rsidRPr="003037D2">
        <w:rPr>
          <w:rFonts w:ascii="Garamond" w:eastAsia="Calibri" w:hAnsi="Garamond" w:cs="Arial"/>
        </w:rPr>
        <w:t>Bretnor’s</w:t>
      </w:r>
      <w:proofErr w:type="spellEnd"/>
      <w:r w:rsidRPr="003037D2">
        <w:rPr>
          <w:rFonts w:ascii="Garamond" w:eastAsia="Calibri" w:hAnsi="Garamond" w:cs="Arial"/>
        </w:rPr>
        <w:t xml:space="preserve"> 1618 almanac, next to the description of the ‘</w:t>
      </w:r>
      <w:proofErr w:type="spellStart"/>
      <w:r w:rsidRPr="003037D2">
        <w:rPr>
          <w:rFonts w:ascii="Garamond" w:eastAsia="Calibri" w:hAnsi="Garamond" w:cs="Arial"/>
        </w:rPr>
        <w:t>Michaelmas</w:t>
      </w:r>
      <w:proofErr w:type="spellEnd"/>
      <w:r w:rsidRPr="003037D2">
        <w:rPr>
          <w:rFonts w:ascii="Garamond" w:eastAsia="Calibri" w:hAnsi="Garamond" w:cs="Arial"/>
        </w:rPr>
        <w:t xml:space="preserve"> </w:t>
      </w:r>
      <w:proofErr w:type="spellStart"/>
      <w:r w:rsidRPr="003037D2">
        <w:rPr>
          <w:rFonts w:ascii="Garamond" w:eastAsia="Calibri" w:hAnsi="Garamond" w:cs="Arial"/>
        </w:rPr>
        <w:t>tearme</w:t>
      </w:r>
      <w:proofErr w:type="spellEnd"/>
      <w:r w:rsidRPr="003037D2">
        <w:rPr>
          <w:rFonts w:ascii="Garamond" w:eastAsia="Calibri" w:hAnsi="Garamond" w:cs="Arial"/>
        </w:rPr>
        <w:t>’ dates the days of the week and calendar dates have been written into the margin. Legal and ecclesiastical referents have been expanded on, given their practical day to day terms. Similarly, in the Samuel Danforth almanac, which gives only astrological descriptions in the monthly calendars, the annotator has written in ‘</w:t>
      </w:r>
      <w:proofErr w:type="spellStart"/>
      <w:r w:rsidRPr="003037D2">
        <w:rPr>
          <w:rFonts w:ascii="Garamond" w:eastAsia="Calibri" w:hAnsi="Garamond" w:cs="Arial"/>
        </w:rPr>
        <w:t>Michaelmas</w:t>
      </w:r>
      <w:proofErr w:type="spellEnd"/>
      <w:r w:rsidRPr="003037D2">
        <w:rPr>
          <w:rFonts w:ascii="Garamond" w:eastAsia="Calibri" w:hAnsi="Garamond" w:cs="Arial"/>
        </w:rPr>
        <w:t>’ by the 29</w:t>
      </w:r>
      <w:r w:rsidRPr="003037D2">
        <w:rPr>
          <w:rFonts w:ascii="Garamond" w:eastAsia="Calibri" w:hAnsi="Garamond" w:cs="Arial"/>
          <w:vertAlign w:val="superscript"/>
        </w:rPr>
        <w:t>th</w:t>
      </w:r>
      <w:r w:rsidRPr="003037D2">
        <w:rPr>
          <w:rFonts w:ascii="Garamond" w:eastAsia="Calibri" w:hAnsi="Garamond" w:cs="Arial"/>
        </w:rPr>
        <w:t xml:space="preserve"> September, and ‘</w:t>
      </w:r>
      <w:proofErr w:type="spellStart"/>
      <w:r w:rsidRPr="003037D2">
        <w:rPr>
          <w:rFonts w:ascii="Garamond" w:eastAsia="Calibri" w:hAnsi="Garamond" w:cs="Arial"/>
        </w:rPr>
        <w:t>Bartholemew</w:t>
      </w:r>
      <w:proofErr w:type="spellEnd"/>
      <w:r w:rsidRPr="003037D2">
        <w:rPr>
          <w:rFonts w:ascii="Garamond" w:eastAsia="Calibri" w:hAnsi="Garamond" w:cs="Arial"/>
        </w:rPr>
        <w:t>’ beside the 23</w:t>
      </w:r>
      <w:r w:rsidRPr="003037D2">
        <w:rPr>
          <w:rFonts w:ascii="Garamond" w:eastAsia="Calibri" w:hAnsi="Garamond" w:cs="Arial"/>
          <w:vertAlign w:val="superscript"/>
        </w:rPr>
        <w:t>rd</w:t>
      </w:r>
      <w:r w:rsidRPr="003037D2">
        <w:rPr>
          <w:rFonts w:ascii="Garamond" w:eastAsia="Calibri" w:hAnsi="Garamond" w:cs="Arial"/>
        </w:rPr>
        <w:t xml:space="preserve"> August, in a reference to the St. </w:t>
      </w:r>
      <w:proofErr w:type="spellStart"/>
      <w:r w:rsidRPr="003037D2">
        <w:rPr>
          <w:rFonts w:ascii="Garamond" w:eastAsia="Calibri" w:hAnsi="Garamond" w:cs="Arial"/>
        </w:rPr>
        <w:t>Bartholemew’s</w:t>
      </w:r>
      <w:proofErr w:type="spellEnd"/>
      <w:r w:rsidRPr="003037D2">
        <w:rPr>
          <w:rFonts w:ascii="Garamond" w:eastAsia="Calibri" w:hAnsi="Garamond" w:cs="Arial"/>
        </w:rPr>
        <w:t xml:space="preserve"> Day massacre that occurred in France in 1572.</w:t>
      </w:r>
      <w:r w:rsidRPr="003037D2">
        <w:rPr>
          <w:rFonts w:ascii="Garamond" w:eastAsia="Calibri" w:hAnsi="Garamond" w:cs="Arial"/>
          <w:vertAlign w:val="superscript"/>
        </w:rPr>
        <w:footnoteReference w:id="198"/>
      </w:r>
      <w:r w:rsidRPr="003037D2">
        <w:rPr>
          <w:rFonts w:ascii="Garamond" w:eastAsia="Calibri" w:hAnsi="Garamond" w:cs="Arial"/>
        </w:rPr>
        <w:t xml:space="preserve"> The annotators are aware that there are multiple ways in which to refer to a day, and that they can use the one most suited their own present needs.  </w:t>
      </w:r>
    </w:p>
    <w:p w14:paraId="1B8F8A94" w14:textId="77777777" w:rsidR="00162224" w:rsidRPr="003037D2" w:rsidRDefault="00162224" w:rsidP="00162224">
      <w:pPr>
        <w:spacing w:line="360" w:lineRule="auto"/>
        <w:ind w:firstLine="720"/>
        <w:rPr>
          <w:rFonts w:ascii="Garamond" w:eastAsia="Calibri" w:hAnsi="Garamond" w:cs="Arial"/>
        </w:rPr>
      </w:pPr>
    </w:p>
    <w:p w14:paraId="6CC4112D" w14:textId="0FBA7A84"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t xml:space="preserve">Another set of 1616-1620 </w:t>
      </w:r>
      <w:proofErr w:type="spellStart"/>
      <w:r w:rsidRPr="003037D2">
        <w:rPr>
          <w:rFonts w:ascii="Garamond" w:eastAsia="Calibri" w:hAnsi="Garamond" w:cs="Arial"/>
        </w:rPr>
        <w:t>Bretnor</w:t>
      </w:r>
      <w:proofErr w:type="spellEnd"/>
      <w:r w:rsidRPr="003037D2">
        <w:rPr>
          <w:rFonts w:ascii="Garamond" w:eastAsia="Calibri" w:hAnsi="Garamond" w:cs="Arial"/>
        </w:rPr>
        <w:t xml:space="preserve"> Almanacs held at the Huntington, bound together and seemingly owned by one person, have many examples of dates being crossed out and rewritten over the course of the five volumes. Additionally, a John Johnson 1615 Almanac, which would seem to repel annotation as it contains no ‘blanks’, is scattered with alterations made to the table of dates provided for each month. Although many of these annotations are illegible, it seems as though many of the dates or descriptions of days are being crossed through. For example, the 20</w:t>
      </w:r>
      <w:r w:rsidRPr="003037D2">
        <w:rPr>
          <w:rFonts w:ascii="Garamond" w:eastAsia="Calibri" w:hAnsi="Garamond" w:cs="Arial"/>
          <w:vertAlign w:val="superscript"/>
        </w:rPr>
        <w:t>th</w:t>
      </w:r>
      <w:r w:rsidRPr="003037D2">
        <w:rPr>
          <w:rFonts w:ascii="Garamond" w:eastAsia="Calibri" w:hAnsi="Garamond" w:cs="Arial"/>
        </w:rPr>
        <w:t xml:space="preserve"> January has been described in the printed text as ‘</w:t>
      </w:r>
      <w:proofErr w:type="spellStart"/>
      <w:r w:rsidRPr="003037D2">
        <w:rPr>
          <w:rFonts w:ascii="Garamond" w:eastAsia="Calibri" w:hAnsi="Garamond" w:cs="Arial"/>
        </w:rPr>
        <w:t>Octab</w:t>
      </w:r>
      <w:proofErr w:type="spellEnd"/>
      <w:r w:rsidRPr="003037D2">
        <w:rPr>
          <w:rFonts w:ascii="Garamond" w:eastAsia="Calibri" w:hAnsi="Garamond" w:cs="Arial"/>
        </w:rPr>
        <w:t>. Hill.’ (the first day of Hillary term) but this description has been struck through.</w:t>
      </w:r>
      <w:r w:rsidRPr="003037D2">
        <w:rPr>
          <w:rFonts w:ascii="Garamond" w:eastAsia="Calibri" w:hAnsi="Garamond" w:cs="Arial"/>
          <w:vertAlign w:val="superscript"/>
        </w:rPr>
        <w:footnoteReference w:id="199"/>
      </w:r>
      <w:r w:rsidRPr="003037D2">
        <w:rPr>
          <w:rFonts w:ascii="Garamond" w:eastAsia="Calibri" w:hAnsi="Garamond" w:cs="Arial"/>
        </w:rPr>
        <w:t xml:space="preserve"> These interventions on the text disrupt the ordered, systemized time referents pre-ordained by the almanac compiler, instead offering personally inflected ways of describing time. Smyth has similarly argued that, in a background of European wide calendrical reform, the almanacs presented time as ‘</w:t>
      </w:r>
      <w:proofErr w:type="spellStart"/>
      <w:r w:rsidRPr="003037D2">
        <w:rPr>
          <w:rFonts w:ascii="Garamond" w:eastAsia="Calibri" w:hAnsi="Garamond" w:cs="Arial"/>
        </w:rPr>
        <w:t>organised</w:t>
      </w:r>
      <w:proofErr w:type="spellEnd"/>
      <w:r w:rsidRPr="003037D2">
        <w:rPr>
          <w:rFonts w:ascii="Garamond" w:eastAsia="Calibri" w:hAnsi="Garamond" w:cs="Arial"/>
        </w:rPr>
        <w:t xml:space="preserve"> by several different frames: by numerical date, day, anniversary (both </w:t>
      </w:r>
      <w:r w:rsidRPr="003037D2">
        <w:rPr>
          <w:rFonts w:ascii="Garamond" w:eastAsia="Calibri" w:hAnsi="Garamond" w:cs="Arial"/>
        </w:rPr>
        <w:lastRenderedPageBreak/>
        <w:t>Christian and monarchical), astrological position, lunar position, and meteorology’.</w:t>
      </w:r>
      <w:r w:rsidRPr="003037D2">
        <w:rPr>
          <w:rFonts w:ascii="Garamond" w:eastAsia="Calibri" w:hAnsi="Garamond" w:cs="Arial"/>
          <w:vertAlign w:val="superscript"/>
        </w:rPr>
        <w:footnoteReference w:id="200"/>
      </w:r>
      <w:r w:rsidRPr="003037D2">
        <w:rPr>
          <w:rFonts w:ascii="Garamond" w:eastAsia="Calibri" w:hAnsi="Garamond" w:cs="Arial"/>
        </w:rPr>
        <w:t xml:space="preserve">  He suggests that almanacs ‘in fact emphasized and enacted the idea that time might be imagined according to various systems’.</w:t>
      </w:r>
      <w:r w:rsidRPr="003037D2">
        <w:rPr>
          <w:rFonts w:ascii="Garamond" w:eastAsia="Calibri" w:hAnsi="Garamond" w:cs="Arial"/>
          <w:vertAlign w:val="superscript"/>
        </w:rPr>
        <w:footnoteReference w:id="201"/>
      </w:r>
      <w:r w:rsidRPr="003037D2">
        <w:rPr>
          <w:rFonts w:ascii="Garamond" w:eastAsia="Calibri" w:hAnsi="Garamond" w:cs="Arial"/>
        </w:rPr>
        <w:t xml:space="preserve"> I would modify this argument, suggesting that the annotations seen in the almanacs demonstrate how the books’ owners could personally select from various systems. The crossing through of terms and substituting with their own time referents demonstrates a bold understanding of the resources that these different systems of reference offered up. </w:t>
      </w:r>
    </w:p>
    <w:p w14:paraId="7FFAE674" w14:textId="77777777" w:rsidR="00A721D6" w:rsidRPr="003037D2" w:rsidRDefault="00A721D6" w:rsidP="00162224">
      <w:pPr>
        <w:spacing w:line="360" w:lineRule="auto"/>
        <w:ind w:firstLine="720"/>
        <w:rPr>
          <w:rFonts w:ascii="Garamond" w:eastAsia="Calibri" w:hAnsi="Garamond" w:cs="Arial"/>
        </w:rPr>
      </w:pPr>
    </w:p>
    <w:p w14:paraId="38D3DB24" w14:textId="77777777" w:rsidR="00162224" w:rsidRPr="003037D2" w:rsidRDefault="00162224" w:rsidP="00162224">
      <w:pPr>
        <w:spacing w:line="360" w:lineRule="auto"/>
        <w:ind w:firstLine="720"/>
        <w:rPr>
          <w:rFonts w:ascii="Garamond" w:eastAsia="Calibri" w:hAnsi="Garamond" w:cs="Arial"/>
        </w:rPr>
      </w:pPr>
    </w:p>
    <w:p w14:paraId="328ACE38" w14:textId="77777777" w:rsidR="00162224" w:rsidRPr="003037D2" w:rsidRDefault="00162224" w:rsidP="00162224">
      <w:pPr>
        <w:keepNext/>
        <w:keepLines/>
        <w:numPr>
          <w:ilvl w:val="0"/>
          <w:numId w:val="24"/>
        </w:numPr>
        <w:spacing w:before="40" w:line="259" w:lineRule="auto"/>
        <w:outlineLvl w:val="2"/>
        <w:rPr>
          <w:rFonts w:ascii="Garamond" w:eastAsia="DengXian Light" w:hAnsi="Garamond" w:cs="Times New Roman"/>
          <w:color w:val="000000"/>
        </w:rPr>
      </w:pPr>
      <w:bookmarkStart w:id="14" w:name="_Toc3967167"/>
      <w:r w:rsidRPr="003037D2">
        <w:rPr>
          <w:rFonts w:ascii="Garamond" w:eastAsia="DengXian Light" w:hAnsi="Garamond" w:cs="Times New Roman"/>
          <w:color w:val="000000"/>
        </w:rPr>
        <w:t>Pleated Time</w:t>
      </w:r>
      <w:bookmarkEnd w:id="14"/>
      <w:r w:rsidRPr="003037D2">
        <w:rPr>
          <w:rFonts w:ascii="Garamond" w:eastAsia="DengXian Light" w:hAnsi="Garamond" w:cs="Times New Roman"/>
          <w:color w:val="000000"/>
        </w:rPr>
        <w:t xml:space="preserve"> </w:t>
      </w:r>
    </w:p>
    <w:p w14:paraId="12160187" w14:textId="77777777" w:rsidR="00162224" w:rsidRPr="003037D2" w:rsidRDefault="00162224" w:rsidP="00162224">
      <w:pPr>
        <w:rPr>
          <w:rFonts w:ascii="Garamond" w:eastAsia="Calibri" w:hAnsi="Garamond" w:cs="Arial"/>
        </w:rPr>
      </w:pPr>
    </w:p>
    <w:p w14:paraId="714560F2" w14:textId="3647B214" w:rsidR="00162224" w:rsidRPr="003037D2" w:rsidRDefault="00162224" w:rsidP="00162224">
      <w:pPr>
        <w:spacing w:line="360" w:lineRule="auto"/>
        <w:rPr>
          <w:rFonts w:ascii="Garamond" w:eastAsia="Calibri" w:hAnsi="Garamond" w:cs="Arial"/>
        </w:rPr>
      </w:pPr>
      <w:r w:rsidRPr="003037D2">
        <w:rPr>
          <w:rFonts w:ascii="Garamond" w:eastAsia="Calibri" w:hAnsi="Garamond" w:cs="Arial"/>
        </w:rPr>
        <w:tab/>
        <w:t xml:space="preserve"> </w:t>
      </w:r>
      <w:r w:rsidRPr="003037D2">
        <w:rPr>
          <w:rFonts w:ascii="Garamond" w:eastAsia="Calibri" w:hAnsi="Garamond" w:cs="Arial"/>
          <w:b/>
        </w:rPr>
        <w:t xml:space="preserve"> </w:t>
      </w:r>
      <w:r w:rsidRPr="003037D2">
        <w:rPr>
          <w:rFonts w:ascii="Garamond" w:eastAsia="Calibri" w:hAnsi="Garamond" w:cs="Arial"/>
        </w:rPr>
        <w:t xml:space="preserve">In one of the Huntington Library copies of Richard </w:t>
      </w:r>
      <w:proofErr w:type="spellStart"/>
      <w:r w:rsidRPr="003037D2">
        <w:rPr>
          <w:rFonts w:ascii="Garamond" w:eastAsia="Calibri" w:hAnsi="Garamond" w:cs="Arial"/>
        </w:rPr>
        <w:t>Allestree’s</w:t>
      </w:r>
      <w:proofErr w:type="spellEnd"/>
      <w:r w:rsidRPr="003037D2">
        <w:rPr>
          <w:rFonts w:ascii="Garamond" w:eastAsia="Calibri" w:hAnsi="Garamond" w:cs="Arial"/>
        </w:rPr>
        <w:t xml:space="preserve"> 1628 </w:t>
      </w:r>
      <w:r w:rsidRPr="003037D2">
        <w:rPr>
          <w:rFonts w:ascii="Garamond" w:eastAsia="Calibri" w:hAnsi="Garamond" w:cs="Arial"/>
          <w:i/>
          <w:iCs/>
        </w:rPr>
        <w:t>A new Almanack and prognostication</w:t>
      </w:r>
      <w:r w:rsidRPr="003037D2">
        <w:rPr>
          <w:rFonts w:ascii="Garamond" w:eastAsia="Calibri" w:hAnsi="Garamond" w:cs="Arial"/>
        </w:rPr>
        <w:t xml:space="preserve">, the annotator John Downes uses a variety of methods of </w:t>
      </w:r>
      <w:proofErr w:type="spellStart"/>
      <w:r w:rsidRPr="003037D2">
        <w:rPr>
          <w:rFonts w:ascii="Garamond" w:eastAsia="Calibri" w:hAnsi="Garamond" w:cs="Arial"/>
        </w:rPr>
        <w:t>organising</w:t>
      </w:r>
      <w:proofErr w:type="spellEnd"/>
      <w:r w:rsidRPr="003037D2">
        <w:rPr>
          <w:rFonts w:ascii="Garamond" w:eastAsia="Calibri" w:hAnsi="Garamond" w:cs="Arial"/>
        </w:rPr>
        <w:t xml:space="preserve"> information. For example, on the double page spread for February financial notes to do with 1627 are made in the top left hand corner.</w:t>
      </w:r>
      <w:r w:rsidRPr="003037D2">
        <w:rPr>
          <w:rFonts w:ascii="Garamond" w:eastAsia="Calibri" w:hAnsi="Garamond" w:cs="Arial"/>
          <w:vertAlign w:val="superscript"/>
        </w:rPr>
        <w:footnoteReference w:id="202"/>
      </w:r>
      <w:r w:rsidRPr="003037D2">
        <w:rPr>
          <w:rFonts w:ascii="Garamond" w:eastAsia="Calibri" w:hAnsi="Garamond" w:cs="Arial"/>
        </w:rPr>
        <w:t xml:space="preserve"> A range of dates is given, ‘20-28</w:t>
      </w:r>
      <w:r w:rsidRPr="003037D2">
        <w:rPr>
          <w:rFonts w:ascii="Garamond" w:eastAsia="Calibri" w:hAnsi="Garamond" w:cs="Arial"/>
          <w:vertAlign w:val="superscript"/>
        </w:rPr>
        <w:t>th</w:t>
      </w:r>
      <w:r w:rsidRPr="003037D2">
        <w:rPr>
          <w:rFonts w:ascii="Garamond" w:eastAsia="Calibri" w:hAnsi="Garamond" w:cs="Arial"/>
        </w:rPr>
        <w:t xml:space="preserve"> May 1627’, which seem to correspond with notes made on the right hand page of people and their wages, such as ‘to J. </w:t>
      </w:r>
      <w:proofErr w:type="spellStart"/>
      <w:r w:rsidRPr="003037D2">
        <w:rPr>
          <w:rFonts w:ascii="Garamond" w:eastAsia="Calibri" w:hAnsi="Garamond" w:cs="Arial"/>
        </w:rPr>
        <w:t>Portiman</w:t>
      </w:r>
      <w:proofErr w:type="spellEnd"/>
      <w:r w:rsidRPr="003037D2">
        <w:rPr>
          <w:rFonts w:ascii="Garamond" w:eastAsia="Calibri" w:hAnsi="Garamond" w:cs="Arial"/>
        </w:rPr>
        <w:t xml:space="preserve"> --- 7</w:t>
      </w:r>
      <w:r w:rsidRPr="003037D2">
        <w:rPr>
          <w:rFonts w:ascii="Garamond" w:eastAsia="Calibri" w:hAnsi="Garamond" w:cs="Arial"/>
          <w:vertAlign w:val="superscript"/>
        </w:rPr>
        <w:t>d</w:t>
      </w:r>
      <w:r w:rsidRPr="003037D2">
        <w:rPr>
          <w:rFonts w:ascii="Garamond" w:eastAsia="Calibri" w:hAnsi="Garamond" w:cs="Arial"/>
        </w:rPr>
        <w:t xml:space="preserve"> 06 -- a week’. </w:t>
      </w:r>
      <w:proofErr w:type="gramStart"/>
      <w:r w:rsidRPr="003037D2">
        <w:rPr>
          <w:rFonts w:ascii="Garamond" w:eastAsia="Calibri" w:hAnsi="Garamond" w:cs="Arial"/>
        </w:rPr>
        <w:t>It seems as though</w:t>
      </w:r>
      <w:proofErr w:type="gramEnd"/>
      <w:r w:rsidRPr="003037D2">
        <w:rPr>
          <w:rFonts w:ascii="Garamond" w:eastAsia="Calibri" w:hAnsi="Garamond" w:cs="Arial"/>
        </w:rPr>
        <w:t xml:space="preserve"> notes from past years were being used to calculate likely expenditure. On the same page, Downes also records comings and goings from his household, such as 29</w:t>
      </w:r>
      <w:r w:rsidRPr="003037D2">
        <w:rPr>
          <w:rFonts w:ascii="Garamond" w:eastAsia="Calibri" w:hAnsi="Garamond" w:cs="Arial"/>
          <w:vertAlign w:val="superscript"/>
        </w:rPr>
        <w:t>th</w:t>
      </w:r>
      <w:r w:rsidRPr="003037D2">
        <w:rPr>
          <w:rFonts w:ascii="Garamond" w:eastAsia="Calibri" w:hAnsi="Garamond" w:cs="Arial"/>
        </w:rPr>
        <w:t xml:space="preserve"> February, ‘</w:t>
      </w:r>
      <w:proofErr w:type="spellStart"/>
      <w:r w:rsidRPr="003037D2">
        <w:rPr>
          <w:rFonts w:ascii="Garamond" w:eastAsia="Calibri" w:hAnsi="Garamond" w:cs="Arial"/>
        </w:rPr>
        <w:t>Mrst</w:t>
      </w:r>
      <w:proofErr w:type="spellEnd"/>
      <w:r w:rsidRPr="003037D2">
        <w:rPr>
          <w:rFonts w:ascii="Garamond" w:eastAsia="Calibri" w:hAnsi="Garamond" w:cs="Arial"/>
        </w:rPr>
        <w:t xml:space="preserve"> </w:t>
      </w:r>
      <w:proofErr w:type="spellStart"/>
      <w:r w:rsidRPr="003037D2">
        <w:rPr>
          <w:rFonts w:ascii="Garamond" w:eastAsia="Calibri" w:hAnsi="Garamond" w:cs="Arial"/>
        </w:rPr>
        <w:t>Mathewes</w:t>
      </w:r>
      <w:proofErr w:type="spellEnd"/>
      <w:r w:rsidRPr="003037D2">
        <w:rPr>
          <w:rFonts w:ascii="Garamond" w:eastAsia="Calibri" w:hAnsi="Garamond" w:cs="Arial"/>
        </w:rPr>
        <w:t xml:space="preserve"> alias Smith went away’. Notes from the past are becoming a guide for the future, as the almanac is used as both an account book and as an ongoing log and journal. Downes also notes down other personal events, such as two marriages in March; on the 1</w:t>
      </w:r>
      <w:r w:rsidRPr="003037D2">
        <w:rPr>
          <w:rFonts w:ascii="Garamond" w:eastAsia="Calibri" w:hAnsi="Garamond" w:cs="Arial"/>
          <w:vertAlign w:val="superscript"/>
        </w:rPr>
        <w:t>st</w:t>
      </w:r>
      <w:r w:rsidRPr="003037D2">
        <w:rPr>
          <w:rFonts w:ascii="Garamond" w:eastAsia="Calibri" w:hAnsi="Garamond" w:cs="Arial"/>
        </w:rPr>
        <w:t xml:space="preserve"> ‘</w:t>
      </w:r>
      <w:proofErr w:type="spellStart"/>
      <w:r w:rsidRPr="003037D2">
        <w:rPr>
          <w:rFonts w:ascii="Garamond" w:eastAsia="Calibri" w:hAnsi="Garamond" w:cs="Arial"/>
        </w:rPr>
        <w:t>Mr</w:t>
      </w:r>
      <w:proofErr w:type="spellEnd"/>
      <w:r w:rsidRPr="003037D2">
        <w:rPr>
          <w:rFonts w:ascii="Garamond" w:eastAsia="Calibri" w:hAnsi="Garamond" w:cs="Arial"/>
        </w:rPr>
        <w:t xml:space="preserve"> </w:t>
      </w:r>
      <w:proofErr w:type="spellStart"/>
      <w:r w:rsidRPr="003037D2">
        <w:rPr>
          <w:rFonts w:ascii="Garamond" w:eastAsia="Calibri" w:hAnsi="Garamond" w:cs="Arial"/>
        </w:rPr>
        <w:t>W</w:t>
      </w:r>
      <w:r w:rsidRPr="003037D2">
        <w:rPr>
          <w:rFonts w:ascii="Garamond" w:eastAsia="Calibri" w:hAnsi="Garamond" w:cs="Arial"/>
          <w:vertAlign w:val="superscript"/>
        </w:rPr>
        <w:t>llm</w:t>
      </w:r>
      <w:proofErr w:type="spellEnd"/>
      <w:r w:rsidRPr="003037D2">
        <w:rPr>
          <w:rFonts w:ascii="Garamond" w:eastAsia="Calibri" w:hAnsi="Garamond" w:cs="Arial"/>
          <w:vertAlign w:val="superscript"/>
        </w:rPr>
        <w:t xml:space="preserve"> </w:t>
      </w:r>
      <w:r w:rsidRPr="003037D2">
        <w:rPr>
          <w:rFonts w:ascii="Garamond" w:eastAsia="Calibri" w:hAnsi="Garamond" w:cs="Arial"/>
        </w:rPr>
        <w:t xml:space="preserve">Wiser was Married at </w:t>
      </w:r>
      <w:proofErr w:type="spellStart"/>
      <w:r w:rsidRPr="003037D2">
        <w:rPr>
          <w:rFonts w:ascii="Garamond" w:eastAsia="Calibri" w:hAnsi="Garamond" w:cs="Arial"/>
        </w:rPr>
        <w:t>Sheshr</w:t>
      </w:r>
      <w:proofErr w:type="spellEnd"/>
      <w:r w:rsidRPr="003037D2">
        <w:rPr>
          <w:rFonts w:ascii="Garamond" w:eastAsia="Calibri" w:hAnsi="Garamond" w:cs="Arial"/>
        </w:rPr>
        <w:t>.’ and on the 3</w:t>
      </w:r>
      <w:r w:rsidRPr="003037D2">
        <w:rPr>
          <w:rFonts w:ascii="Garamond" w:eastAsia="Calibri" w:hAnsi="Garamond" w:cs="Arial"/>
          <w:vertAlign w:val="superscript"/>
        </w:rPr>
        <w:t>rd</w:t>
      </w:r>
      <w:r w:rsidRPr="003037D2">
        <w:rPr>
          <w:rFonts w:ascii="Garamond" w:eastAsia="Calibri" w:hAnsi="Garamond" w:cs="Arial"/>
        </w:rPr>
        <w:t xml:space="preserve"> ‘M</w:t>
      </w:r>
      <w:r w:rsidRPr="003037D2">
        <w:rPr>
          <w:rFonts w:ascii="Garamond" w:eastAsia="Calibri" w:hAnsi="Garamond" w:cs="Arial"/>
          <w:vertAlign w:val="superscript"/>
        </w:rPr>
        <w:t xml:space="preserve">iss </w:t>
      </w:r>
      <w:r w:rsidRPr="003037D2">
        <w:rPr>
          <w:rFonts w:ascii="Garamond" w:eastAsia="Calibri" w:hAnsi="Garamond" w:cs="Arial"/>
        </w:rPr>
        <w:t xml:space="preserve">Mary </w:t>
      </w:r>
      <w:proofErr w:type="spellStart"/>
      <w:r w:rsidRPr="003037D2">
        <w:rPr>
          <w:rFonts w:ascii="Garamond" w:eastAsia="Calibri" w:hAnsi="Garamond" w:cs="Arial"/>
        </w:rPr>
        <w:t>Cuise</w:t>
      </w:r>
      <w:proofErr w:type="spellEnd"/>
      <w:r w:rsidRPr="003037D2">
        <w:rPr>
          <w:rFonts w:ascii="Garamond" w:eastAsia="Calibri" w:hAnsi="Garamond" w:cs="Arial"/>
        </w:rPr>
        <w:t xml:space="preserve"> was married to </w:t>
      </w:r>
      <w:proofErr w:type="spellStart"/>
      <w:r w:rsidRPr="003037D2">
        <w:rPr>
          <w:rFonts w:ascii="Garamond" w:eastAsia="Calibri" w:hAnsi="Garamond" w:cs="Arial"/>
        </w:rPr>
        <w:t>Mr</w:t>
      </w:r>
      <w:proofErr w:type="spellEnd"/>
      <w:r w:rsidRPr="003037D2">
        <w:rPr>
          <w:rFonts w:ascii="Garamond" w:eastAsia="Calibri" w:hAnsi="Garamond" w:cs="Arial"/>
        </w:rPr>
        <w:t xml:space="preserve"> </w:t>
      </w:r>
      <w:proofErr w:type="spellStart"/>
      <w:r w:rsidRPr="003037D2">
        <w:rPr>
          <w:rFonts w:ascii="Garamond" w:eastAsia="Calibri" w:hAnsi="Garamond" w:cs="Arial"/>
        </w:rPr>
        <w:t>Lawrynce</w:t>
      </w:r>
      <w:proofErr w:type="spellEnd"/>
      <w:r w:rsidRPr="003037D2">
        <w:rPr>
          <w:rFonts w:ascii="Garamond" w:eastAsia="Calibri" w:hAnsi="Garamond" w:cs="Arial"/>
        </w:rPr>
        <w:t xml:space="preserve"> Carper’.</w:t>
      </w:r>
      <w:r w:rsidRPr="003037D2">
        <w:rPr>
          <w:rFonts w:ascii="Garamond" w:eastAsia="Calibri" w:hAnsi="Garamond" w:cs="Arial"/>
          <w:vertAlign w:val="superscript"/>
        </w:rPr>
        <w:footnoteReference w:id="203"/>
      </w:r>
      <w:r w:rsidRPr="003037D2">
        <w:rPr>
          <w:rFonts w:ascii="Garamond" w:eastAsia="Calibri" w:hAnsi="Garamond" w:cs="Arial"/>
        </w:rPr>
        <w:t xml:space="preserve"> Years of notes are being layered one upon another, as the annotator and reader move through the years and yet circle back in the book. As previously discussed, Nagel and Wood have argued that almanacs and calendars acted to materially fix time in a linear progression. They contrast these objects to works of art, which they argue contrive to generate ‘the doubling or bending of time’. They argue that, in sixteenth</w:t>
      </w:r>
      <w:r w:rsidR="00814479">
        <w:rPr>
          <w:rFonts w:ascii="Garamond" w:eastAsia="Calibri" w:hAnsi="Garamond" w:cs="Arial"/>
        </w:rPr>
        <w:t>-</w:t>
      </w:r>
      <w:r w:rsidRPr="003037D2">
        <w:rPr>
          <w:rFonts w:ascii="Garamond" w:eastAsia="Calibri" w:hAnsi="Garamond" w:cs="Arial"/>
        </w:rPr>
        <w:t xml:space="preserve">century artistic practice, this became critical to what </w:t>
      </w:r>
      <w:r w:rsidRPr="003037D2">
        <w:rPr>
          <w:rFonts w:ascii="Garamond" w:eastAsia="Calibri" w:hAnsi="Garamond" w:cs="Arial"/>
        </w:rPr>
        <w:lastRenderedPageBreak/>
        <w:t xml:space="preserve">the works of art </w:t>
      </w:r>
      <w:r w:rsidRPr="003037D2">
        <w:rPr>
          <w:rFonts w:ascii="Garamond" w:eastAsia="Calibri" w:hAnsi="Garamond" w:cs="Arial"/>
          <w:i/>
        </w:rPr>
        <w:t xml:space="preserve">do: </w:t>
      </w:r>
      <w:r w:rsidRPr="003037D2">
        <w:rPr>
          <w:rFonts w:ascii="Garamond" w:eastAsia="Calibri" w:hAnsi="Garamond" w:cs="Arial"/>
        </w:rPr>
        <w:t>the multiple temporalities of a work of art made it a fruitful means by which to contemplate the cosmos as woven together in secret order. Stating that, ‘Such contrivances mirror the sensation, familiar to everyone, of time folding over on itself, the doubling of the fabric of experience that creates continuity and flow; creates meaning where there was none’.</w:t>
      </w:r>
      <w:r w:rsidRPr="003037D2">
        <w:rPr>
          <w:rFonts w:ascii="Garamond" w:eastAsia="Calibri" w:hAnsi="Garamond" w:cs="Arial"/>
          <w:vertAlign w:val="superscript"/>
        </w:rPr>
        <w:footnoteReference w:id="204"/>
      </w:r>
      <w:r w:rsidRPr="003037D2">
        <w:rPr>
          <w:rFonts w:ascii="Garamond" w:eastAsia="Calibri" w:hAnsi="Garamond" w:cs="Arial"/>
        </w:rPr>
        <w:t xml:space="preserve"> My sense, after considering at close quarters how people actually used almanacs, is that the almanac paradoxically ‘pleats the fabric of time’. This is in the vein of Michelle </w:t>
      </w:r>
      <w:proofErr w:type="spellStart"/>
      <w:r w:rsidRPr="003037D2">
        <w:rPr>
          <w:rFonts w:ascii="Garamond" w:eastAsia="Calibri" w:hAnsi="Garamond" w:cs="Arial"/>
        </w:rPr>
        <w:t>Serres</w:t>
      </w:r>
      <w:proofErr w:type="spellEnd"/>
      <w:r w:rsidRPr="003037D2">
        <w:rPr>
          <w:rFonts w:ascii="Garamond" w:eastAsia="Calibri" w:hAnsi="Garamond" w:cs="Arial"/>
        </w:rPr>
        <w:t xml:space="preserve">’ idea of </w:t>
      </w:r>
      <w:proofErr w:type="spellStart"/>
      <w:r w:rsidRPr="003037D2">
        <w:rPr>
          <w:rFonts w:ascii="Garamond" w:eastAsia="Calibri" w:hAnsi="Garamond" w:cs="Arial"/>
        </w:rPr>
        <w:t>polychronicity</w:t>
      </w:r>
      <w:proofErr w:type="spellEnd"/>
      <w:r w:rsidRPr="003037D2">
        <w:rPr>
          <w:rFonts w:ascii="Garamond" w:eastAsia="Calibri" w:hAnsi="Garamond" w:cs="Arial"/>
        </w:rPr>
        <w:t xml:space="preserve"> – as revealing ‘a time that is gathered together, and with multiple pleats’.</w:t>
      </w:r>
      <w:r w:rsidRPr="003037D2">
        <w:rPr>
          <w:rFonts w:ascii="Garamond" w:eastAsia="Calibri" w:hAnsi="Garamond" w:cs="Arial"/>
          <w:vertAlign w:val="superscript"/>
        </w:rPr>
        <w:footnoteReference w:id="205"/>
      </w:r>
      <w:r w:rsidRPr="003037D2">
        <w:rPr>
          <w:rFonts w:ascii="Garamond" w:eastAsia="Calibri" w:hAnsi="Garamond" w:cs="Arial"/>
        </w:rPr>
        <w:t xml:space="preserve"> Rather than establishing a linear motion, writing within the book from left to right with the progress of the year, an almanac annotator could move freely between the pages, between times, frames of reference, and modes of thought.  </w:t>
      </w:r>
    </w:p>
    <w:p w14:paraId="0DA51A01" w14:textId="77777777" w:rsidR="00162224" w:rsidRPr="003037D2" w:rsidRDefault="00162224" w:rsidP="00162224">
      <w:pPr>
        <w:spacing w:line="360" w:lineRule="auto"/>
        <w:rPr>
          <w:rFonts w:ascii="Garamond" w:eastAsia="Calibri" w:hAnsi="Garamond" w:cs="Arial"/>
        </w:rPr>
      </w:pPr>
    </w:p>
    <w:p w14:paraId="11E35608" w14:textId="24CE0302"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t xml:space="preserve">In the </w:t>
      </w:r>
      <w:proofErr w:type="spellStart"/>
      <w:r w:rsidRPr="003037D2">
        <w:rPr>
          <w:rFonts w:ascii="Garamond" w:eastAsia="Calibri" w:hAnsi="Garamond" w:cs="Arial"/>
        </w:rPr>
        <w:t>Allestree</w:t>
      </w:r>
      <w:proofErr w:type="spellEnd"/>
      <w:r w:rsidRPr="003037D2">
        <w:rPr>
          <w:rFonts w:ascii="Garamond" w:eastAsia="Calibri" w:hAnsi="Garamond" w:cs="Arial"/>
        </w:rPr>
        <w:t xml:space="preserve"> 1628 Almanac, Downes notes down both intensely personal events, saying on the 14</w:t>
      </w:r>
      <w:r w:rsidRPr="003037D2">
        <w:rPr>
          <w:rFonts w:ascii="Garamond" w:eastAsia="Calibri" w:hAnsi="Garamond" w:cs="Arial"/>
          <w:vertAlign w:val="superscript"/>
        </w:rPr>
        <w:t>th</w:t>
      </w:r>
      <w:r w:rsidRPr="003037D2">
        <w:rPr>
          <w:rFonts w:ascii="Garamond" w:eastAsia="Calibri" w:hAnsi="Garamond" w:cs="Arial"/>
        </w:rPr>
        <w:t xml:space="preserve"> July ‘my sleep broken, awaking at 2. or 3. in y</w:t>
      </w:r>
      <w:r w:rsidRPr="003037D2">
        <w:rPr>
          <w:rFonts w:ascii="Garamond" w:eastAsia="Calibri" w:hAnsi="Garamond" w:cs="Arial"/>
          <w:vertAlign w:val="superscript"/>
        </w:rPr>
        <w:t>e</w:t>
      </w:r>
      <w:r w:rsidRPr="003037D2">
        <w:rPr>
          <w:rFonts w:ascii="Garamond" w:eastAsia="Calibri" w:hAnsi="Garamond" w:cs="Arial"/>
        </w:rPr>
        <w:t xml:space="preserve"> </w:t>
      </w:r>
      <w:proofErr w:type="spellStart"/>
      <w:r w:rsidRPr="003037D2">
        <w:rPr>
          <w:rFonts w:ascii="Garamond" w:eastAsia="Calibri" w:hAnsi="Garamond" w:cs="Arial"/>
        </w:rPr>
        <w:t>morning’and</w:t>
      </w:r>
      <w:proofErr w:type="spellEnd"/>
      <w:r w:rsidRPr="003037D2">
        <w:rPr>
          <w:rFonts w:ascii="Garamond" w:eastAsia="Calibri" w:hAnsi="Garamond" w:cs="Arial"/>
        </w:rPr>
        <w:t xml:space="preserve"> political events, such the stabbing of George Villiers on the 23</w:t>
      </w:r>
      <w:r w:rsidRPr="003037D2">
        <w:rPr>
          <w:rFonts w:ascii="Garamond" w:eastAsia="Calibri" w:hAnsi="Garamond" w:cs="Arial"/>
          <w:vertAlign w:val="superscript"/>
        </w:rPr>
        <w:t>rd</w:t>
      </w:r>
      <w:r w:rsidRPr="003037D2">
        <w:rPr>
          <w:rFonts w:ascii="Garamond" w:eastAsia="Calibri" w:hAnsi="Garamond" w:cs="Arial"/>
        </w:rPr>
        <w:t xml:space="preserve"> August, ‘The Duke of Buck. Stab[bed] by </w:t>
      </w:r>
      <w:proofErr w:type="spellStart"/>
      <w:r w:rsidRPr="003037D2">
        <w:rPr>
          <w:rFonts w:ascii="Garamond" w:eastAsia="Calibri" w:hAnsi="Garamond" w:cs="Arial"/>
        </w:rPr>
        <w:t>Mr</w:t>
      </w:r>
      <w:proofErr w:type="spellEnd"/>
      <w:r w:rsidRPr="003037D2">
        <w:rPr>
          <w:rFonts w:ascii="Garamond" w:eastAsia="Calibri" w:hAnsi="Garamond" w:cs="Arial"/>
        </w:rPr>
        <w:t xml:space="preserve"> Felton’.</w:t>
      </w:r>
      <w:r w:rsidR="00E012F6" w:rsidRPr="003037D2">
        <w:rPr>
          <w:rFonts w:ascii="Garamond" w:eastAsia="Calibri" w:hAnsi="Garamond" w:cs="Arial"/>
          <w:vertAlign w:val="superscript"/>
        </w:rPr>
        <w:t xml:space="preserve"> </w:t>
      </w:r>
      <w:r w:rsidR="00E012F6" w:rsidRPr="003037D2">
        <w:rPr>
          <w:rFonts w:ascii="Garamond" w:eastAsia="Calibri" w:hAnsi="Garamond" w:cs="Arial"/>
          <w:vertAlign w:val="superscript"/>
        </w:rPr>
        <w:footnoteReference w:id="206"/>
      </w:r>
      <w:r w:rsidR="00E012F6" w:rsidRPr="003037D2">
        <w:rPr>
          <w:rFonts w:ascii="Garamond" w:eastAsia="Calibri" w:hAnsi="Garamond" w:cs="Arial"/>
        </w:rPr>
        <w:t xml:space="preserve"> </w:t>
      </w:r>
      <w:r w:rsidRPr="003037D2">
        <w:rPr>
          <w:rFonts w:ascii="Garamond" w:eastAsia="Calibri" w:hAnsi="Garamond" w:cs="Arial"/>
        </w:rPr>
        <w:t xml:space="preserve">The Duke of Buckingham was a </w:t>
      </w:r>
      <w:proofErr w:type="spellStart"/>
      <w:r w:rsidRPr="003037D2">
        <w:rPr>
          <w:rFonts w:ascii="Garamond" w:eastAsia="Calibri" w:hAnsi="Garamond" w:cs="Arial"/>
        </w:rPr>
        <w:t>favourite</w:t>
      </w:r>
      <w:proofErr w:type="spellEnd"/>
      <w:r w:rsidRPr="003037D2">
        <w:rPr>
          <w:rFonts w:ascii="Garamond" w:eastAsia="Calibri" w:hAnsi="Garamond" w:cs="Arial"/>
        </w:rPr>
        <w:t xml:space="preserve"> and </w:t>
      </w:r>
      <w:proofErr w:type="spellStart"/>
      <w:r w:rsidRPr="003037D2">
        <w:rPr>
          <w:rFonts w:ascii="Garamond" w:eastAsia="Calibri" w:hAnsi="Garamond" w:cs="Arial"/>
        </w:rPr>
        <w:t>rumoured</w:t>
      </w:r>
      <w:proofErr w:type="spellEnd"/>
      <w:r w:rsidRPr="003037D2">
        <w:rPr>
          <w:rFonts w:ascii="Garamond" w:eastAsia="Calibri" w:hAnsi="Garamond" w:cs="Arial"/>
        </w:rPr>
        <w:t xml:space="preserve"> lover of James I, and was assassinated due to his unpopular support for the Huguenot cause and the ongoing tensions with King Charles.</w:t>
      </w:r>
      <w:r w:rsidRPr="003037D2">
        <w:rPr>
          <w:rFonts w:ascii="Garamond" w:eastAsia="Calibri" w:hAnsi="Garamond" w:cs="Arial"/>
          <w:vertAlign w:val="superscript"/>
        </w:rPr>
        <w:footnoteReference w:id="207"/>
      </w:r>
      <w:r w:rsidRPr="003037D2">
        <w:rPr>
          <w:rFonts w:ascii="Garamond" w:eastAsia="Calibri" w:hAnsi="Garamond" w:cs="Arial"/>
        </w:rPr>
        <w:t xml:space="preserve"> Following this dramatic event, Downes also records, ‘My Lo: Brooke stab[bed] by his man’, and overleaf on the 30</w:t>
      </w:r>
      <w:r w:rsidRPr="003037D2">
        <w:rPr>
          <w:rFonts w:ascii="Garamond" w:eastAsia="Calibri" w:hAnsi="Garamond" w:cs="Arial"/>
          <w:vertAlign w:val="superscript"/>
        </w:rPr>
        <w:t>th</w:t>
      </w:r>
      <w:r w:rsidRPr="003037D2">
        <w:rPr>
          <w:rFonts w:ascii="Garamond" w:eastAsia="Calibri" w:hAnsi="Garamond" w:cs="Arial"/>
        </w:rPr>
        <w:t xml:space="preserve"> September details that ‘Lord Brooke dies’. This is a reference to the stabbing of </w:t>
      </w:r>
      <w:proofErr w:type="spellStart"/>
      <w:r w:rsidRPr="003037D2">
        <w:rPr>
          <w:rFonts w:ascii="Garamond" w:eastAsia="Calibri" w:hAnsi="Garamond" w:cs="Arial"/>
        </w:rPr>
        <w:t>Fulke</w:t>
      </w:r>
      <w:proofErr w:type="spellEnd"/>
      <w:r w:rsidRPr="003037D2">
        <w:rPr>
          <w:rFonts w:ascii="Garamond" w:eastAsia="Calibri" w:hAnsi="Garamond" w:cs="Arial"/>
        </w:rPr>
        <w:t xml:space="preserve"> </w:t>
      </w:r>
      <w:proofErr w:type="spellStart"/>
      <w:r w:rsidRPr="003037D2">
        <w:rPr>
          <w:rFonts w:ascii="Garamond" w:eastAsia="Calibri" w:hAnsi="Garamond" w:cs="Arial"/>
        </w:rPr>
        <w:t>Greville</w:t>
      </w:r>
      <w:proofErr w:type="spellEnd"/>
      <w:r w:rsidRPr="003037D2">
        <w:rPr>
          <w:rFonts w:ascii="Garamond" w:eastAsia="Calibri" w:hAnsi="Garamond" w:cs="Arial"/>
        </w:rPr>
        <w:t xml:space="preserve">, the Baron of Brooke, who was stabbed by his servant Ralph Hayward as he was helping him fasten his breeches. This was a personally motivated rather than a political attack: Hayward had been cut out of </w:t>
      </w:r>
      <w:proofErr w:type="spellStart"/>
      <w:r w:rsidRPr="003037D2">
        <w:rPr>
          <w:rFonts w:ascii="Garamond" w:eastAsia="Calibri" w:hAnsi="Garamond" w:cs="Arial"/>
        </w:rPr>
        <w:t>Greville’s</w:t>
      </w:r>
      <w:proofErr w:type="spellEnd"/>
      <w:r w:rsidRPr="003037D2">
        <w:rPr>
          <w:rFonts w:ascii="Garamond" w:eastAsia="Calibri" w:hAnsi="Garamond" w:cs="Arial"/>
        </w:rPr>
        <w:t xml:space="preserve"> will. </w:t>
      </w:r>
      <w:proofErr w:type="gramStart"/>
      <w:r w:rsidRPr="003037D2">
        <w:rPr>
          <w:rFonts w:ascii="Garamond" w:eastAsia="Calibri" w:hAnsi="Garamond" w:cs="Arial"/>
        </w:rPr>
        <w:t>In an attempt to</w:t>
      </w:r>
      <w:proofErr w:type="gramEnd"/>
      <w:r w:rsidRPr="003037D2">
        <w:rPr>
          <w:rFonts w:ascii="Garamond" w:eastAsia="Calibri" w:hAnsi="Garamond" w:cs="Arial"/>
        </w:rPr>
        <w:t xml:space="preserve"> save him, his doctors filled his wounds with pig fat, leading to his agonizing death a few weeks later.</w:t>
      </w:r>
      <w:r w:rsidRPr="003037D2">
        <w:rPr>
          <w:rFonts w:ascii="Garamond" w:eastAsia="Calibri" w:hAnsi="Garamond" w:cs="Arial"/>
          <w:vertAlign w:val="superscript"/>
        </w:rPr>
        <w:footnoteReference w:id="208"/>
      </w:r>
      <w:r w:rsidRPr="003037D2">
        <w:rPr>
          <w:rFonts w:ascii="Garamond" w:eastAsia="Calibri" w:hAnsi="Garamond" w:cs="Arial"/>
        </w:rPr>
        <w:t xml:space="preserve"> Downes writes his life in the same space that he does national history, enmeshing his biography with broader concerns. Smyth has argued that annotated almanacs are ‘potent sources for what has recently been termed </w:t>
      </w:r>
      <w:r w:rsidR="00CB1140" w:rsidRPr="003037D2">
        <w:rPr>
          <w:rFonts w:ascii="Garamond" w:eastAsia="Calibri" w:hAnsi="Garamond" w:cs="Arial"/>
        </w:rPr>
        <w:t>“</w:t>
      </w:r>
      <w:r w:rsidRPr="003037D2">
        <w:rPr>
          <w:rFonts w:ascii="Garamond" w:eastAsia="Calibri" w:hAnsi="Garamond" w:cs="Arial"/>
        </w:rPr>
        <w:t>life-writing</w:t>
      </w:r>
      <w:r w:rsidR="00CB1140" w:rsidRPr="003037D2">
        <w:rPr>
          <w:rFonts w:ascii="Garamond" w:eastAsia="Calibri" w:hAnsi="Garamond" w:cs="Arial"/>
        </w:rPr>
        <w:t>”</w:t>
      </w:r>
      <w:r w:rsidRPr="003037D2">
        <w:rPr>
          <w:rFonts w:ascii="Garamond" w:eastAsia="Calibri" w:hAnsi="Garamond" w:cs="Arial"/>
        </w:rPr>
        <w:t>’.</w:t>
      </w:r>
      <w:r w:rsidRPr="003037D2">
        <w:rPr>
          <w:rFonts w:ascii="Garamond" w:eastAsia="Calibri" w:hAnsi="Garamond" w:cs="Arial"/>
          <w:vertAlign w:val="superscript"/>
        </w:rPr>
        <w:t xml:space="preserve"> </w:t>
      </w:r>
      <w:r w:rsidRPr="003037D2">
        <w:rPr>
          <w:rFonts w:ascii="Garamond" w:eastAsia="Calibri" w:hAnsi="Garamond" w:cs="Arial"/>
        </w:rPr>
        <w:t xml:space="preserve"> He argues that ‘the most common form of self-accounting in early modern England… played out around the edges of countless almanacs. In this literal sense, life-writing was a marginal activity’.</w:t>
      </w:r>
      <w:r w:rsidRPr="003037D2">
        <w:rPr>
          <w:rFonts w:ascii="Garamond" w:eastAsia="Calibri" w:hAnsi="Garamond" w:cs="Arial"/>
          <w:vertAlign w:val="superscript"/>
        </w:rPr>
        <w:footnoteReference w:id="209"/>
      </w:r>
      <w:r w:rsidRPr="003037D2">
        <w:rPr>
          <w:rFonts w:ascii="Garamond" w:eastAsia="Calibri" w:hAnsi="Garamond" w:cs="Arial"/>
        </w:rPr>
        <w:t xml:space="preserve"> However, as stated by </w:t>
      </w:r>
      <w:proofErr w:type="spellStart"/>
      <w:r w:rsidRPr="003037D2">
        <w:rPr>
          <w:rFonts w:ascii="Garamond" w:eastAsia="Calibri" w:hAnsi="Garamond" w:cs="Arial"/>
        </w:rPr>
        <w:t>Brayman</w:t>
      </w:r>
      <w:proofErr w:type="spellEnd"/>
      <w:r w:rsidR="00CB1140" w:rsidRPr="003037D2">
        <w:rPr>
          <w:rFonts w:ascii="Garamond" w:eastAsia="Calibri" w:hAnsi="Garamond" w:cs="Arial"/>
        </w:rPr>
        <w:t xml:space="preserve"> </w:t>
      </w:r>
      <w:proofErr w:type="spellStart"/>
      <w:r w:rsidRPr="003037D2">
        <w:rPr>
          <w:rFonts w:ascii="Garamond" w:eastAsia="Calibri" w:hAnsi="Garamond" w:cs="Arial"/>
        </w:rPr>
        <w:t>Hack</w:t>
      </w:r>
      <w:r w:rsidR="00CB1140" w:rsidRPr="003037D2">
        <w:rPr>
          <w:rFonts w:ascii="Garamond" w:eastAsia="Calibri" w:hAnsi="Garamond" w:cs="Arial"/>
        </w:rPr>
        <w:t>el</w:t>
      </w:r>
      <w:proofErr w:type="spellEnd"/>
      <w:r w:rsidRPr="003037D2">
        <w:rPr>
          <w:rFonts w:ascii="Garamond" w:eastAsia="Calibri" w:hAnsi="Garamond" w:cs="Arial"/>
        </w:rPr>
        <w:t xml:space="preserve">, interleaved notes are the </w:t>
      </w:r>
      <w:r w:rsidRPr="003037D2">
        <w:rPr>
          <w:rFonts w:ascii="Garamond" w:eastAsia="Calibri" w:hAnsi="Garamond" w:cs="Arial"/>
        </w:rPr>
        <w:lastRenderedPageBreak/>
        <w:t xml:space="preserve">least ‘marginal’ marginalia. Interleaved blanks place the annotator’s text at the </w:t>
      </w:r>
      <w:proofErr w:type="spellStart"/>
      <w:r w:rsidRPr="003037D2">
        <w:rPr>
          <w:rFonts w:ascii="Garamond" w:eastAsia="Calibri" w:hAnsi="Garamond" w:cs="Arial"/>
        </w:rPr>
        <w:t>centre</w:t>
      </w:r>
      <w:proofErr w:type="spellEnd"/>
      <w:r w:rsidRPr="003037D2">
        <w:rPr>
          <w:rFonts w:ascii="Garamond" w:eastAsia="Calibri" w:hAnsi="Garamond" w:cs="Arial"/>
        </w:rPr>
        <w:t xml:space="preserve"> of the volume.  </w:t>
      </w:r>
    </w:p>
    <w:p w14:paraId="59683730" w14:textId="77777777" w:rsidR="00162224" w:rsidRPr="003037D2" w:rsidRDefault="00162224" w:rsidP="00162224">
      <w:pPr>
        <w:spacing w:line="360" w:lineRule="auto"/>
        <w:ind w:firstLine="720"/>
        <w:rPr>
          <w:rFonts w:ascii="Garamond" w:eastAsia="Calibri" w:hAnsi="Garamond" w:cs="Arial"/>
        </w:rPr>
      </w:pPr>
    </w:p>
    <w:p w14:paraId="0E1A14D1" w14:textId="4879753F" w:rsidR="00162224" w:rsidRPr="003037D2" w:rsidRDefault="00162224" w:rsidP="00162224">
      <w:pPr>
        <w:spacing w:line="360" w:lineRule="auto"/>
        <w:ind w:right="567" w:firstLine="720"/>
        <w:rPr>
          <w:rFonts w:ascii="Garamond" w:eastAsia="Calibri" w:hAnsi="Garamond" w:cs="Arial"/>
        </w:rPr>
      </w:pPr>
      <w:r w:rsidRPr="003037D2">
        <w:rPr>
          <w:rFonts w:ascii="Garamond" w:eastAsia="Calibri" w:hAnsi="Garamond" w:cs="Arial"/>
        </w:rPr>
        <w:t xml:space="preserve">Nathaniel Nye’s 1645 almanac, which has been discussed earlier, claimed to offer a potted history of the preceding years of civil war. Nye himself acknowledged the necessary omissions that he must make in order to compress this history into a slim volume. In order to fit all of this recent history into the pages of the almanac, Nye puts events from both 1642 and 1643 on the facing pages for the respective months of his almanac, so that the page for April 1645 includes information such as ‘1642 Sir W Waller passed </w:t>
      </w:r>
      <w:proofErr w:type="spellStart"/>
      <w:r w:rsidRPr="003037D2">
        <w:rPr>
          <w:rFonts w:ascii="Garamond" w:eastAsia="Calibri" w:hAnsi="Garamond" w:cs="Arial"/>
          <w:i/>
          <w:iCs/>
        </w:rPr>
        <w:t>Sevenoakes</w:t>
      </w:r>
      <w:proofErr w:type="spellEnd"/>
      <w:r w:rsidRPr="003037D2">
        <w:rPr>
          <w:rFonts w:ascii="Garamond" w:eastAsia="Calibri" w:hAnsi="Garamond" w:cs="Arial"/>
          <w:i/>
          <w:iCs/>
        </w:rPr>
        <w:t xml:space="preserve"> </w:t>
      </w:r>
      <w:r w:rsidRPr="003037D2">
        <w:rPr>
          <w:rFonts w:ascii="Garamond" w:eastAsia="Calibri" w:hAnsi="Garamond" w:cs="Arial"/>
        </w:rPr>
        <w:t xml:space="preserve">in a bridge of boats’ and ‘1644 Christchurch at </w:t>
      </w:r>
      <w:proofErr w:type="spellStart"/>
      <w:r w:rsidRPr="003037D2">
        <w:rPr>
          <w:rFonts w:ascii="Garamond" w:eastAsia="Calibri" w:hAnsi="Garamond" w:cs="Arial"/>
        </w:rPr>
        <w:t>Dorcetshire</w:t>
      </w:r>
      <w:proofErr w:type="spellEnd"/>
      <w:r w:rsidRPr="003037D2">
        <w:rPr>
          <w:rFonts w:ascii="Garamond" w:eastAsia="Calibri" w:hAnsi="Garamond" w:cs="Arial"/>
        </w:rPr>
        <w:t xml:space="preserve"> taken’.</w:t>
      </w:r>
      <w:r w:rsidRPr="003037D2">
        <w:rPr>
          <w:rFonts w:ascii="Garamond" w:eastAsia="Calibri" w:hAnsi="Garamond" w:cs="Arial"/>
          <w:vertAlign w:val="superscript"/>
        </w:rPr>
        <w:footnoteReference w:id="210"/>
      </w:r>
      <w:r w:rsidRPr="003037D2">
        <w:rPr>
          <w:rFonts w:ascii="Garamond" w:eastAsia="Calibri" w:hAnsi="Garamond" w:cs="Arial"/>
        </w:rPr>
        <w:t xml:space="preserve"> The owner of the Huntington Library copy of this volume took the time to add to Nye’s ‘</w:t>
      </w:r>
      <w:proofErr w:type="spellStart"/>
      <w:r w:rsidRPr="003037D2">
        <w:rPr>
          <w:rFonts w:ascii="Garamond" w:eastAsia="Calibri" w:hAnsi="Garamond" w:cs="Arial"/>
        </w:rPr>
        <w:t>chronologie</w:t>
      </w:r>
      <w:proofErr w:type="spellEnd"/>
      <w:r w:rsidRPr="003037D2">
        <w:rPr>
          <w:rFonts w:ascii="Garamond" w:eastAsia="Calibri" w:hAnsi="Garamond" w:cs="Arial"/>
        </w:rPr>
        <w:t xml:space="preserve"> of the most memorable Proceedings and Victories [of] this present Parliament’.</w:t>
      </w:r>
      <w:r w:rsidRPr="003037D2">
        <w:rPr>
          <w:rFonts w:ascii="Garamond" w:eastAsia="Calibri" w:hAnsi="Garamond" w:cs="Arial"/>
          <w:vertAlign w:val="superscript"/>
        </w:rPr>
        <w:footnoteReference w:id="211"/>
      </w:r>
      <w:r w:rsidRPr="003037D2">
        <w:rPr>
          <w:rFonts w:ascii="Garamond" w:eastAsia="Calibri" w:hAnsi="Garamond" w:cs="Arial"/>
        </w:rPr>
        <w:t xml:space="preserve"> (See </w:t>
      </w:r>
      <w:r w:rsidRPr="003037D2">
        <w:rPr>
          <w:rFonts w:ascii="Garamond" w:eastAsia="Calibri" w:hAnsi="Garamond" w:cs="Arial"/>
        </w:rPr>
        <w:fldChar w:fldCharType="begin"/>
      </w:r>
      <w:r w:rsidRPr="003037D2">
        <w:rPr>
          <w:rFonts w:ascii="Garamond" w:eastAsia="Calibri" w:hAnsi="Garamond" w:cs="Arial"/>
        </w:rPr>
        <w:instrText xml:space="preserve"> REF _Ref529305654 \h </w:instrText>
      </w:r>
      <w:r w:rsidR="003037D2">
        <w:rPr>
          <w:rFonts w:ascii="Garamond" w:eastAsia="Calibri" w:hAnsi="Garamond" w:cs="Arial"/>
        </w:rPr>
        <w:instrText xml:space="preserve"> \* MERGEFORMAT </w:instrText>
      </w:r>
      <w:r w:rsidRPr="003037D2">
        <w:rPr>
          <w:rFonts w:ascii="Garamond" w:eastAsia="Calibri" w:hAnsi="Garamond" w:cs="Arial"/>
        </w:rPr>
      </w:r>
      <w:r w:rsidRPr="003037D2">
        <w:rPr>
          <w:rFonts w:ascii="Garamond" w:eastAsia="Calibri" w:hAnsi="Garamond" w:cs="Arial"/>
        </w:rPr>
        <w:fldChar w:fldCharType="separate"/>
      </w:r>
      <w:r w:rsidR="001117A3" w:rsidRPr="003037D2">
        <w:rPr>
          <w:rFonts w:ascii="Garamond" w:hAnsi="Garamond"/>
        </w:rPr>
        <w:t xml:space="preserve">Figure </w:t>
      </w:r>
      <w:r w:rsidR="001117A3" w:rsidRPr="003037D2">
        <w:rPr>
          <w:rFonts w:ascii="Garamond" w:hAnsi="Garamond"/>
          <w:noProof/>
        </w:rPr>
        <w:t>14</w:t>
      </w:r>
      <w:r w:rsidRPr="003037D2">
        <w:rPr>
          <w:rFonts w:ascii="Garamond" w:eastAsia="Calibri" w:hAnsi="Garamond" w:cs="Arial"/>
        </w:rPr>
        <w:fldChar w:fldCharType="end"/>
      </w:r>
      <w:r w:rsidR="00ED0F4C">
        <w:rPr>
          <w:rFonts w:ascii="Garamond" w:eastAsia="Calibri" w:hAnsi="Garamond" w:cs="Arial"/>
        </w:rPr>
        <w:t>.</w:t>
      </w:r>
      <w:r w:rsidRPr="003037D2">
        <w:rPr>
          <w:rFonts w:ascii="Garamond" w:eastAsia="Calibri" w:hAnsi="Garamond" w:cs="Arial"/>
        </w:rPr>
        <w:t xml:space="preserve">) On the interleaving blank for the month of January, the owner notes: </w:t>
      </w:r>
    </w:p>
    <w:p w14:paraId="199D4A61" w14:textId="77777777" w:rsidR="00162224" w:rsidRPr="003037D2" w:rsidRDefault="00162224" w:rsidP="00162224">
      <w:pPr>
        <w:ind w:left="737" w:right="737"/>
        <w:rPr>
          <w:rFonts w:ascii="Garamond" w:eastAsia="Calibri" w:hAnsi="Garamond" w:cs="Arial"/>
        </w:rPr>
      </w:pPr>
      <w:r w:rsidRPr="003037D2">
        <w:rPr>
          <w:rFonts w:ascii="Garamond" w:eastAsia="Calibri" w:hAnsi="Garamond" w:cs="Arial"/>
        </w:rPr>
        <w:t xml:space="preserve">The first of this </w:t>
      </w:r>
      <w:proofErr w:type="spellStart"/>
      <w:r w:rsidRPr="003037D2">
        <w:rPr>
          <w:rFonts w:ascii="Garamond" w:eastAsia="Calibri" w:hAnsi="Garamond" w:cs="Arial"/>
        </w:rPr>
        <w:t>monthe</w:t>
      </w:r>
      <w:proofErr w:type="spellEnd"/>
      <w:r w:rsidRPr="003037D2">
        <w:rPr>
          <w:rFonts w:ascii="Garamond" w:eastAsia="Calibri" w:hAnsi="Garamond" w:cs="Arial"/>
        </w:rPr>
        <w:t xml:space="preserve"> Capt. John Hotham was beheaded on Tower Hill,</w:t>
      </w:r>
    </w:p>
    <w:p w14:paraId="423B2469" w14:textId="77777777" w:rsidR="00162224" w:rsidRPr="003037D2" w:rsidRDefault="00162224" w:rsidP="00162224">
      <w:pPr>
        <w:ind w:left="737" w:right="737"/>
        <w:rPr>
          <w:rFonts w:ascii="Garamond" w:eastAsia="Calibri" w:hAnsi="Garamond" w:cs="Arial"/>
        </w:rPr>
      </w:pPr>
      <w:r w:rsidRPr="003037D2">
        <w:rPr>
          <w:rFonts w:ascii="Garamond" w:eastAsia="Calibri" w:hAnsi="Garamond" w:cs="Arial"/>
        </w:rPr>
        <w:t xml:space="preserve">The 2nd of this month Sir John Hotham was beheaded on tower Hill. </w:t>
      </w:r>
    </w:p>
    <w:p w14:paraId="71F09A52" w14:textId="77777777" w:rsidR="00162224" w:rsidRPr="003037D2" w:rsidRDefault="00162224" w:rsidP="00162224">
      <w:pPr>
        <w:ind w:left="737" w:right="737"/>
        <w:rPr>
          <w:rFonts w:ascii="Garamond" w:eastAsia="Calibri" w:hAnsi="Garamond" w:cs="Arial"/>
        </w:rPr>
      </w:pPr>
      <w:r w:rsidRPr="003037D2">
        <w:rPr>
          <w:rFonts w:ascii="Garamond" w:eastAsia="Calibri" w:hAnsi="Garamond" w:cs="Arial"/>
        </w:rPr>
        <w:t>And a little before this time Sir Alexander Carew was beheaded on tower Hill</w:t>
      </w:r>
    </w:p>
    <w:p w14:paraId="365D3540" w14:textId="77777777" w:rsidR="00162224" w:rsidRPr="003037D2" w:rsidRDefault="00162224" w:rsidP="00162224">
      <w:pPr>
        <w:ind w:left="737" w:right="737"/>
        <w:rPr>
          <w:rFonts w:ascii="Garamond" w:eastAsia="Calibri" w:hAnsi="Garamond" w:cs="Arial"/>
        </w:rPr>
      </w:pPr>
      <w:r w:rsidRPr="003037D2">
        <w:rPr>
          <w:rFonts w:ascii="Garamond" w:eastAsia="Calibri" w:hAnsi="Garamond" w:cs="Arial"/>
        </w:rPr>
        <w:t xml:space="preserve">Friday the 10th of this month Will Laud Arch Bishop of Canterbury was beheaded on Tower Hill </w:t>
      </w:r>
    </w:p>
    <w:p w14:paraId="30D09CA9" w14:textId="77777777" w:rsidR="00162224" w:rsidRPr="003037D2" w:rsidRDefault="00162224" w:rsidP="00162224">
      <w:pPr>
        <w:ind w:left="737" w:right="737"/>
        <w:rPr>
          <w:rFonts w:ascii="Garamond" w:eastAsia="Calibri" w:hAnsi="Garamond" w:cs="Arial"/>
        </w:rPr>
      </w:pPr>
      <w:r w:rsidRPr="003037D2">
        <w:rPr>
          <w:rFonts w:ascii="Garamond" w:eastAsia="Calibri" w:hAnsi="Garamond" w:cs="Arial"/>
        </w:rPr>
        <w:t xml:space="preserve">Friday the xvi </w:t>
      </w:r>
      <w:proofErr w:type="spellStart"/>
      <w:r w:rsidRPr="003037D2">
        <w:rPr>
          <w:rFonts w:ascii="Garamond" w:eastAsia="Calibri" w:hAnsi="Garamond" w:cs="Arial"/>
        </w:rPr>
        <w:t>th</w:t>
      </w:r>
      <w:proofErr w:type="spellEnd"/>
      <w:r w:rsidRPr="003037D2">
        <w:rPr>
          <w:rFonts w:ascii="Garamond" w:eastAsia="Calibri" w:hAnsi="Garamond" w:cs="Arial"/>
        </w:rPr>
        <w:t xml:space="preserve"> Sir Peter </w:t>
      </w:r>
      <w:proofErr w:type="spellStart"/>
      <w:r w:rsidRPr="003037D2">
        <w:rPr>
          <w:rFonts w:ascii="Garamond" w:eastAsia="Calibri" w:hAnsi="Garamond" w:cs="Arial"/>
        </w:rPr>
        <w:t>Killigrew</w:t>
      </w:r>
      <w:proofErr w:type="spellEnd"/>
      <w:r w:rsidRPr="003037D2">
        <w:rPr>
          <w:rFonts w:ascii="Garamond" w:eastAsia="Calibri" w:hAnsi="Garamond" w:cs="Arial"/>
        </w:rPr>
        <w:t xml:space="preserve"> went to </w:t>
      </w:r>
      <w:proofErr w:type="spellStart"/>
      <w:r w:rsidRPr="003037D2">
        <w:rPr>
          <w:rFonts w:ascii="Garamond" w:eastAsia="Calibri" w:hAnsi="Garamond" w:cs="Arial"/>
        </w:rPr>
        <w:t>oxon.</w:t>
      </w:r>
      <w:proofErr w:type="spellEnd"/>
      <w:r w:rsidRPr="003037D2">
        <w:rPr>
          <w:rFonts w:ascii="Garamond" w:eastAsia="Calibri" w:hAnsi="Garamond" w:cs="Arial"/>
        </w:rPr>
        <w:t xml:space="preserve"> With message and the warrant of the Lords and Commons and Commissioner of Scotland that road to towards on the kingdoms </w:t>
      </w:r>
      <w:proofErr w:type="spellStart"/>
      <w:r w:rsidRPr="003037D2">
        <w:rPr>
          <w:rFonts w:ascii="Garamond" w:eastAsia="Calibri" w:hAnsi="Garamond" w:cs="Arial"/>
        </w:rPr>
        <w:t>behalfe</w:t>
      </w:r>
      <w:proofErr w:type="spellEnd"/>
      <w:r w:rsidRPr="003037D2">
        <w:rPr>
          <w:rFonts w:ascii="Garamond" w:eastAsia="Calibri" w:hAnsi="Garamond" w:cs="Arial"/>
        </w:rPr>
        <w:t xml:space="preserve"> </w:t>
      </w:r>
    </w:p>
    <w:p w14:paraId="4E16D304" w14:textId="77777777" w:rsidR="00162224" w:rsidRPr="003037D2" w:rsidRDefault="00162224" w:rsidP="00162224">
      <w:pPr>
        <w:ind w:left="737" w:right="737"/>
        <w:rPr>
          <w:rFonts w:ascii="Garamond" w:eastAsia="Calibri" w:hAnsi="Garamond" w:cs="Arial"/>
        </w:rPr>
      </w:pPr>
      <w:r w:rsidRPr="003037D2">
        <w:rPr>
          <w:rFonts w:ascii="Garamond" w:eastAsia="Calibri" w:hAnsi="Garamond" w:cs="Arial"/>
        </w:rPr>
        <w:t xml:space="preserve">Wednesday the 22nd Sir Peter </w:t>
      </w:r>
      <w:proofErr w:type="spellStart"/>
      <w:r w:rsidRPr="003037D2">
        <w:rPr>
          <w:rFonts w:ascii="Garamond" w:eastAsia="Calibri" w:hAnsi="Garamond" w:cs="Arial"/>
        </w:rPr>
        <w:t>Killigrew</w:t>
      </w:r>
      <w:proofErr w:type="spellEnd"/>
      <w:r w:rsidRPr="003037D2">
        <w:rPr>
          <w:rFonts w:ascii="Garamond" w:eastAsia="Calibri" w:hAnsi="Garamond" w:cs="Arial"/>
        </w:rPr>
        <w:t xml:space="preserve"> returned from </w:t>
      </w:r>
      <w:proofErr w:type="spellStart"/>
      <w:r w:rsidRPr="003037D2">
        <w:rPr>
          <w:rFonts w:ascii="Garamond" w:eastAsia="Calibri" w:hAnsi="Garamond" w:cs="Arial"/>
        </w:rPr>
        <w:t>oxon</w:t>
      </w:r>
      <w:proofErr w:type="spellEnd"/>
      <w:r w:rsidRPr="003037D2">
        <w:rPr>
          <w:rFonts w:ascii="Garamond" w:eastAsia="Calibri" w:hAnsi="Garamond" w:cs="Arial"/>
        </w:rPr>
        <w:t>…</w:t>
      </w:r>
      <w:r w:rsidRPr="003037D2">
        <w:rPr>
          <w:rFonts w:ascii="Garamond" w:eastAsia="Calibri" w:hAnsi="Garamond" w:cs="Arial"/>
          <w:vertAlign w:val="superscript"/>
        </w:rPr>
        <w:footnoteReference w:id="212"/>
      </w:r>
    </w:p>
    <w:p w14:paraId="5CAA0F34" w14:textId="77777777" w:rsidR="00162224" w:rsidRPr="003037D2" w:rsidRDefault="00162224" w:rsidP="00162224">
      <w:pPr>
        <w:ind w:left="737" w:right="737"/>
        <w:rPr>
          <w:rFonts w:ascii="Garamond" w:eastAsia="Calibri" w:hAnsi="Garamond" w:cs="Arial"/>
        </w:rPr>
      </w:pPr>
    </w:p>
    <w:p w14:paraId="03161410" w14:textId="480D1C39" w:rsidR="00162224" w:rsidRPr="003037D2" w:rsidRDefault="00162224" w:rsidP="00162224">
      <w:pPr>
        <w:spacing w:line="360" w:lineRule="auto"/>
        <w:ind w:right="567"/>
        <w:rPr>
          <w:rFonts w:ascii="Garamond" w:eastAsia="Calibri" w:hAnsi="Garamond" w:cs="Arial"/>
        </w:rPr>
      </w:pPr>
      <w:r w:rsidRPr="003037D2">
        <w:rPr>
          <w:rFonts w:ascii="Garamond" w:eastAsia="Calibri" w:hAnsi="Garamond" w:cs="Arial"/>
        </w:rPr>
        <w:t xml:space="preserve">These notes on current affairs seem to have been added to the volume at different times, as different widths of pen nib can be observed, a timeline of events occurring in 1645. This seems evocative; you can imagine the owner receiving letters of news, and then turning to his almanac to diligently note down each occurrence. In the manner familiar to all who tried to keep a diary as a child, the entries begin to tail off from April. The owner also begins to add their own personal notes, such as in February: ‘Monday the 24 my </w:t>
      </w:r>
      <w:proofErr w:type="spellStart"/>
      <w:r w:rsidRPr="003037D2">
        <w:rPr>
          <w:rFonts w:ascii="Garamond" w:eastAsia="Calibri" w:hAnsi="Garamond" w:cs="Arial"/>
        </w:rPr>
        <w:t>wyfe</w:t>
      </w:r>
      <w:proofErr w:type="spellEnd"/>
      <w:r w:rsidRPr="003037D2">
        <w:rPr>
          <w:rFonts w:ascii="Garamond" w:eastAsia="Calibri" w:hAnsi="Garamond" w:cs="Arial"/>
        </w:rPr>
        <w:t xml:space="preserve"> went to </w:t>
      </w:r>
      <w:proofErr w:type="spellStart"/>
      <w:r w:rsidRPr="003037D2">
        <w:rPr>
          <w:rFonts w:ascii="Garamond" w:eastAsia="Calibri" w:hAnsi="Garamond" w:cs="Arial"/>
        </w:rPr>
        <w:t>Collnell</w:t>
      </w:r>
      <w:proofErr w:type="spellEnd"/>
      <w:r w:rsidRPr="003037D2">
        <w:rPr>
          <w:rFonts w:ascii="Garamond" w:eastAsia="Calibri" w:hAnsi="Garamond" w:cs="Arial"/>
        </w:rPr>
        <w:t xml:space="preserve"> </w:t>
      </w:r>
      <w:proofErr w:type="spellStart"/>
      <w:r w:rsidRPr="003037D2">
        <w:rPr>
          <w:rFonts w:ascii="Garamond" w:eastAsia="Calibri" w:hAnsi="Garamond" w:cs="Arial"/>
        </w:rPr>
        <w:t>Popamb</w:t>
      </w:r>
      <w:proofErr w:type="spellEnd"/>
      <w:r w:rsidRPr="003037D2">
        <w:rPr>
          <w:rFonts w:ascii="Garamond" w:eastAsia="Calibri" w:hAnsi="Garamond" w:cs="Arial"/>
        </w:rPr>
        <w:t>~’.</w:t>
      </w:r>
      <w:r w:rsidRPr="003037D2">
        <w:rPr>
          <w:rFonts w:ascii="Garamond" w:eastAsia="Calibri" w:hAnsi="Garamond" w:cs="Arial"/>
          <w:vertAlign w:val="superscript"/>
        </w:rPr>
        <w:footnoteReference w:id="213"/>
      </w:r>
      <w:r w:rsidRPr="003037D2">
        <w:rPr>
          <w:rFonts w:ascii="Garamond" w:eastAsia="Calibri" w:hAnsi="Garamond" w:cs="Arial"/>
        </w:rPr>
        <w:t xml:space="preserve"> The political journal becomes intermingled with a personal history, </w:t>
      </w:r>
      <w:r w:rsidRPr="003037D2">
        <w:rPr>
          <w:rFonts w:ascii="Garamond" w:eastAsia="Calibri" w:hAnsi="Garamond" w:cs="Arial"/>
        </w:rPr>
        <w:lastRenderedPageBreak/>
        <w:t xml:space="preserve">before petering out entirely. This annotated history results in several frames of reference running alongside each other in a single page. Events from the Januarys of three consecutive years are laid together on two open leaves, the intervening years compressed. The forward movement of time is overlaid with a sense of </w:t>
      </w:r>
      <w:proofErr w:type="spellStart"/>
      <w:r w:rsidRPr="003037D2">
        <w:rPr>
          <w:rFonts w:ascii="Garamond" w:eastAsia="Calibri" w:hAnsi="Garamond" w:cs="Arial"/>
        </w:rPr>
        <w:t>cyclicism</w:t>
      </w:r>
      <w:proofErr w:type="spellEnd"/>
      <w:r w:rsidRPr="003037D2">
        <w:rPr>
          <w:rFonts w:ascii="Garamond" w:eastAsia="Calibri" w:hAnsi="Garamond" w:cs="Arial"/>
        </w:rPr>
        <w:t xml:space="preserve">, as the reader is forced to make links between the months, pleating the fabric of time as they create their own history. </w:t>
      </w:r>
    </w:p>
    <w:p w14:paraId="3A0096D7" w14:textId="51A91F32" w:rsidR="00A721D6" w:rsidRPr="003037D2" w:rsidRDefault="00A721D6" w:rsidP="00162224">
      <w:pPr>
        <w:spacing w:line="360" w:lineRule="auto"/>
        <w:ind w:right="567"/>
        <w:rPr>
          <w:rFonts w:ascii="Garamond" w:eastAsia="Calibri" w:hAnsi="Garamond" w:cs="Arial"/>
        </w:rPr>
      </w:pPr>
    </w:p>
    <w:p w14:paraId="601E935C" w14:textId="77777777" w:rsidR="00A721D6" w:rsidRPr="003037D2" w:rsidRDefault="00A721D6" w:rsidP="00162224">
      <w:pPr>
        <w:spacing w:line="360" w:lineRule="auto"/>
        <w:ind w:right="567"/>
        <w:rPr>
          <w:rFonts w:ascii="Garamond" w:eastAsia="Calibri" w:hAnsi="Garamond" w:cs="Arial"/>
        </w:rPr>
      </w:pPr>
    </w:p>
    <w:p w14:paraId="010C58F2" w14:textId="77777777" w:rsidR="00162224" w:rsidRPr="003037D2" w:rsidRDefault="00162224" w:rsidP="00162224">
      <w:pPr>
        <w:spacing w:line="360" w:lineRule="auto"/>
        <w:ind w:right="567"/>
        <w:rPr>
          <w:rFonts w:ascii="Garamond" w:eastAsia="Calibri" w:hAnsi="Garamond" w:cs="Arial"/>
        </w:rPr>
      </w:pPr>
    </w:p>
    <w:p w14:paraId="14710AC4" w14:textId="43070E8C" w:rsidR="00A721D6" w:rsidRPr="003037D2" w:rsidRDefault="00162224" w:rsidP="00A721D6">
      <w:pPr>
        <w:keepNext/>
        <w:keepLines/>
        <w:numPr>
          <w:ilvl w:val="0"/>
          <w:numId w:val="24"/>
        </w:numPr>
        <w:spacing w:before="40" w:line="259" w:lineRule="auto"/>
        <w:outlineLvl w:val="2"/>
        <w:rPr>
          <w:rFonts w:ascii="Garamond" w:eastAsia="DengXian Light" w:hAnsi="Garamond" w:cs="Times New Roman"/>
          <w:color w:val="000000"/>
        </w:rPr>
      </w:pPr>
      <w:bookmarkStart w:id="15" w:name="_Toc3967168"/>
      <w:r w:rsidRPr="003037D2">
        <w:rPr>
          <w:rFonts w:ascii="Garamond" w:eastAsia="DengXian Light" w:hAnsi="Garamond" w:cs="Times New Roman"/>
          <w:color w:val="000000"/>
        </w:rPr>
        <w:t>‘An Almanac is but for one year’? -  The Durable Almanac</w:t>
      </w:r>
      <w:bookmarkEnd w:id="15"/>
      <w:r w:rsidRPr="003037D2">
        <w:rPr>
          <w:rFonts w:ascii="Garamond" w:eastAsia="DengXian Light" w:hAnsi="Garamond" w:cs="Times New Roman"/>
          <w:color w:val="000000"/>
        </w:rPr>
        <w:t xml:space="preserve"> </w:t>
      </w:r>
    </w:p>
    <w:p w14:paraId="59AB8750" w14:textId="77777777" w:rsidR="00162224" w:rsidRPr="003037D2" w:rsidRDefault="00162224" w:rsidP="00162224">
      <w:pPr>
        <w:spacing w:line="360" w:lineRule="auto"/>
        <w:ind w:left="360"/>
        <w:rPr>
          <w:rFonts w:ascii="Garamond" w:eastAsia="Calibri" w:hAnsi="Garamond" w:cs="Arial"/>
        </w:rPr>
      </w:pPr>
    </w:p>
    <w:p w14:paraId="7AAB92DE" w14:textId="77777777" w:rsidR="00A721D6" w:rsidRPr="003037D2" w:rsidRDefault="00A721D6" w:rsidP="00162224">
      <w:pPr>
        <w:spacing w:line="360" w:lineRule="auto"/>
        <w:ind w:firstLine="697"/>
        <w:rPr>
          <w:rFonts w:ascii="Garamond" w:eastAsia="Calibri" w:hAnsi="Garamond" w:cs="Arial"/>
        </w:rPr>
      </w:pPr>
    </w:p>
    <w:p w14:paraId="2472F11D" w14:textId="7693DD55" w:rsidR="00162224" w:rsidRPr="003037D2" w:rsidRDefault="00162224" w:rsidP="00162224">
      <w:pPr>
        <w:spacing w:line="360" w:lineRule="auto"/>
        <w:ind w:firstLine="697"/>
        <w:rPr>
          <w:rFonts w:ascii="Garamond" w:eastAsia="Calibri" w:hAnsi="Garamond" w:cs="Arial"/>
        </w:rPr>
      </w:pPr>
      <w:r w:rsidRPr="003037D2">
        <w:rPr>
          <w:rFonts w:ascii="Garamond" w:eastAsia="Calibri" w:hAnsi="Garamond" w:cs="Arial"/>
        </w:rPr>
        <w:t>Smyth has evidenced how notes made in an almanac would often be moved around between volumes and put to new uses. Smyth gives the example of Oxford antiquarian Anthony Wood, who made notes in a series of almanacs between 1657 and 1695, only to expand these notes in his two autobiographical volumes.</w:t>
      </w:r>
      <w:r w:rsidRPr="003037D2">
        <w:rPr>
          <w:rFonts w:ascii="Garamond" w:eastAsia="Calibri" w:hAnsi="Garamond" w:cs="Arial"/>
          <w:vertAlign w:val="superscript"/>
        </w:rPr>
        <w:footnoteReference w:id="214"/>
      </w:r>
      <w:r w:rsidRPr="003037D2">
        <w:rPr>
          <w:rFonts w:ascii="Garamond" w:eastAsia="Calibri" w:hAnsi="Garamond" w:cs="Arial"/>
        </w:rPr>
        <w:t xml:space="preserve"> He convincingly posits that almanacs could be ‘a conduit, a temporary storehouse for records which are then passed on… one point in a dense network of texts’.</w:t>
      </w:r>
      <w:r w:rsidRPr="003037D2">
        <w:rPr>
          <w:rFonts w:ascii="Garamond" w:eastAsia="Calibri" w:hAnsi="Garamond" w:cs="Arial"/>
          <w:vertAlign w:val="superscript"/>
        </w:rPr>
        <w:footnoteReference w:id="215"/>
      </w:r>
      <w:r w:rsidRPr="003037D2">
        <w:rPr>
          <w:rFonts w:ascii="Garamond" w:eastAsia="Calibri" w:hAnsi="Garamond" w:cs="Arial"/>
        </w:rPr>
        <w:t xml:space="preserve"> The 1650 Pond almanac in the Huntington Library is interleaved with double width pages, which are then folded into the book and used to make note of financial records. In some places the extendable leaf has then been ripped out, perhaps to be pasted into another book, suggesting that this was a waste book, although one in which surprisingly high sums of money are being recorded (£104 </w:t>
      </w:r>
      <w:proofErr w:type="spellStart"/>
      <w:r w:rsidRPr="003037D2">
        <w:rPr>
          <w:rFonts w:ascii="Garamond" w:eastAsia="Calibri" w:hAnsi="Garamond" w:cs="Arial"/>
        </w:rPr>
        <w:t>Offley</w:t>
      </w:r>
      <w:proofErr w:type="spellEnd"/>
      <w:r w:rsidRPr="003037D2">
        <w:rPr>
          <w:rFonts w:ascii="Garamond" w:eastAsia="Calibri" w:hAnsi="Garamond" w:cs="Arial"/>
        </w:rPr>
        <w:t xml:space="preserve"> to Danvers). Evidence for this exists only because on one page this tear was not complete, leaving a portion of the page covered in figures still attached.</w:t>
      </w:r>
      <w:r w:rsidRPr="003037D2">
        <w:rPr>
          <w:rFonts w:ascii="Garamond" w:eastAsia="Calibri" w:hAnsi="Garamond" w:cs="Arial"/>
          <w:vertAlign w:val="superscript"/>
        </w:rPr>
        <w:footnoteReference w:id="216"/>
      </w:r>
      <w:r w:rsidRPr="003037D2">
        <w:rPr>
          <w:rFonts w:ascii="Garamond" w:eastAsia="Calibri" w:hAnsi="Garamond" w:cs="Arial"/>
        </w:rPr>
        <w:t xml:space="preserve"> (See </w:t>
      </w:r>
      <w:r w:rsidRPr="003037D2">
        <w:rPr>
          <w:rFonts w:ascii="Garamond" w:eastAsia="Calibri" w:hAnsi="Garamond" w:cs="Arial"/>
        </w:rPr>
        <w:fldChar w:fldCharType="begin"/>
      </w:r>
      <w:r w:rsidRPr="003037D2">
        <w:rPr>
          <w:rFonts w:ascii="Garamond" w:eastAsia="Calibri" w:hAnsi="Garamond" w:cs="Arial"/>
        </w:rPr>
        <w:instrText xml:space="preserve"> REF _Ref529305921 \h  \* MERGEFORMAT </w:instrText>
      </w:r>
      <w:r w:rsidRPr="003037D2">
        <w:rPr>
          <w:rFonts w:ascii="Garamond" w:eastAsia="Calibri" w:hAnsi="Garamond" w:cs="Arial"/>
        </w:rPr>
      </w:r>
      <w:r w:rsidRPr="003037D2">
        <w:rPr>
          <w:rFonts w:ascii="Garamond" w:eastAsia="Calibri" w:hAnsi="Garamond" w:cs="Arial"/>
        </w:rPr>
        <w:fldChar w:fldCharType="separate"/>
      </w:r>
      <w:r w:rsidR="001117A3" w:rsidRPr="003037D2">
        <w:rPr>
          <w:rFonts w:ascii="Garamond" w:eastAsia="Calibri" w:hAnsi="Garamond" w:cs="Arial"/>
        </w:rPr>
        <w:t xml:space="preserve">Figure </w:t>
      </w:r>
      <w:r w:rsidR="001117A3" w:rsidRPr="003037D2">
        <w:rPr>
          <w:rFonts w:ascii="Garamond" w:eastAsia="Calibri" w:hAnsi="Garamond" w:cs="Arial"/>
          <w:noProof/>
        </w:rPr>
        <w:t>15</w:t>
      </w:r>
      <w:r w:rsidRPr="003037D2">
        <w:rPr>
          <w:rFonts w:ascii="Garamond" w:eastAsia="Calibri" w:hAnsi="Garamond" w:cs="Arial"/>
        </w:rPr>
        <w:fldChar w:fldCharType="end"/>
      </w:r>
      <w:r w:rsidR="00ED0F4C">
        <w:rPr>
          <w:rFonts w:ascii="Garamond" w:eastAsia="Calibri" w:hAnsi="Garamond" w:cs="Arial"/>
        </w:rPr>
        <w:t>.</w:t>
      </w:r>
      <w:r w:rsidRPr="003037D2">
        <w:rPr>
          <w:rFonts w:ascii="Garamond" w:eastAsia="Calibri" w:hAnsi="Garamond" w:cs="Arial"/>
        </w:rPr>
        <w:t>) The almanac could be cut up, folded, or have notes pinned into it, endorsing ‘a culture of textual transference and malleability’.</w:t>
      </w:r>
      <w:r w:rsidRPr="003037D2">
        <w:rPr>
          <w:rFonts w:ascii="Garamond" w:eastAsia="Calibri" w:hAnsi="Garamond" w:cs="Arial"/>
          <w:vertAlign w:val="superscript"/>
        </w:rPr>
        <w:footnoteReference w:id="217"/>
      </w:r>
      <w:r w:rsidRPr="003037D2">
        <w:rPr>
          <w:rFonts w:ascii="Garamond" w:eastAsia="Calibri" w:hAnsi="Garamond" w:cs="Arial"/>
        </w:rPr>
        <w:t xml:space="preserve"> This physical history can often only be read and interpreted through faint marks left on the books, incidental evidence that requires a leap of imagination on the part of the modern reader. However, as well as being a temporary storehouse for notes as part of a wider network of life writing, almanacs provide enduring testimonies and records.  </w:t>
      </w:r>
    </w:p>
    <w:p w14:paraId="6898B256" w14:textId="77777777" w:rsidR="00162224" w:rsidRPr="003037D2" w:rsidRDefault="00162224" w:rsidP="00162224">
      <w:pPr>
        <w:rPr>
          <w:rFonts w:ascii="Garamond" w:eastAsia="Calibri" w:hAnsi="Garamond" w:cs="Arial"/>
        </w:rPr>
      </w:pPr>
    </w:p>
    <w:p w14:paraId="44FE6E0D" w14:textId="21DF3D89"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t xml:space="preserve"> Several almanacs I examined seem to have functioned as quasi-legal documents.</w:t>
      </w:r>
      <w:r w:rsidRPr="003037D2">
        <w:rPr>
          <w:rFonts w:ascii="Garamond" w:eastAsia="Calibri" w:hAnsi="Garamond" w:cs="Arial"/>
          <w:b/>
        </w:rPr>
        <w:t xml:space="preserve"> </w:t>
      </w:r>
      <w:r w:rsidRPr="003037D2">
        <w:rPr>
          <w:rFonts w:ascii="Garamond" w:eastAsia="Calibri" w:hAnsi="Garamond" w:cs="Arial"/>
          <w:b/>
        </w:rPr>
        <w:fldChar w:fldCharType="begin"/>
      </w:r>
      <w:r w:rsidRPr="003037D2">
        <w:rPr>
          <w:rFonts w:ascii="Garamond" w:eastAsia="Calibri" w:hAnsi="Garamond" w:cs="Arial"/>
          <w:b/>
        </w:rPr>
        <w:instrText xml:space="preserve"> REF _Ref532832885 \h </w:instrText>
      </w:r>
      <w:r w:rsidR="003037D2">
        <w:rPr>
          <w:rFonts w:ascii="Garamond" w:eastAsia="Calibri" w:hAnsi="Garamond" w:cs="Arial"/>
          <w:b/>
        </w:rPr>
        <w:instrText xml:space="preserve"> \* MERGEFORMAT </w:instrText>
      </w:r>
      <w:r w:rsidRPr="003037D2">
        <w:rPr>
          <w:rFonts w:ascii="Garamond" w:eastAsia="Calibri" w:hAnsi="Garamond" w:cs="Arial"/>
          <w:b/>
        </w:rPr>
      </w:r>
      <w:r w:rsidRPr="003037D2">
        <w:rPr>
          <w:rFonts w:ascii="Garamond" w:eastAsia="Calibri" w:hAnsi="Garamond" w:cs="Arial"/>
          <w:b/>
        </w:rPr>
        <w:fldChar w:fldCharType="separate"/>
      </w:r>
      <w:r w:rsidR="001117A3" w:rsidRPr="003037D2">
        <w:rPr>
          <w:rFonts w:ascii="Garamond" w:hAnsi="Garamond"/>
        </w:rPr>
        <w:t xml:space="preserve">Figure </w:t>
      </w:r>
      <w:r w:rsidR="001117A3" w:rsidRPr="003037D2">
        <w:rPr>
          <w:rFonts w:ascii="Garamond" w:hAnsi="Garamond"/>
          <w:noProof/>
        </w:rPr>
        <w:t>17</w:t>
      </w:r>
      <w:r w:rsidRPr="003037D2">
        <w:rPr>
          <w:rFonts w:ascii="Garamond" w:eastAsia="Calibri" w:hAnsi="Garamond" w:cs="Arial"/>
          <w:b/>
        </w:rPr>
        <w:fldChar w:fldCharType="end"/>
      </w:r>
      <w:r w:rsidRPr="003037D2">
        <w:rPr>
          <w:rFonts w:ascii="Garamond" w:eastAsia="Calibri" w:hAnsi="Garamond" w:cs="Arial"/>
          <w:b/>
        </w:rPr>
        <w:t xml:space="preserve"> </w:t>
      </w:r>
      <w:r w:rsidRPr="003037D2">
        <w:rPr>
          <w:rFonts w:ascii="Garamond" w:eastAsia="Calibri" w:hAnsi="Garamond" w:cs="Arial"/>
        </w:rPr>
        <w:t xml:space="preserve">shows a page from Thomas </w:t>
      </w:r>
      <w:proofErr w:type="spellStart"/>
      <w:r w:rsidRPr="003037D2">
        <w:rPr>
          <w:rFonts w:ascii="Garamond" w:eastAsia="Calibri" w:hAnsi="Garamond" w:cs="Arial"/>
        </w:rPr>
        <w:t>Botler’s</w:t>
      </w:r>
      <w:proofErr w:type="spellEnd"/>
      <w:r w:rsidRPr="003037D2">
        <w:rPr>
          <w:rFonts w:ascii="Garamond" w:eastAsia="Calibri" w:hAnsi="Garamond" w:cs="Arial"/>
        </w:rPr>
        <w:t xml:space="preserve"> 1648 copy of Thomas Gallen’s </w:t>
      </w:r>
      <w:r w:rsidRPr="003037D2">
        <w:rPr>
          <w:rFonts w:ascii="Garamond" w:eastAsia="Calibri" w:hAnsi="Garamond" w:cs="Arial"/>
          <w:i/>
        </w:rPr>
        <w:t xml:space="preserve">New Almanac for the said year. </w:t>
      </w:r>
      <w:r w:rsidRPr="003037D2">
        <w:rPr>
          <w:rFonts w:ascii="Garamond" w:eastAsia="Calibri" w:hAnsi="Garamond" w:cs="Arial"/>
        </w:rPr>
        <w:t xml:space="preserve">Joshua Paramor clearly owes him a substantial amount of money and has only paid part. Joshua’s signature marks his agreement to pay the remainder, and a date, either of this agreement or the date by which he will make this repayment: </w:t>
      </w:r>
    </w:p>
    <w:p w14:paraId="6FD0B645" w14:textId="77777777" w:rsidR="00162224" w:rsidRPr="003037D2" w:rsidRDefault="00162224" w:rsidP="00162224">
      <w:pPr>
        <w:ind w:left="680" w:right="680"/>
        <w:rPr>
          <w:rFonts w:ascii="Garamond" w:eastAsia="Calibri" w:hAnsi="Garamond" w:cs="Arial"/>
        </w:rPr>
      </w:pPr>
      <w:r w:rsidRPr="003037D2">
        <w:rPr>
          <w:rFonts w:ascii="Garamond" w:eastAsia="Calibri" w:hAnsi="Garamond" w:cs="Arial"/>
        </w:rPr>
        <w:t xml:space="preserve">Due unto Jonathan Boteler from </w:t>
      </w:r>
      <w:proofErr w:type="spellStart"/>
      <w:r w:rsidRPr="003037D2">
        <w:rPr>
          <w:rFonts w:ascii="Garamond" w:eastAsia="Calibri" w:hAnsi="Garamond" w:cs="Arial"/>
        </w:rPr>
        <w:t>Mr</w:t>
      </w:r>
      <w:proofErr w:type="spellEnd"/>
      <w:r w:rsidRPr="003037D2">
        <w:rPr>
          <w:rFonts w:ascii="Garamond" w:eastAsia="Calibri" w:hAnsi="Garamond" w:cs="Arial"/>
        </w:rPr>
        <w:t xml:space="preserve"> Joshua Paramor 11 L – 00 s - 06d: Received of </w:t>
      </w:r>
      <w:proofErr w:type="spellStart"/>
      <w:r w:rsidRPr="003037D2">
        <w:rPr>
          <w:rFonts w:ascii="Garamond" w:eastAsia="Calibri" w:hAnsi="Garamond" w:cs="Arial"/>
        </w:rPr>
        <w:t>Mr</w:t>
      </w:r>
      <w:proofErr w:type="spellEnd"/>
      <w:r w:rsidRPr="003037D2">
        <w:rPr>
          <w:rFonts w:ascii="Garamond" w:eastAsia="Calibri" w:hAnsi="Garamond" w:cs="Arial"/>
        </w:rPr>
        <w:t xml:space="preserve"> Joshua Paramore 10 L - 00 s – 00 d: so there remains unto Jonathan Boteler 01 L – 00 s – 06 d – </w:t>
      </w:r>
    </w:p>
    <w:p w14:paraId="34ED7532" w14:textId="77777777" w:rsidR="00162224" w:rsidRPr="003037D2" w:rsidRDefault="00162224" w:rsidP="00162224">
      <w:pPr>
        <w:ind w:left="680" w:right="680" w:firstLine="720"/>
        <w:rPr>
          <w:rFonts w:ascii="Garamond" w:eastAsia="Calibri" w:hAnsi="Garamond" w:cs="Arial"/>
        </w:rPr>
      </w:pPr>
      <w:r w:rsidRPr="003037D2">
        <w:rPr>
          <w:rFonts w:ascii="Garamond" w:eastAsia="Calibri" w:hAnsi="Garamond" w:cs="Arial"/>
        </w:rPr>
        <w:t xml:space="preserve">March the 22th 1659 </w:t>
      </w:r>
    </w:p>
    <w:p w14:paraId="14B5CA05" w14:textId="77777777" w:rsidR="00162224" w:rsidRPr="003037D2" w:rsidRDefault="00162224" w:rsidP="00162224">
      <w:pPr>
        <w:ind w:left="680" w:right="680" w:firstLine="720"/>
        <w:rPr>
          <w:rFonts w:ascii="Garamond" w:eastAsia="Calibri" w:hAnsi="Garamond" w:cs="Arial"/>
        </w:rPr>
      </w:pPr>
      <w:r w:rsidRPr="003037D2">
        <w:rPr>
          <w:rFonts w:ascii="Garamond" w:eastAsia="Calibri" w:hAnsi="Garamond" w:cs="Arial"/>
        </w:rPr>
        <w:t>Joshua Paramor.</w:t>
      </w:r>
      <w:r w:rsidRPr="003037D2">
        <w:rPr>
          <w:rFonts w:ascii="Garamond" w:eastAsia="Calibri" w:hAnsi="Garamond" w:cs="Arial"/>
          <w:vertAlign w:val="superscript"/>
        </w:rPr>
        <w:footnoteReference w:id="218"/>
      </w:r>
    </w:p>
    <w:p w14:paraId="1D13E6E7" w14:textId="77777777" w:rsidR="00162224" w:rsidRPr="003037D2" w:rsidRDefault="00162224" w:rsidP="00162224">
      <w:pPr>
        <w:ind w:left="680" w:right="680" w:firstLine="720"/>
        <w:rPr>
          <w:rFonts w:ascii="Garamond" w:eastAsia="Calibri" w:hAnsi="Garamond" w:cs="Arial"/>
        </w:rPr>
      </w:pPr>
    </w:p>
    <w:p w14:paraId="1F8DF187" w14:textId="219EF1DA" w:rsidR="00162224" w:rsidRPr="003037D2" w:rsidRDefault="00162224" w:rsidP="00162224">
      <w:pPr>
        <w:spacing w:line="360" w:lineRule="auto"/>
        <w:rPr>
          <w:rFonts w:ascii="Garamond" w:eastAsia="Calibri" w:hAnsi="Garamond" w:cs="Arial"/>
        </w:rPr>
      </w:pPr>
      <w:r w:rsidRPr="003037D2">
        <w:rPr>
          <w:rFonts w:ascii="Garamond" w:eastAsia="Calibri" w:hAnsi="Garamond" w:cs="Arial"/>
        </w:rPr>
        <w:t xml:space="preserve">The lower portion of the page has been removed, which presumably would have held a copy of the agreement for Joshua to retain. </w:t>
      </w:r>
      <w:r w:rsidRPr="003037D2">
        <w:rPr>
          <w:rFonts w:ascii="Garamond" w:eastAsia="Calibri" w:hAnsi="Garamond" w:cs="Arial"/>
          <w:bCs/>
        </w:rPr>
        <w:t>This was a common method of contract-making at the time; our</w:t>
      </w:r>
      <w:r w:rsidRPr="003037D2">
        <w:rPr>
          <w:rFonts w:ascii="Garamond" w:eastAsia="Calibri" w:hAnsi="Garamond" w:cs="Arial"/>
        </w:rPr>
        <w:t xml:space="preserve"> modern term ‘indentured land’ stems from the practice of creating land deeds by copying the details of the exchange three times on a single sheet. The copies would then be cut apart in undulating lines, which could then be pieced back together to prove the validity of the document.</w:t>
      </w:r>
      <w:r w:rsidRPr="003037D2">
        <w:rPr>
          <w:rFonts w:ascii="Garamond" w:eastAsia="Calibri" w:hAnsi="Garamond" w:cs="Arial"/>
          <w:vertAlign w:val="superscript"/>
        </w:rPr>
        <w:footnoteReference w:id="219"/>
      </w:r>
      <w:r w:rsidRPr="003037D2">
        <w:rPr>
          <w:rFonts w:ascii="Garamond" w:eastAsia="Calibri" w:hAnsi="Garamond" w:cs="Arial"/>
        </w:rPr>
        <w:t xml:space="preserve"> This almanac is not an ephemeral, throw-away text, rather it is a family heirloom. In the back, signatures by Ralph and Jonathan Boteler, presumably Thomas’ sons, and a date from 1693, show that it was kept and used for nearly 50 years. (See </w:t>
      </w:r>
      <w:r w:rsidRPr="003037D2">
        <w:rPr>
          <w:rFonts w:ascii="Garamond" w:eastAsia="Calibri" w:hAnsi="Garamond" w:cs="Arial"/>
        </w:rPr>
        <w:fldChar w:fldCharType="begin"/>
      </w:r>
      <w:r w:rsidRPr="003037D2">
        <w:rPr>
          <w:rFonts w:ascii="Garamond" w:eastAsia="Calibri" w:hAnsi="Garamond" w:cs="Arial"/>
        </w:rPr>
        <w:instrText xml:space="preserve"> REF _Ref529305836 \h  \* MERGEFORMAT </w:instrText>
      </w:r>
      <w:r w:rsidRPr="003037D2">
        <w:rPr>
          <w:rFonts w:ascii="Garamond" w:eastAsia="Calibri" w:hAnsi="Garamond" w:cs="Arial"/>
        </w:rPr>
      </w:r>
      <w:r w:rsidRPr="003037D2">
        <w:rPr>
          <w:rFonts w:ascii="Garamond" w:eastAsia="Calibri" w:hAnsi="Garamond" w:cs="Arial"/>
        </w:rPr>
        <w:fldChar w:fldCharType="separate"/>
      </w:r>
      <w:r w:rsidR="001117A3" w:rsidRPr="003037D2">
        <w:rPr>
          <w:rFonts w:ascii="Garamond" w:eastAsia="Calibri" w:hAnsi="Garamond" w:cs="Arial"/>
        </w:rPr>
        <w:t xml:space="preserve">Figure </w:t>
      </w:r>
      <w:r w:rsidR="001117A3" w:rsidRPr="003037D2">
        <w:rPr>
          <w:rFonts w:ascii="Garamond" w:eastAsia="Calibri" w:hAnsi="Garamond" w:cs="Arial"/>
          <w:noProof/>
        </w:rPr>
        <w:t>16</w:t>
      </w:r>
      <w:r w:rsidRPr="003037D2">
        <w:rPr>
          <w:rFonts w:ascii="Garamond" w:eastAsia="Calibri" w:hAnsi="Garamond" w:cs="Arial"/>
        </w:rPr>
        <w:fldChar w:fldCharType="end"/>
      </w:r>
      <w:r w:rsidR="00ED0F4C">
        <w:rPr>
          <w:rFonts w:ascii="Garamond" w:eastAsia="Calibri" w:hAnsi="Garamond" w:cs="Arial"/>
        </w:rPr>
        <w:t>.</w:t>
      </w:r>
      <w:r w:rsidRPr="003037D2">
        <w:rPr>
          <w:rFonts w:ascii="Garamond" w:eastAsia="Calibri" w:hAnsi="Garamond" w:cs="Arial"/>
        </w:rPr>
        <w:t xml:space="preserve">) This is likely to be for practical reasons: paper was expensive, and almanacs often contained information that would be useful for more than just a single year, such as lists of county fairs, medical information, charts for working out tide times, the value of metals, and other goods, to name but a few. The ephemerality of the almanac can be overstated. </w:t>
      </w:r>
    </w:p>
    <w:p w14:paraId="23779812" w14:textId="77777777" w:rsidR="00162224" w:rsidRPr="003037D2" w:rsidRDefault="00162224" w:rsidP="00162224">
      <w:pPr>
        <w:spacing w:line="360" w:lineRule="auto"/>
        <w:rPr>
          <w:rFonts w:ascii="Garamond" w:eastAsia="Calibri" w:hAnsi="Garamond" w:cs="Arial"/>
        </w:rPr>
      </w:pPr>
    </w:p>
    <w:p w14:paraId="3E119DB7" w14:textId="77777777" w:rsidR="00162224" w:rsidRPr="003037D2" w:rsidRDefault="00162224" w:rsidP="00162224">
      <w:pPr>
        <w:spacing w:line="360" w:lineRule="auto"/>
        <w:ind w:firstLine="720"/>
        <w:rPr>
          <w:rFonts w:ascii="Garamond" w:eastAsia="Calibri" w:hAnsi="Garamond" w:cs="Arial"/>
        </w:rPr>
      </w:pPr>
      <w:r w:rsidRPr="003037D2">
        <w:rPr>
          <w:rFonts w:ascii="Garamond" w:eastAsia="Calibri" w:hAnsi="Garamond" w:cs="Arial"/>
        </w:rPr>
        <w:t xml:space="preserve">Annotated almanacs reveal how people used these books as storage places for memories. Brodie Waddell has uncovered the detailed chronicles that one Joseph </w:t>
      </w:r>
      <w:proofErr w:type="spellStart"/>
      <w:r w:rsidRPr="003037D2">
        <w:rPr>
          <w:rFonts w:ascii="Garamond" w:eastAsia="Calibri" w:hAnsi="Garamond" w:cs="Arial"/>
        </w:rPr>
        <w:t>Bufton</w:t>
      </w:r>
      <w:proofErr w:type="spellEnd"/>
      <w:r w:rsidRPr="003037D2">
        <w:rPr>
          <w:rFonts w:ascii="Garamond" w:eastAsia="Calibri" w:hAnsi="Garamond" w:cs="Arial"/>
        </w:rPr>
        <w:t xml:space="preserve"> (1651–1718), a tradesman from Coggeshall in Essex, made in two almanacs recording events from 1659 onwards. One of these notebooks was ‘filled chiefly with </w:t>
      </w:r>
      <w:proofErr w:type="spellStart"/>
      <w:r w:rsidRPr="003037D2">
        <w:rPr>
          <w:rFonts w:ascii="Garamond" w:eastAsia="Calibri" w:hAnsi="Garamond" w:cs="Arial"/>
        </w:rPr>
        <w:t>buriall</w:t>
      </w:r>
      <w:proofErr w:type="spellEnd"/>
      <w:r w:rsidRPr="003037D2">
        <w:rPr>
          <w:rFonts w:ascii="Garamond" w:eastAsia="Calibri" w:hAnsi="Garamond" w:cs="Arial"/>
        </w:rPr>
        <w:t xml:space="preserve"> and marriage’ (around 900 entries in total) and other local affairs from his </w:t>
      </w:r>
      <w:r w:rsidRPr="003037D2">
        <w:rPr>
          <w:rFonts w:ascii="Garamond" w:eastAsia="Calibri" w:hAnsi="Garamond" w:cs="Arial"/>
        </w:rPr>
        <w:lastRenderedPageBreak/>
        <w:t>village.</w:t>
      </w:r>
      <w:r w:rsidRPr="003037D2">
        <w:rPr>
          <w:rFonts w:ascii="Garamond" w:eastAsia="Calibri" w:hAnsi="Garamond" w:cs="Arial"/>
          <w:vertAlign w:val="superscript"/>
        </w:rPr>
        <w:footnoteReference w:id="220"/>
      </w:r>
      <w:r w:rsidRPr="003037D2">
        <w:rPr>
          <w:rFonts w:ascii="Garamond" w:eastAsia="Calibri" w:hAnsi="Garamond" w:cs="Arial"/>
        </w:rPr>
        <w:t xml:space="preserve"> </w:t>
      </w:r>
      <w:proofErr w:type="spellStart"/>
      <w:r w:rsidRPr="003037D2">
        <w:rPr>
          <w:rFonts w:ascii="Garamond" w:eastAsia="Calibri" w:hAnsi="Garamond" w:cs="Arial"/>
        </w:rPr>
        <w:t>Bufton</w:t>
      </w:r>
      <w:proofErr w:type="spellEnd"/>
      <w:r w:rsidRPr="003037D2">
        <w:rPr>
          <w:rFonts w:ascii="Garamond" w:eastAsia="Calibri" w:hAnsi="Garamond" w:cs="Arial"/>
        </w:rPr>
        <w:t xml:space="preserve"> made 180 entries to detail two decades of </w:t>
      </w:r>
      <w:proofErr w:type="spellStart"/>
      <w:r w:rsidRPr="003037D2">
        <w:rPr>
          <w:rFonts w:ascii="Garamond" w:eastAsia="Calibri" w:hAnsi="Garamond" w:cs="Arial"/>
        </w:rPr>
        <w:t>Cloggeshall’s</w:t>
      </w:r>
      <w:proofErr w:type="spellEnd"/>
      <w:r w:rsidRPr="003037D2">
        <w:rPr>
          <w:rFonts w:ascii="Garamond" w:eastAsia="Calibri" w:hAnsi="Garamond" w:cs="Arial"/>
        </w:rPr>
        <w:t xml:space="preserve"> history, ranging from familial news, ‘4 February 1693. My Cousin </w:t>
      </w:r>
      <w:proofErr w:type="spellStart"/>
      <w:r w:rsidRPr="003037D2">
        <w:rPr>
          <w:rFonts w:ascii="Garamond" w:eastAsia="Calibri" w:hAnsi="Garamond" w:cs="Arial"/>
        </w:rPr>
        <w:t>Sparhawk</w:t>
      </w:r>
      <w:proofErr w:type="spellEnd"/>
      <w:r w:rsidRPr="003037D2">
        <w:rPr>
          <w:rFonts w:ascii="Garamond" w:eastAsia="Calibri" w:hAnsi="Garamond" w:cs="Arial"/>
        </w:rPr>
        <w:t xml:space="preserve"> was carried to prison’ to local occurrences ‘June 1693. Our 4th bell was carried to Sudbury to be new shot &amp; brought home and the other were </w:t>
      </w:r>
      <w:proofErr w:type="spellStart"/>
      <w:r w:rsidRPr="003037D2">
        <w:rPr>
          <w:rFonts w:ascii="Garamond" w:eastAsia="Calibri" w:hAnsi="Garamond" w:cs="Arial"/>
        </w:rPr>
        <w:t>chipt</w:t>
      </w:r>
      <w:proofErr w:type="spellEnd"/>
      <w:r w:rsidRPr="003037D2">
        <w:rPr>
          <w:rFonts w:ascii="Garamond" w:eastAsia="Calibri" w:hAnsi="Garamond" w:cs="Arial"/>
        </w:rPr>
        <w:t xml:space="preserve"> to make them </w:t>
      </w:r>
      <w:proofErr w:type="spellStart"/>
      <w:r w:rsidRPr="003037D2">
        <w:rPr>
          <w:rFonts w:ascii="Garamond" w:eastAsia="Calibri" w:hAnsi="Garamond" w:cs="Arial"/>
        </w:rPr>
        <w:t>tuneable</w:t>
      </w:r>
      <w:proofErr w:type="spellEnd"/>
      <w:r w:rsidRPr="003037D2">
        <w:rPr>
          <w:rFonts w:ascii="Garamond" w:eastAsia="Calibri" w:hAnsi="Garamond" w:cs="Arial"/>
        </w:rPr>
        <w:t>. They were first rung July 6’.</w:t>
      </w:r>
      <w:r w:rsidRPr="003037D2">
        <w:rPr>
          <w:rFonts w:ascii="Garamond" w:eastAsia="Calibri" w:hAnsi="Garamond" w:cs="Arial"/>
          <w:vertAlign w:val="superscript"/>
        </w:rPr>
        <w:footnoteReference w:id="221"/>
      </w:r>
      <w:r w:rsidRPr="003037D2">
        <w:rPr>
          <w:rFonts w:ascii="Garamond" w:eastAsia="Calibri" w:hAnsi="Garamond" w:cs="Arial"/>
        </w:rPr>
        <w:t xml:space="preserve">  Another almanac recorded details regarding his trade, and a ‘yearly account of remarkable things’ running from the 1688/9 Glorious Revolution to the ascension of George I in 1714 over fifteen pages. Waddell reveals the sources that </w:t>
      </w:r>
      <w:proofErr w:type="spellStart"/>
      <w:r w:rsidRPr="003037D2">
        <w:rPr>
          <w:rFonts w:ascii="Garamond" w:eastAsia="Calibri" w:hAnsi="Garamond" w:cs="Arial"/>
        </w:rPr>
        <w:t>Bufton</w:t>
      </w:r>
      <w:proofErr w:type="spellEnd"/>
      <w:r w:rsidRPr="003037D2">
        <w:rPr>
          <w:rFonts w:ascii="Garamond" w:eastAsia="Calibri" w:hAnsi="Garamond" w:cs="Arial"/>
        </w:rPr>
        <w:t xml:space="preserve"> drew on, gathering together news from word of mouth and printed texts to create his own history. </w:t>
      </w:r>
      <w:proofErr w:type="spellStart"/>
      <w:r w:rsidRPr="003037D2">
        <w:rPr>
          <w:rFonts w:ascii="Garamond" w:eastAsia="Calibri" w:hAnsi="Garamond" w:cs="Arial"/>
        </w:rPr>
        <w:t>Bufton</w:t>
      </w:r>
      <w:proofErr w:type="spellEnd"/>
      <w:r w:rsidRPr="003037D2">
        <w:rPr>
          <w:rFonts w:ascii="Garamond" w:eastAsia="Calibri" w:hAnsi="Garamond" w:cs="Arial"/>
        </w:rPr>
        <w:t xml:space="preserve"> writes that he ‘saw a penny printed book’ that described a ‘dreadful tempest’ and ‘saw a printed paper in London of an inundation in </w:t>
      </w:r>
      <w:proofErr w:type="spellStart"/>
      <w:r w:rsidRPr="003037D2">
        <w:rPr>
          <w:rFonts w:ascii="Garamond" w:eastAsia="Calibri" w:hAnsi="Garamond" w:cs="Arial"/>
        </w:rPr>
        <w:t>Monmouthshire</w:t>
      </w:r>
      <w:proofErr w:type="spellEnd"/>
      <w:r w:rsidRPr="003037D2">
        <w:rPr>
          <w:rFonts w:ascii="Garamond" w:eastAsia="Calibri" w:hAnsi="Garamond" w:cs="Arial"/>
        </w:rPr>
        <w:t>’.</w:t>
      </w:r>
      <w:r w:rsidRPr="003037D2">
        <w:rPr>
          <w:rFonts w:ascii="Garamond" w:eastAsia="Calibri" w:hAnsi="Garamond" w:cs="Arial"/>
          <w:vertAlign w:val="superscript"/>
        </w:rPr>
        <w:footnoteReference w:id="222"/>
      </w:r>
      <w:r w:rsidRPr="003037D2">
        <w:rPr>
          <w:rFonts w:ascii="Garamond" w:eastAsia="Calibri" w:hAnsi="Garamond" w:cs="Arial"/>
        </w:rPr>
        <w:t xml:space="preserve"> Waddell argues that </w:t>
      </w:r>
      <w:proofErr w:type="spellStart"/>
      <w:r w:rsidRPr="003037D2">
        <w:rPr>
          <w:rFonts w:ascii="Garamond" w:eastAsia="Calibri" w:hAnsi="Garamond" w:cs="Arial"/>
        </w:rPr>
        <w:t>Bufton</w:t>
      </w:r>
      <w:proofErr w:type="spellEnd"/>
      <w:r w:rsidRPr="003037D2">
        <w:rPr>
          <w:rFonts w:ascii="Garamond" w:eastAsia="Calibri" w:hAnsi="Garamond" w:cs="Arial"/>
        </w:rPr>
        <w:t xml:space="preserve"> ‘must have sensed that grand events were afoot – that he was living in history – when he decided to begin this new chronicle at the launch of the Glorious Revolution’.</w:t>
      </w:r>
      <w:r w:rsidRPr="003037D2">
        <w:rPr>
          <w:rFonts w:ascii="Garamond" w:eastAsia="Calibri" w:hAnsi="Garamond" w:cs="Arial"/>
          <w:vertAlign w:val="superscript"/>
        </w:rPr>
        <w:footnoteReference w:id="223"/>
      </w:r>
      <w:r w:rsidRPr="003037D2">
        <w:rPr>
          <w:rFonts w:ascii="Garamond" w:eastAsia="Calibri" w:hAnsi="Garamond" w:cs="Arial"/>
        </w:rPr>
        <w:t xml:space="preserve"> Events included range from the imposition of new taxes, to locally inflected records of national history, such as the procession at </w:t>
      </w:r>
      <w:proofErr w:type="spellStart"/>
      <w:r w:rsidRPr="003037D2">
        <w:rPr>
          <w:rFonts w:ascii="Garamond" w:eastAsia="Calibri" w:hAnsi="Garamond" w:cs="Arial"/>
        </w:rPr>
        <w:t>Cloggeshall</w:t>
      </w:r>
      <w:proofErr w:type="spellEnd"/>
      <w:r w:rsidRPr="003037D2">
        <w:rPr>
          <w:rFonts w:ascii="Garamond" w:eastAsia="Calibri" w:hAnsi="Garamond" w:cs="Arial"/>
        </w:rPr>
        <w:t xml:space="preserve"> with a drummer and a garland of oranges that followed the coronation of William and Mary at Westminster.</w:t>
      </w:r>
      <w:r w:rsidRPr="003037D2">
        <w:rPr>
          <w:rFonts w:ascii="Garamond" w:eastAsia="Calibri" w:hAnsi="Garamond" w:cs="Arial"/>
          <w:vertAlign w:val="superscript"/>
        </w:rPr>
        <w:footnoteReference w:id="224"/>
      </w:r>
      <w:r w:rsidRPr="003037D2">
        <w:rPr>
          <w:rFonts w:ascii="Garamond" w:eastAsia="Calibri" w:hAnsi="Garamond" w:cs="Arial"/>
        </w:rPr>
        <w:t xml:space="preserve"> In his copy of </w:t>
      </w:r>
      <w:r w:rsidRPr="003037D2">
        <w:rPr>
          <w:rFonts w:ascii="Garamond" w:eastAsia="Calibri" w:hAnsi="Garamond" w:cs="Arial"/>
          <w:i/>
          <w:iCs/>
        </w:rPr>
        <w:t>Rider’s British Merlin</w:t>
      </w:r>
      <w:r w:rsidRPr="003037D2">
        <w:rPr>
          <w:rFonts w:ascii="Garamond" w:eastAsia="Calibri" w:hAnsi="Garamond" w:cs="Arial"/>
        </w:rPr>
        <w:t xml:space="preserve"> for 1680 </w:t>
      </w:r>
      <w:proofErr w:type="spellStart"/>
      <w:r w:rsidRPr="003037D2">
        <w:rPr>
          <w:rFonts w:ascii="Garamond" w:eastAsia="Calibri" w:hAnsi="Garamond" w:cs="Arial"/>
        </w:rPr>
        <w:t>Bufton</w:t>
      </w:r>
      <w:proofErr w:type="spellEnd"/>
      <w:r w:rsidRPr="003037D2">
        <w:rPr>
          <w:rFonts w:ascii="Garamond" w:eastAsia="Calibri" w:hAnsi="Garamond" w:cs="Arial"/>
        </w:rPr>
        <w:t xml:space="preserve"> jotted down his own poem crammed into a small gap in the print between ‘a description of the four quarters of the year’ and details of eclipses: </w:t>
      </w:r>
    </w:p>
    <w:p w14:paraId="44DC51A4" w14:textId="77777777" w:rsidR="00162224" w:rsidRPr="003037D2" w:rsidRDefault="00162224" w:rsidP="00162224">
      <w:pPr>
        <w:ind w:left="2880"/>
        <w:rPr>
          <w:rFonts w:ascii="Garamond" w:eastAsia="Calibri" w:hAnsi="Garamond" w:cs="Arial"/>
        </w:rPr>
      </w:pPr>
      <w:r w:rsidRPr="003037D2">
        <w:rPr>
          <w:rFonts w:ascii="Garamond" w:eastAsia="Calibri" w:hAnsi="Garamond" w:cs="Arial"/>
        </w:rPr>
        <w:t>An Almanack [is] but for one year,</w:t>
      </w:r>
    </w:p>
    <w:p w14:paraId="5334EA73" w14:textId="77777777" w:rsidR="00162224" w:rsidRPr="003037D2" w:rsidRDefault="00162224" w:rsidP="00162224">
      <w:pPr>
        <w:ind w:left="2880"/>
        <w:rPr>
          <w:rFonts w:ascii="Garamond" w:eastAsia="Calibri" w:hAnsi="Garamond" w:cs="Arial"/>
        </w:rPr>
      </w:pPr>
      <w:r w:rsidRPr="003037D2">
        <w:rPr>
          <w:rFonts w:ascii="Garamond" w:eastAsia="Calibri" w:hAnsi="Garamond" w:cs="Arial"/>
        </w:rPr>
        <w:t>And then tis out of date</w:t>
      </w:r>
    </w:p>
    <w:p w14:paraId="301330DE" w14:textId="77777777" w:rsidR="00162224" w:rsidRPr="003037D2" w:rsidRDefault="00162224" w:rsidP="00162224">
      <w:pPr>
        <w:ind w:left="2880"/>
        <w:rPr>
          <w:rFonts w:ascii="Garamond" w:eastAsia="Calibri" w:hAnsi="Garamond" w:cs="Arial"/>
        </w:rPr>
      </w:pPr>
      <w:r w:rsidRPr="003037D2">
        <w:rPr>
          <w:rFonts w:ascii="Garamond" w:eastAsia="Calibri" w:hAnsi="Garamond" w:cs="Arial"/>
        </w:rPr>
        <w:t>And every year Some men depart</w:t>
      </w:r>
    </w:p>
    <w:p w14:paraId="6B468E7C" w14:textId="77777777" w:rsidR="00162224" w:rsidRPr="003037D2" w:rsidRDefault="00162224" w:rsidP="00162224">
      <w:pPr>
        <w:ind w:left="2880"/>
        <w:rPr>
          <w:rFonts w:ascii="Garamond" w:eastAsia="Calibri" w:hAnsi="Garamond" w:cs="Arial"/>
        </w:rPr>
      </w:pPr>
      <w:r w:rsidRPr="003037D2">
        <w:rPr>
          <w:rFonts w:ascii="Garamond" w:eastAsia="Calibri" w:hAnsi="Garamond" w:cs="Arial"/>
        </w:rPr>
        <w:t xml:space="preserve">&amp; leave this </w:t>
      </w:r>
      <w:proofErr w:type="spellStart"/>
      <w:r w:rsidRPr="003037D2">
        <w:rPr>
          <w:rFonts w:ascii="Garamond" w:eastAsia="Calibri" w:hAnsi="Garamond" w:cs="Arial"/>
        </w:rPr>
        <w:t>mortall</w:t>
      </w:r>
      <w:proofErr w:type="spellEnd"/>
      <w:r w:rsidRPr="003037D2">
        <w:rPr>
          <w:rFonts w:ascii="Garamond" w:eastAsia="Calibri" w:hAnsi="Garamond" w:cs="Arial"/>
        </w:rPr>
        <w:t xml:space="preserve"> State</w:t>
      </w:r>
    </w:p>
    <w:p w14:paraId="0CD52316" w14:textId="77777777" w:rsidR="00162224" w:rsidRPr="003037D2" w:rsidRDefault="00162224" w:rsidP="00162224">
      <w:pPr>
        <w:ind w:left="2880"/>
        <w:rPr>
          <w:rFonts w:ascii="Garamond" w:eastAsia="Calibri" w:hAnsi="Garamond" w:cs="Arial"/>
        </w:rPr>
      </w:pPr>
      <w:r w:rsidRPr="003037D2">
        <w:rPr>
          <w:rFonts w:ascii="Garamond" w:eastAsia="Calibri" w:hAnsi="Garamond" w:cs="Arial"/>
        </w:rPr>
        <w:t xml:space="preserve">That </w:t>
      </w:r>
      <w:proofErr w:type="gramStart"/>
      <w:r w:rsidRPr="003037D2">
        <w:rPr>
          <w:rFonts w:ascii="Garamond" w:eastAsia="Calibri" w:hAnsi="Garamond" w:cs="Arial"/>
        </w:rPr>
        <w:t>year</w:t>
      </w:r>
      <w:proofErr w:type="gramEnd"/>
      <w:r w:rsidRPr="003037D2">
        <w:rPr>
          <w:rFonts w:ascii="Garamond" w:eastAsia="Calibri" w:hAnsi="Garamond" w:cs="Arial"/>
        </w:rPr>
        <w:t xml:space="preserve"> which is to some the first,</w:t>
      </w:r>
    </w:p>
    <w:p w14:paraId="67AFB62B" w14:textId="77777777" w:rsidR="00162224" w:rsidRPr="003037D2" w:rsidRDefault="00162224" w:rsidP="00162224">
      <w:pPr>
        <w:ind w:left="2880"/>
        <w:rPr>
          <w:rFonts w:ascii="Garamond" w:eastAsia="Calibri" w:hAnsi="Garamond" w:cs="Arial"/>
        </w:rPr>
      </w:pPr>
      <w:r w:rsidRPr="003037D2">
        <w:rPr>
          <w:rFonts w:ascii="Garamond" w:eastAsia="Calibri" w:hAnsi="Garamond" w:cs="Arial"/>
        </w:rPr>
        <w:t>to others is the last.</w:t>
      </w:r>
    </w:p>
    <w:p w14:paraId="5AEC6BC8" w14:textId="77777777" w:rsidR="00162224" w:rsidRPr="003037D2" w:rsidRDefault="00162224" w:rsidP="00162224">
      <w:pPr>
        <w:ind w:left="2880"/>
        <w:rPr>
          <w:rFonts w:ascii="Garamond" w:eastAsia="Calibri" w:hAnsi="Garamond" w:cs="Arial"/>
        </w:rPr>
      </w:pPr>
      <w:r w:rsidRPr="003037D2">
        <w:rPr>
          <w:rFonts w:ascii="Garamond" w:eastAsia="Calibri" w:hAnsi="Garamond" w:cs="Arial"/>
        </w:rPr>
        <w:t>And all of us our time is short</w:t>
      </w:r>
    </w:p>
    <w:p w14:paraId="3AEFC188" w14:textId="77777777" w:rsidR="00162224" w:rsidRPr="003037D2" w:rsidRDefault="00162224" w:rsidP="00162224">
      <w:pPr>
        <w:ind w:left="2880"/>
        <w:rPr>
          <w:rFonts w:ascii="Garamond" w:eastAsia="Calibri" w:hAnsi="Garamond" w:cs="Arial"/>
        </w:rPr>
      </w:pPr>
      <w:r w:rsidRPr="003037D2">
        <w:rPr>
          <w:rFonts w:ascii="Garamond" w:eastAsia="Calibri" w:hAnsi="Garamond" w:cs="Arial"/>
        </w:rPr>
        <w:t>our years are quickly past.</w:t>
      </w:r>
      <w:r w:rsidRPr="003037D2">
        <w:rPr>
          <w:rFonts w:ascii="Garamond" w:eastAsia="Calibri" w:hAnsi="Garamond" w:cs="Arial"/>
          <w:vertAlign w:val="superscript"/>
        </w:rPr>
        <w:footnoteReference w:id="225"/>
      </w:r>
    </w:p>
    <w:p w14:paraId="1AE04B23" w14:textId="77777777" w:rsidR="00162224" w:rsidRPr="003037D2" w:rsidRDefault="00162224" w:rsidP="00162224">
      <w:pPr>
        <w:ind w:left="2880"/>
        <w:rPr>
          <w:rFonts w:ascii="Garamond" w:eastAsia="Calibri" w:hAnsi="Garamond" w:cs="Arial"/>
        </w:rPr>
      </w:pPr>
    </w:p>
    <w:p w14:paraId="29AF3131" w14:textId="471AB4C8" w:rsidR="00162224" w:rsidRPr="003037D2" w:rsidRDefault="00162224" w:rsidP="00162224">
      <w:pPr>
        <w:spacing w:line="360" w:lineRule="auto"/>
        <w:rPr>
          <w:rFonts w:ascii="Garamond" w:eastAsia="Calibri" w:hAnsi="Garamond" w:cs="Arial"/>
        </w:rPr>
      </w:pPr>
      <w:r w:rsidRPr="003037D2">
        <w:rPr>
          <w:rFonts w:ascii="Garamond" w:eastAsia="Calibri" w:hAnsi="Garamond" w:cs="Arial"/>
        </w:rPr>
        <w:t xml:space="preserve">Whilst </w:t>
      </w:r>
      <w:proofErr w:type="spellStart"/>
      <w:r w:rsidRPr="003037D2">
        <w:rPr>
          <w:rFonts w:ascii="Garamond" w:eastAsia="Calibri" w:hAnsi="Garamond" w:cs="Arial"/>
        </w:rPr>
        <w:t>Bufton</w:t>
      </w:r>
      <w:proofErr w:type="spellEnd"/>
      <w:r w:rsidRPr="003037D2">
        <w:rPr>
          <w:rFonts w:ascii="Garamond" w:eastAsia="Calibri" w:hAnsi="Garamond" w:cs="Arial"/>
        </w:rPr>
        <w:t xml:space="preserve"> </w:t>
      </w:r>
      <w:proofErr w:type="spellStart"/>
      <w:r w:rsidRPr="003037D2">
        <w:rPr>
          <w:rFonts w:ascii="Garamond" w:eastAsia="Calibri" w:hAnsi="Garamond" w:cs="Arial"/>
        </w:rPr>
        <w:t>emphasises</w:t>
      </w:r>
      <w:proofErr w:type="spellEnd"/>
      <w:r w:rsidRPr="003037D2">
        <w:rPr>
          <w:rFonts w:ascii="Garamond" w:eastAsia="Calibri" w:hAnsi="Garamond" w:cs="Arial"/>
        </w:rPr>
        <w:t xml:space="preserve"> the disposable nature of the almanac, likening it to the brevity of man’s life, his own almanacs were detailed historical documents. He not only created chronologies and records of life in his Essex village, but took stock of his own archive, noting ‘I reckon I have here 22 almanacks… filled up chiefly with things taken </w:t>
      </w:r>
      <w:r w:rsidRPr="003037D2">
        <w:rPr>
          <w:rFonts w:ascii="Garamond" w:eastAsia="Calibri" w:hAnsi="Garamond" w:cs="Arial"/>
        </w:rPr>
        <w:lastRenderedPageBreak/>
        <w:t>out of other books’ and ‘with notes of sermons’.</w:t>
      </w:r>
      <w:r w:rsidRPr="003037D2">
        <w:rPr>
          <w:rFonts w:ascii="Garamond" w:eastAsia="Calibri" w:hAnsi="Garamond" w:cs="Arial"/>
          <w:vertAlign w:val="superscript"/>
        </w:rPr>
        <w:footnoteReference w:id="226"/>
      </w:r>
      <w:r w:rsidRPr="003037D2">
        <w:rPr>
          <w:rFonts w:ascii="Garamond" w:eastAsia="Calibri" w:hAnsi="Garamond" w:cs="Arial"/>
        </w:rPr>
        <w:t xml:space="preserve"> For </w:t>
      </w:r>
      <w:proofErr w:type="spellStart"/>
      <w:r w:rsidRPr="003037D2">
        <w:rPr>
          <w:rFonts w:ascii="Garamond" w:eastAsia="Calibri" w:hAnsi="Garamond" w:cs="Arial"/>
        </w:rPr>
        <w:t>Bufton</w:t>
      </w:r>
      <w:proofErr w:type="spellEnd"/>
      <w:r w:rsidRPr="003037D2">
        <w:rPr>
          <w:rFonts w:ascii="Garamond" w:eastAsia="Calibri" w:hAnsi="Garamond" w:cs="Arial"/>
        </w:rPr>
        <w:t xml:space="preserve">, these almanacs were historical records that he surely hoped would outlast him: more durable than the ‘out of date’ almanac he bemoaned in his verse. Similarly, the Huntington’s copy of William Lilly’s 1648 </w:t>
      </w:r>
      <w:proofErr w:type="spellStart"/>
      <w:r w:rsidRPr="003037D2">
        <w:rPr>
          <w:rFonts w:ascii="Garamond" w:eastAsia="Calibri" w:hAnsi="Garamond" w:cs="Arial"/>
          <w:i/>
        </w:rPr>
        <w:t>Merlini</w:t>
      </w:r>
      <w:proofErr w:type="spellEnd"/>
      <w:r w:rsidRPr="003037D2">
        <w:rPr>
          <w:rFonts w:ascii="Garamond" w:eastAsia="Calibri" w:hAnsi="Garamond" w:cs="Arial"/>
          <w:i/>
        </w:rPr>
        <w:t xml:space="preserve"> </w:t>
      </w:r>
      <w:proofErr w:type="spellStart"/>
      <w:r w:rsidRPr="003037D2">
        <w:rPr>
          <w:rFonts w:ascii="Garamond" w:eastAsia="Calibri" w:hAnsi="Garamond" w:cs="Arial"/>
          <w:i/>
        </w:rPr>
        <w:t>Angelici</w:t>
      </w:r>
      <w:proofErr w:type="spellEnd"/>
      <w:r w:rsidRPr="003037D2">
        <w:rPr>
          <w:rFonts w:ascii="Garamond" w:eastAsia="Calibri" w:hAnsi="Garamond" w:cs="Arial"/>
          <w:i/>
        </w:rPr>
        <w:t xml:space="preserve"> Ephemeris </w:t>
      </w:r>
      <w:r w:rsidRPr="003037D2">
        <w:rPr>
          <w:rFonts w:ascii="Garamond" w:eastAsia="Calibri" w:hAnsi="Garamond" w:cs="Arial"/>
        </w:rPr>
        <w:t xml:space="preserve">has notes in several hands from as late as 1752. The Lilly almanac has been altered to fit the needs of the owners, interleaved with blanks. The number of these blanks between each month of the calendar and the respective ‘observations’ page varies. Between January and February two pages have been inserted, then </w:t>
      </w:r>
      <w:proofErr w:type="gramStart"/>
      <w:r w:rsidRPr="003037D2">
        <w:rPr>
          <w:rFonts w:ascii="Garamond" w:eastAsia="Calibri" w:hAnsi="Garamond" w:cs="Arial"/>
        </w:rPr>
        <w:t>none at all</w:t>
      </w:r>
      <w:proofErr w:type="gramEnd"/>
      <w:r w:rsidRPr="003037D2">
        <w:rPr>
          <w:rFonts w:ascii="Garamond" w:eastAsia="Calibri" w:hAnsi="Garamond" w:cs="Arial"/>
        </w:rPr>
        <w:t xml:space="preserve"> from March through August, followed by a single blank inserted after September. There are dated sets of accounts from 1649 to 1739, although not every year is included.</w:t>
      </w:r>
      <w:r w:rsidRPr="003037D2">
        <w:rPr>
          <w:rFonts w:ascii="Garamond" w:eastAsia="Calibri" w:hAnsi="Garamond" w:cs="Arial"/>
          <w:vertAlign w:val="superscript"/>
        </w:rPr>
        <w:footnoteReference w:id="227"/>
      </w:r>
      <w:r w:rsidRPr="003037D2">
        <w:rPr>
          <w:rFonts w:ascii="Garamond" w:eastAsia="Calibri" w:hAnsi="Garamond" w:cs="Arial"/>
        </w:rPr>
        <w:t xml:space="preserve"> The book has become a lasting account, retained by several generations of a family. It is a durable rather than ephemeral text. </w:t>
      </w:r>
    </w:p>
    <w:p w14:paraId="40FEF679" w14:textId="77777777" w:rsidR="00162224" w:rsidRPr="003037D2" w:rsidRDefault="00162224" w:rsidP="00162224">
      <w:pPr>
        <w:spacing w:line="360" w:lineRule="auto"/>
        <w:ind w:firstLine="720"/>
        <w:rPr>
          <w:rFonts w:ascii="Garamond" w:eastAsia="Calibri" w:hAnsi="Garamond" w:cs="Arial"/>
        </w:rPr>
      </w:pPr>
    </w:p>
    <w:p w14:paraId="1042595A" w14:textId="77777777" w:rsidR="00162224" w:rsidRPr="003037D2" w:rsidRDefault="00162224" w:rsidP="00162224">
      <w:pPr>
        <w:spacing w:line="360" w:lineRule="auto"/>
        <w:ind w:right="567" w:firstLine="720"/>
        <w:rPr>
          <w:rFonts w:ascii="Garamond" w:eastAsia="Calibri" w:hAnsi="Garamond" w:cs="Arial"/>
        </w:rPr>
      </w:pPr>
      <w:r w:rsidRPr="003037D2">
        <w:rPr>
          <w:rFonts w:ascii="Garamond" w:eastAsia="Calibri" w:hAnsi="Garamond" w:cs="Arial"/>
        </w:rPr>
        <w:t>C. J. Sommerville has argued that the Protestant reformation led to secularization ‘by making religion more a matter of internal belief than of actions located in both space and time’. He suggests that the changes to the ecclesiastical calendar, and the desecration of shrines and the like, led to an intrinsically less sacred view of space and time in the early modern period.</w:t>
      </w:r>
      <w:r w:rsidRPr="003037D2">
        <w:rPr>
          <w:rFonts w:ascii="Garamond" w:eastAsia="Calibri" w:hAnsi="Garamond" w:cs="Arial"/>
          <w:vertAlign w:val="superscript"/>
        </w:rPr>
        <w:footnoteReference w:id="228"/>
      </w:r>
      <w:r w:rsidRPr="003037D2">
        <w:rPr>
          <w:rFonts w:ascii="Garamond" w:eastAsia="Calibri" w:hAnsi="Garamond" w:cs="Arial"/>
        </w:rPr>
        <w:t xml:space="preserve"> Alison Chapman has argued convincingly that in fact, the popularity of the almanac suggests that ‘ordinary men and women wanted time and place to mean something, and almanacs may have kept the older view… alive’.</w:t>
      </w:r>
      <w:r w:rsidRPr="003037D2">
        <w:rPr>
          <w:rFonts w:ascii="Garamond" w:eastAsia="Calibri" w:hAnsi="Garamond" w:cs="Arial"/>
          <w:vertAlign w:val="superscript"/>
        </w:rPr>
        <w:footnoteReference w:id="229"/>
      </w:r>
      <w:r w:rsidRPr="003037D2">
        <w:rPr>
          <w:rFonts w:ascii="Garamond" w:eastAsia="Calibri" w:hAnsi="Garamond" w:cs="Arial"/>
        </w:rPr>
        <w:t xml:space="preserve"> The space of the page becomes symbolically charged, with space representing time. Moreover, the way in which the reader interacts with these diagrams not only helps them confront and understand devotional issues, but also to place internal work outside the self. As discussed throughout this chapter, the seemingly stable forms of time put forward by the printed almanacs, time that could be legibly and easily subdivided, were written over and reworked by the almanacs’ owners, leaving histories of lives and feelings that can only partially be reclaimed by a researcher today. This is not a linear movement of supersession, but one that brings together different points in time. Gil Harris suggests that we need to ‘</w:t>
      </w:r>
      <w:proofErr w:type="spellStart"/>
      <w:r w:rsidRPr="003037D2">
        <w:rPr>
          <w:rFonts w:ascii="Garamond" w:eastAsia="Calibri" w:hAnsi="Garamond" w:cs="Arial"/>
        </w:rPr>
        <w:t>polychronize</w:t>
      </w:r>
      <w:proofErr w:type="spellEnd"/>
      <w:r w:rsidRPr="003037D2">
        <w:rPr>
          <w:rFonts w:ascii="Garamond" w:eastAsia="Calibri" w:hAnsi="Garamond" w:cs="Arial"/>
        </w:rPr>
        <w:t xml:space="preserve">’ objects of study; think about matter’s multi-temporality and the way in which it is both </w:t>
      </w:r>
      <w:r w:rsidRPr="003037D2">
        <w:rPr>
          <w:rFonts w:ascii="Garamond" w:eastAsia="Calibri" w:hAnsi="Garamond" w:cs="Arial"/>
        </w:rPr>
        <w:lastRenderedPageBreak/>
        <w:t>physically and imaginatively reworked.</w:t>
      </w:r>
      <w:r w:rsidRPr="003037D2">
        <w:rPr>
          <w:rFonts w:ascii="Garamond" w:eastAsia="Calibri" w:hAnsi="Garamond" w:cs="Arial"/>
          <w:vertAlign w:val="superscript"/>
        </w:rPr>
        <w:footnoteReference w:id="230"/>
      </w:r>
      <w:r w:rsidRPr="003037D2">
        <w:rPr>
          <w:rFonts w:ascii="Garamond" w:eastAsia="Calibri" w:hAnsi="Garamond" w:cs="Arial"/>
        </w:rPr>
        <w:t xml:space="preserve">  In the following chapters I shall explore whether or not this sense of </w:t>
      </w:r>
      <w:proofErr w:type="spellStart"/>
      <w:r w:rsidRPr="003037D2">
        <w:rPr>
          <w:rFonts w:ascii="Garamond" w:eastAsia="Calibri" w:hAnsi="Garamond" w:cs="Arial"/>
        </w:rPr>
        <w:t>polychronicity</w:t>
      </w:r>
      <w:proofErr w:type="spellEnd"/>
      <w:r w:rsidRPr="003037D2">
        <w:rPr>
          <w:rFonts w:ascii="Garamond" w:eastAsia="Calibri" w:hAnsi="Garamond" w:cs="Arial"/>
        </w:rPr>
        <w:t xml:space="preserve"> is visible in the religious writings of Anne Lock, Mary Sidney Herbert, George Herbert, and John Donne. </w:t>
      </w:r>
    </w:p>
    <w:p w14:paraId="5C6A798E" w14:textId="77777777" w:rsidR="00162224" w:rsidRPr="003037D2" w:rsidRDefault="00162224" w:rsidP="00162224">
      <w:pPr>
        <w:spacing w:line="360" w:lineRule="auto"/>
        <w:ind w:firstLine="720"/>
        <w:rPr>
          <w:rFonts w:ascii="Garamond" w:eastAsia="Calibri" w:hAnsi="Garamond" w:cs="Arial"/>
        </w:rPr>
      </w:pPr>
    </w:p>
    <w:p w14:paraId="7BC62EB3" w14:textId="77777777" w:rsidR="00162224" w:rsidRPr="003037D2" w:rsidRDefault="00162224" w:rsidP="00162224">
      <w:pPr>
        <w:spacing w:line="360" w:lineRule="auto"/>
        <w:ind w:firstLine="720"/>
        <w:rPr>
          <w:rFonts w:ascii="Garamond" w:eastAsia="Calibri" w:hAnsi="Garamond" w:cs="Arial"/>
        </w:rPr>
      </w:pPr>
    </w:p>
    <w:p w14:paraId="7CFA7B5D" w14:textId="77777777" w:rsidR="00162224" w:rsidRPr="003037D2" w:rsidRDefault="00162224" w:rsidP="00162224">
      <w:pPr>
        <w:spacing w:line="360" w:lineRule="auto"/>
        <w:ind w:firstLine="720"/>
        <w:rPr>
          <w:rFonts w:ascii="Garamond" w:eastAsia="Calibri" w:hAnsi="Garamond" w:cs="Arial"/>
        </w:rPr>
      </w:pPr>
    </w:p>
    <w:p w14:paraId="305BA62F" w14:textId="77777777" w:rsidR="00162224" w:rsidRPr="003037D2" w:rsidRDefault="00162224" w:rsidP="00162224">
      <w:pPr>
        <w:spacing w:line="360" w:lineRule="auto"/>
        <w:ind w:firstLine="720"/>
        <w:rPr>
          <w:rFonts w:ascii="Garamond" w:eastAsia="Calibri" w:hAnsi="Garamond" w:cs="Arial"/>
        </w:rPr>
      </w:pPr>
    </w:p>
    <w:p w14:paraId="4703153E" w14:textId="77777777" w:rsidR="00162224" w:rsidRPr="003037D2" w:rsidRDefault="00162224" w:rsidP="00162224">
      <w:pPr>
        <w:spacing w:line="360" w:lineRule="auto"/>
        <w:ind w:firstLine="720"/>
        <w:rPr>
          <w:rFonts w:ascii="Garamond" w:eastAsia="Calibri" w:hAnsi="Garamond" w:cs="Arial"/>
        </w:rPr>
      </w:pPr>
    </w:p>
    <w:p w14:paraId="5C52BFE4" w14:textId="77777777" w:rsidR="00162224" w:rsidRPr="003037D2" w:rsidRDefault="00162224" w:rsidP="00162224">
      <w:pPr>
        <w:rPr>
          <w:rFonts w:ascii="Garamond" w:eastAsia="Calibri" w:hAnsi="Garamond" w:cs="Times New Roman"/>
        </w:rPr>
      </w:pPr>
    </w:p>
    <w:p w14:paraId="6D987BE5" w14:textId="77777777" w:rsidR="00162224" w:rsidRPr="003037D2" w:rsidRDefault="00162224" w:rsidP="00162224">
      <w:pPr>
        <w:spacing w:line="360" w:lineRule="auto"/>
        <w:ind w:firstLine="720"/>
        <w:rPr>
          <w:rFonts w:ascii="Garamond" w:hAnsi="Garamond"/>
        </w:rPr>
        <w:sectPr w:rsidR="00162224" w:rsidRPr="003037D2" w:rsidSect="00162224">
          <w:footnotePr>
            <w:numRestart w:val="eachSect"/>
          </w:footnotePr>
          <w:pgSz w:w="11906" w:h="16838"/>
          <w:pgMar w:top="1440" w:right="1440" w:bottom="1440" w:left="1440" w:header="709" w:footer="709" w:gutter="851"/>
          <w:cols w:space="708"/>
          <w:docGrid w:linePitch="360"/>
        </w:sectPr>
      </w:pPr>
    </w:p>
    <w:p w14:paraId="0DD5F9E1" w14:textId="77777777" w:rsidR="00162224" w:rsidRPr="003037D2" w:rsidRDefault="00162224" w:rsidP="00162224">
      <w:pPr>
        <w:keepNext/>
        <w:keepLines/>
        <w:spacing w:before="240" w:line="360" w:lineRule="auto"/>
        <w:outlineLvl w:val="0"/>
        <w:rPr>
          <w:rFonts w:ascii="Garamond" w:eastAsia="Times New Roman" w:hAnsi="Garamond" w:cs="Times New Roman"/>
          <w:b/>
          <w:bCs/>
          <w:color w:val="4472C4" w:themeColor="accent1"/>
          <w:sz w:val="28"/>
          <w:szCs w:val="28"/>
        </w:rPr>
      </w:pPr>
      <w:bookmarkStart w:id="16" w:name="_Toc3967169"/>
      <w:r w:rsidRPr="003037D2">
        <w:rPr>
          <w:rFonts w:ascii="Garamond" w:eastAsia="Times New Roman" w:hAnsi="Garamond" w:cs="Times New Roman"/>
          <w:b/>
          <w:bCs/>
          <w:color w:val="4472C4" w:themeColor="accent1"/>
          <w:sz w:val="28"/>
          <w:szCs w:val="28"/>
        </w:rPr>
        <w:lastRenderedPageBreak/>
        <w:t>CHAPTER II: PSALM TRANSLATION AND TIMING DEVOTION</w:t>
      </w:r>
      <w:bookmarkEnd w:id="16"/>
    </w:p>
    <w:p w14:paraId="64DFDF9D" w14:textId="77777777" w:rsidR="00162224" w:rsidRPr="003037D2" w:rsidRDefault="00E04035" w:rsidP="00162224">
      <w:pPr>
        <w:spacing w:line="360" w:lineRule="auto"/>
        <w:rPr>
          <w:rFonts w:ascii="Garamond" w:eastAsia="Calibri" w:hAnsi="Garamond" w:cs="Times New Roman"/>
        </w:rPr>
      </w:pPr>
      <w:r>
        <w:rPr>
          <w:rFonts w:ascii="Garamond" w:eastAsia="Calibri" w:hAnsi="Garamond" w:cs="Times New Roman"/>
        </w:rPr>
        <w:pict w14:anchorId="078F114F">
          <v:rect id="_x0000_i1027" style="width:0;height:1.5pt" o:hralign="center" o:hrstd="t" o:hr="t" fillcolor="#a0a0a0" stroked="f"/>
        </w:pict>
      </w:r>
    </w:p>
    <w:p w14:paraId="7B9270AF" w14:textId="77777777"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ab/>
      </w:r>
    </w:p>
    <w:p w14:paraId="3BF9E3EF" w14:textId="77777777" w:rsidR="00162224" w:rsidRPr="003037D2" w:rsidRDefault="00162224" w:rsidP="00162224">
      <w:pPr>
        <w:spacing w:line="360" w:lineRule="auto"/>
        <w:rPr>
          <w:rFonts w:ascii="Garamond" w:eastAsia="Calibri" w:hAnsi="Garamond" w:cs="Times New Roman"/>
        </w:rPr>
      </w:pPr>
    </w:p>
    <w:p w14:paraId="7CAA1320" w14:textId="77777777"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In the previous chapter, I explored how annotations in almanacs provide evidence of individuals creating books of life writing and history keeping in which ‘time [is] pleated together’. This chapter will examine how the move to </w:t>
      </w:r>
      <w:proofErr w:type="spellStart"/>
      <w:r w:rsidRPr="003037D2">
        <w:rPr>
          <w:rFonts w:ascii="Garamond" w:eastAsia="Calibri" w:hAnsi="Garamond" w:cs="Times New Roman"/>
        </w:rPr>
        <w:t>personalise</w:t>
      </w:r>
      <w:proofErr w:type="spellEnd"/>
      <w:r w:rsidRPr="003037D2">
        <w:rPr>
          <w:rFonts w:ascii="Garamond" w:eastAsia="Calibri" w:hAnsi="Garamond" w:cs="Times New Roman"/>
        </w:rPr>
        <w:t xml:space="preserve"> time plays out in psalm translations. I argue that the Psalms provide a site for individuated speech acts, drawing attention to how and when speech should be used in a religious context. Athanasius’ ‘Table of Psalms’, included in Matthew Parker’s </w:t>
      </w:r>
      <w:proofErr w:type="gramStart"/>
      <w:r w:rsidRPr="003037D2">
        <w:rPr>
          <w:rFonts w:ascii="Garamond" w:eastAsia="Calibri" w:hAnsi="Garamond" w:cs="Times New Roman"/>
          <w:i/>
          <w:iCs/>
        </w:rPr>
        <w:t>The</w:t>
      </w:r>
      <w:proofErr w:type="gramEnd"/>
      <w:r w:rsidRPr="003037D2">
        <w:rPr>
          <w:rFonts w:ascii="Garamond" w:eastAsia="Calibri" w:hAnsi="Garamond" w:cs="Times New Roman"/>
          <w:i/>
          <w:iCs/>
        </w:rPr>
        <w:t xml:space="preserve"> Whole Psalter translated into English </w:t>
      </w:r>
      <w:proofErr w:type="spellStart"/>
      <w:r w:rsidRPr="003037D2">
        <w:rPr>
          <w:rFonts w:ascii="Garamond" w:eastAsia="Calibri" w:hAnsi="Garamond" w:cs="Times New Roman"/>
          <w:i/>
          <w:iCs/>
        </w:rPr>
        <w:t>Metre</w:t>
      </w:r>
      <w:proofErr w:type="spellEnd"/>
      <w:r w:rsidRPr="003037D2">
        <w:rPr>
          <w:rFonts w:ascii="Garamond" w:eastAsia="Calibri" w:hAnsi="Garamond" w:cs="Times New Roman"/>
          <w:i/>
          <w:iCs/>
        </w:rPr>
        <w:t xml:space="preserve"> </w:t>
      </w:r>
      <w:r w:rsidRPr="003037D2">
        <w:rPr>
          <w:rFonts w:ascii="Garamond" w:eastAsia="Calibri" w:hAnsi="Garamond" w:cs="Times New Roman"/>
        </w:rPr>
        <w:t xml:space="preserve">(1567) and the Genevan </w:t>
      </w:r>
      <w:r w:rsidRPr="003037D2">
        <w:rPr>
          <w:rFonts w:ascii="Garamond" w:eastAsia="Calibri" w:hAnsi="Garamond" w:cs="Times New Roman"/>
          <w:i/>
        </w:rPr>
        <w:t xml:space="preserve">Whole </w:t>
      </w:r>
      <w:proofErr w:type="spellStart"/>
      <w:r w:rsidRPr="003037D2">
        <w:rPr>
          <w:rFonts w:ascii="Garamond" w:eastAsia="Calibri" w:hAnsi="Garamond" w:cs="Times New Roman"/>
          <w:i/>
        </w:rPr>
        <w:t>Booke</w:t>
      </w:r>
      <w:proofErr w:type="spellEnd"/>
      <w:r w:rsidRPr="003037D2">
        <w:rPr>
          <w:rFonts w:ascii="Garamond" w:eastAsia="Calibri" w:hAnsi="Garamond" w:cs="Times New Roman"/>
          <w:i/>
        </w:rPr>
        <w:t xml:space="preserve"> of Psalms</w:t>
      </w:r>
      <w:r w:rsidRPr="003037D2">
        <w:rPr>
          <w:rFonts w:ascii="Garamond" w:eastAsia="Calibri" w:hAnsi="Garamond" w:cs="Times New Roman"/>
        </w:rPr>
        <w:t xml:space="preserve">, explained ‘how, and in what manner ye may use the Psalms’. Each psalm is </w:t>
      </w:r>
      <w:proofErr w:type="spellStart"/>
      <w:r w:rsidRPr="003037D2">
        <w:rPr>
          <w:rFonts w:ascii="Garamond" w:eastAsia="Calibri" w:hAnsi="Garamond" w:cs="Times New Roman"/>
        </w:rPr>
        <w:t>categorised</w:t>
      </w:r>
      <w:proofErr w:type="spellEnd"/>
      <w:r w:rsidRPr="003037D2">
        <w:rPr>
          <w:rFonts w:ascii="Garamond" w:eastAsia="Calibri" w:hAnsi="Garamond" w:cs="Times New Roman"/>
        </w:rPr>
        <w:t xml:space="preserve"> as ‘Prophetic; </w:t>
      </w:r>
      <w:proofErr w:type="spellStart"/>
      <w:r w:rsidRPr="003037D2">
        <w:rPr>
          <w:rFonts w:ascii="Garamond" w:eastAsia="Calibri" w:hAnsi="Garamond" w:cs="Times New Roman"/>
        </w:rPr>
        <w:t>Eudition</w:t>
      </w:r>
      <w:proofErr w:type="spellEnd"/>
      <w:r w:rsidRPr="003037D2">
        <w:rPr>
          <w:rFonts w:ascii="Garamond" w:eastAsia="Calibri" w:hAnsi="Garamond" w:cs="Times New Roman"/>
        </w:rPr>
        <w:t xml:space="preserve">; Consolation; </w:t>
      </w:r>
      <w:proofErr w:type="spellStart"/>
      <w:r w:rsidRPr="003037D2">
        <w:rPr>
          <w:rFonts w:ascii="Garamond" w:eastAsia="Calibri" w:hAnsi="Garamond" w:cs="Times New Roman"/>
        </w:rPr>
        <w:t>Precatori</w:t>
      </w:r>
      <w:proofErr w:type="spellEnd"/>
      <w:r w:rsidRPr="003037D2">
        <w:rPr>
          <w:rFonts w:ascii="Garamond" w:eastAsia="Calibri" w:hAnsi="Garamond" w:cs="Times New Roman"/>
        </w:rPr>
        <w:t xml:space="preserve"> [prayer]; Eucharistic; [or] </w:t>
      </w:r>
      <w:proofErr w:type="spellStart"/>
      <w:r w:rsidRPr="003037D2">
        <w:rPr>
          <w:rFonts w:ascii="Garamond" w:eastAsia="Calibri" w:hAnsi="Garamond" w:cs="Times New Roman"/>
        </w:rPr>
        <w:t>Mixti</w:t>
      </w:r>
      <w:proofErr w:type="spellEnd"/>
      <w:r w:rsidRPr="003037D2">
        <w:rPr>
          <w:rFonts w:ascii="Garamond" w:eastAsia="Calibri" w:hAnsi="Garamond" w:cs="Times New Roman"/>
        </w:rPr>
        <w:t xml:space="preserve">’, demonstrating to the reader, and singer, the various ways in which these texts can be used. Athanasius’ directions for the use of the Psalms demonstrate that, whilst they were often praised as being timeless and eternal, the Psalms were also considered occasional, with certain ones suited for </w:t>
      </w:r>
      <w:proofErr w:type="gramStart"/>
      <w:r w:rsidRPr="003037D2">
        <w:rPr>
          <w:rFonts w:ascii="Garamond" w:eastAsia="Calibri" w:hAnsi="Garamond" w:cs="Times New Roman"/>
        </w:rPr>
        <w:t>particular times</w:t>
      </w:r>
      <w:proofErr w:type="gramEnd"/>
      <w:r w:rsidRPr="003037D2">
        <w:rPr>
          <w:rFonts w:ascii="Garamond" w:eastAsia="Calibri" w:hAnsi="Garamond" w:cs="Times New Roman"/>
        </w:rPr>
        <w:t xml:space="preserve">. Athanasius describes them collectively as, a ‘fit form of words wherewith to please the Lord on </w:t>
      </w:r>
      <w:r w:rsidRPr="003037D2">
        <w:rPr>
          <w:rFonts w:ascii="Garamond" w:eastAsia="Calibri" w:hAnsi="Garamond" w:cs="Times New Roman"/>
          <w:i/>
        </w:rPr>
        <w:t>each of life's occasions</w:t>
      </w:r>
      <w:r w:rsidRPr="003037D2">
        <w:rPr>
          <w:rFonts w:ascii="Garamond" w:eastAsia="Calibri" w:hAnsi="Garamond" w:cs="Times New Roman"/>
        </w:rPr>
        <w:t>, words both of repentance and of thankfulness’.</w:t>
      </w:r>
      <w:r w:rsidRPr="003037D2">
        <w:rPr>
          <w:rFonts w:ascii="Garamond" w:eastAsia="Calibri" w:hAnsi="Garamond" w:cs="Times New Roman"/>
          <w:vertAlign w:val="superscript"/>
        </w:rPr>
        <w:footnoteReference w:id="231"/>
      </w:r>
      <w:r w:rsidRPr="003037D2">
        <w:rPr>
          <w:rFonts w:ascii="Garamond" w:eastAsia="Calibri" w:hAnsi="Garamond" w:cs="Times New Roman"/>
        </w:rPr>
        <w:t xml:space="preserve"> Appropriating a psalm is therefore always an act which will generate a creatively fertile temporal disjunction between the timeless and the occasional. </w:t>
      </w:r>
    </w:p>
    <w:p w14:paraId="23ACA185" w14:textId="77777777" w:rsidR="00162224" w:rsidRPr="003037D2" w:rsidRDefault="00162224" w:rsidP="00162224">
      <w:pPr>
        <w:spacing w:line="360" w:lineRule="auto"/>
        <w:rPr>
          <w:rFonts w:ascii="Garamond" w:eastAsia="Calibri" w:hAnsi="Garamond" w:cs="Times New Roman"/>
        </w:rPr>
      </w:pPr>
    </w:p>
    <w:p w14:paraId="6715EC95" w14:textId="096DFF86" w:rsidR="00162224" w:rsidRPr="003037D2" w:rsidRDefault="00162224" w:rsidP="002F1250">
      <w:pPr>
        <w:spacing w:line="360" w:lineRule="auto"/>
        <w:ind w:firstLine="720"/>
        <w:rPr>
          <w:rFonts w:ascii="Garamond" w:eastAsia="Calibri" w:hAnsi="Garamond" w:cs="Times New Roman"/>
        </w:rPr>
      </w:pPr>
      <w:r w:rsidRPr="003037D2">
        <w:rPr>
          <w:rFonts w:ascii="Garamond" w:eastAsia="Calibri" w:hAnsi="Garamond" w:cs="Times New Roman"/>
        </w:rPr>
        <w:t xml:space="preserve">The sixteenth-century Protestant mission has become synonymous with the project of producing vernacular biblical translations. We see the Reformation as a </w:t>
      </w:r>
      <w:r w:rsidRPr="003037D2">
        <w:rPr>
          <w:rFonts w:ascii="Garamond" w:eastAsia="Calibri" w:hAnsi="Garamond" w:cs="Times New Roman"/>
          <w:i/>
        </w:rPr>
        <w:t>re-formation</w:t>
      </w:r>
      <w:r w:rsidRPr="003037D2">
        <w:rPr>
          <w:rFonts w:ascii="Garamond" w:eastAsia="Calibri" w:hAnsi="Garamond" w:cs="Times New Roman"/>
        </w:rPr>
        <w:t xml:space="preserve"> of ‘the Word’. As Hannibal Hamlin states, the Reformation ‘sanctioned and even demanded vernacular translations of the Bible’.</w:t>
      </w:r>
      <w:r w:rsidRPr="003037D2">
        <w:rPr>
          <w:rFonts w:ascii="Garamond" w:eastAsia="Calibri" w:hAnsi="Garamond" w:cs="Times New Roman"/>
          <w:vertAlign w:val="superscript"/>
        </w:rPr>
        <w:footnoteReference w:id="232"/>
      </w:r>
      <w:r w:rsidRPr="003037D2">
        <w:rPr>
          <w:rFonts w:ascii="Garamond" w:eastAsia="Calibri" w:hAnsi="Garamond" w:cs="Times New Roman"/>
        </w:rPr>
        <w:t xml:space="preserve"> The history of religion is reconstructed through the history of religious books.</w:t>
      </w:r>
      <w:r w:rsidRPr="003037D2">
        <w:rPr>
          <w:rFonts w:ascii="Garamond" w:eastAsia="Calibri" w:hAnsi="Garamond" w:cs="Times New Roman"/>
          <w:vertAlign w:val="superscript"/>
        </w:rPr>
        <w:footnoteReference w:id="233"/>
      </w:r>
      <w:r w:rsidRPr="003037D2">
        <w:rPr>
          <w:rFonts w:ascii="Garamond" w:eastAsia="Calibri" w:hAnsi="Garamond" w:cs="Times New Roman"/>
        </w:rPr>
        <w:t xml:space="preserve"> Of all the books of the Bible, </w:t>
      </w:r>
      <w:r w:rsidRPr="003037D2">
        <w:rPr>
          <w:rFonts w:ascii="Garamond" w:eastAsia="Calibri" w:hAnsi="Garamond" w:cs="Times New Roman"/>
        </w:rPr>
        <w:lastRenderedPageBreak/>
        <w:t>Psalms was the most translated and read.</w:t>
      </w:r>
      <w:r w:rsidRPr="003037D2">
        <w:rPr>
          <w:rFonts w:ascii="Garamond" w:eastAsia="Calibri" w:hAnsi="Garamond" w:cs="Times New Roman"/>
          <w:vertAlign w:val="superscript"/>
        </w:rPr>
        <w:footnoteReference w:id="234"/>
      </w:r>
      <w:r w:rsidRPr="003037D2">
        <w:rPr>
          <w:rFonts w:ascii="Garamond" w:eastAsia="Calibri" w:hAnsi="Garamond" w:cs="Times New Roman"/>
        </w:rPr>
        <w:t xml:space="preserve"> In 1530, George </w:t>
      </w:r>
      <w:proofErr w:type="spellStart"/>
      <w:r w:rsidRPr="003037D2">
        <w:rPr>
          <w:rFonts w:ascii="Garamond" w:eastAsia="Calibri" w:hAnsi="Garamond" w:cs="Times New Roman"/>
        </w:rPr>
        <w:t>Joye</w:t>
      </w:r>
      <w:proofErr w:type="spellEnd"/>
      <w:r w:rsidRPr="003037D2">
        <w:rPr>
          <w:rFonts w:ascii="Garamond" w:eastAsia="Calibri" w:hAnsi="Garamond" w:cs="Times New Roman"/>
        </w:rPr>
        <w:t xml:space="preserve"> printed the first English version of ‘the </w:t>
      </w:r>
      <w:proofErr w:type="spellStart"/>
      <w:r w:rsidRPr="003037D2">
        <w:rPr>
          <w:rFonts w:ascii="Garamond" w:eastAsia="Calibri" w:hAnsi="Garamond" w:cs="Times New Roman"/>
        </w:rPr>
        <w:t>trowth</w:t>
      </w:r>
      <w:proofErr w:type="spellEnd"/>
      <w:r w:rsidRPr="003037D2">
        <w:rPr>
          <w:rFonts w:ascii="Garamond" w:eastAsia="Calibri" w:hAnsi="Garamond" w:cs="Times New Roman"/>
        </w:rPr>
        <w:t xml:space="preserve"> of the Psalms’, ‘purely and faithfully translated after the </w:t>
      </w:r>
      <w:proofErr w:type="spellStart"/>
      <w:r w:rsidRPr="003037D2">
        <w:rPr>
          <w:rFonts w:ascii="Garamond" w:eastAsia="Calibri" w:hAnsi="Garamond" w:cs="Times New Roman"/>
        </w:rPr>
        <w:t>texte</w:t>
      </w:r>
      <w:proofErr w:type="spellEnd"/>
      <w:r w:rsidRPr="003037D2">
        <w:rPr>
          <w:rFonts w:ascii="Garamond" w:eastAsia="Calibri" w:hAnsi="Garamond" w:cs="Times New Roman"/>
        </w:rPr>
        <w:t xml:space="preserve"> of Feline’ from the ‘</w:t>
      </w:r>
      <w:proofErr w:type="spellStart"/>
      <w:r w:rsidRPr="003037D2">
        <w:rPr>
          <w:rFonts w:ascii="Garamond" w:eastAsia="Calibri" w:hAnsi="Garamond" w:cs="Times New Roman"/>
        </w:rPr>
        <w:t>Ebrue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veritie</w:t>
      </w:r>
      <w:proofErr w:type="spellEnd"/>
      <w:r w:rsidRPr="003037D2">
        <w:rPr>
          <w:rFonts w:ascii="Garamond" w:eastAsia="Calibri" w:hAnsi="Garamond" w:cs="Times New Roman"/>
        </w:rPr>
        <w:t xml:space="preserve"> in which </w:t>
      </w:r>
      <w:proofErr w:type="spellStart"/>
      <w:r w:rsidRPr="003037D2">
        <w:rPr>
          <w:rFonts w:ascii="Garamond" w:eastAsia="Calibri" w:hAnsi="Garamond" w:cs="Times New Roman"/>
        </w:rPr>
        <w:t>tonge</w:t>
      </w:r>
      <w:proofErr w:type="spellEnd"/>
      <w:r w:rsidRPr="003037D2">
        <w:rPr>
          <w:rFonts w:ascii="Garamond" w:eastAsia="Calibri" w:hAnsi="Garamond" w:cs="Times New Roman"/>
        </w:rPr>
        <w:t xml:space="preserve"> David with the other </w:t>
      </w:r>
      <w:proofErr w:type="spellStart"/>
      <w:r w:rsidRPr="003037D2">
        <w:rPr>
          <w:rFonts w:ascii="Garamond" w:eastAsia="Calibri" w:hAnsi="Garamond" w:cs="Times New Roman"/>
        </w:rPr>
        <w:t>syngers</w:t>
      </w:r>
      <w:proofErr w:type="spellEnd"/>
      <w:r w:rsidRPr="003037D2">
        <w:rPr>
          <w:rFonts w:ascii="Garamond" w:eastAsia="Calibri" w:hAnsi="Garamond" w:cs="Times New Roman"/>
        </w:rPr>
        <w:t xml:space="preserve"> of the </w:t>
      </w:r>
      <w:proofErr w:type="spellStart"/>
      <w:r w:rsidRPr="003037D2">
        <w:rPr>
          <w:rFonts w:ascii="Garamond" w:eastAsia="Calibri" w:hAnsi="Garamond" w:cs="Times New Roman"/>
        </w:rPr>
        <w:t>Psalmes</w:t>
      </w:r>
      <w:proofErr w:type="spellEnd"/>
      <w:r w:rsidRPr="003037D2">
        <w:rPr>
          <w:rFonts w:ascii="Garamond" w:eastAsia="Calibri" w:hAnsi="Garamond" w:cs="Times New Roman"/>
        </w:rPr>
        <w:t xml:space="preserve"> first </w:t>
      </w:r>
      <w:proofErr w:type="spellStart"/>
      <w:r w:rsidRPr="003037D2">
        <w:rPr>
          <w:rFonts w:ascii="Garamond" w:eastAsia="Calibri" w:hAnsi="Garamond" w:cs="Times New Roman"/>
        </w:rPr>
        <w:t>sunge</w:t>
      </w:r>
      <w:proofErr w:type="spellEnd"/>
      <w:r w:rsidRPr="003037D2">
        <w:rPr>
          <w:rFonts w:ascii="Garamond" w:eastAsia="Calibri" w:hAnsi="Garamond" w:cs="Times New Roman"/>
        </w:rPr>
        <w:t xml:space="preserve"> them’.</w:t>
      </w:r>
      <w:r w:rsidRPr="003037D2">
        <w:rPr>
          <w:rFonts w:ascii="Garamond" w:eastAsia="Calibri" w:hAnsi="Garamond" w:cs="Times New Roman"/>
          <w:vertAlign w:val="superscript"/>
        </w:rPr>
        <w:footnoteReference w:id="235"/>
      </w:r>
      <w:r w:rsidRPr="003037D2">
        <w:rPr>
          <w:rFonts w:ascii="Garamond" w:eastAsia="Calibri" w:hAnsi="Garamond" w:cs="Times New Roman"/>
        </w:rPr>
        <w:t xml:space="preserve"> In the seventy years following </w:t>
      </w:r>
      <w:proofErr w:type="spellStart"/>
      <w:r w:rsidRPr="003037D2">
        <w:rPr>
          <w:rFonts w:ascii="Garamond" w:eastAsia="Calibri" w:hAnsi="Garamond" w:cs="Times New Roman"/>
        </w:rPr>
        <w:t>Joye’s</w:t>
      </w:r>
      <w:proofErr w:type="spellEnd"/>
      <w:r w:rsidRPr="003037D2">
        <w:rPr>
          <w:rFonts w:ascii="Garamond" w:eastAsia="Calibri" w:hAnsi="Garamond" w:cs="Times New Roman"/>
        </w:rPr>
        <w:t xml:space="preserve"> edition, more than eighty different, newly translated English versions of the psalter would be printed, not to mention the numerous contemporary manuscript versions.</w:t>
      </w:r>
      <w:r w:rsidRPr="003037D2">
        <w:rPr>
          <w:rFonts w:ascii="Garamond" w:eastAsia="Calibri" w:hAnsi="Garamond" w:cs="Times New Roman"/>
          <w:vertAlign w:val="superscript"/>
        </w:rPr>
        <w:footnoteReference w:id="236"/>
      </w:r>
      <w:r w:rsidRPr="003037D2">
        <w:rPr>
          <w:rFonts w:ascii="Garamond" w:eastAsia="Calibri" w:hAnsi="Garamond" w:cs="Times New Roman"/>
        </w:rPr>
        <w:t xml:space="preserve"> John Donne’s verse ‘Upon the translation of the Psalms by Sir Philip Sidney, and the Countess of Pembroke, his Sister’ demonstrates that for him creating worthy vernacular translations was a necessity both for national pride and for the spiritual health of the country as a whole: </w:t>
      </w:r>
    </w:p>
    <w:p w14:paraId="4F21FAE7"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 xml:space="preserve">When I behold that these Psalms are become </w:t>
      </w:r>
    </w:p>
    <w:p w14:paraId="65A34389"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 xml:space="preserve">So well attired abroad, so ill at home, </w:t>
      </w:r>
    </w:p>
    <w:p w14:paraId="4362D3E2"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 xml:space="preserve">So well in chambers, in Thy Church so ill, </w:t>
      </w:r>
    </w:p>
    <w:p w14:paraId="41675B45"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 xml:space="preserve">As I can scarce call that </w:t>
      </w:r>
      <w:proofErr w:type="spellStart"/>
      <w:r w:rsidRPr="003037D2">
        <w:rPr>
          <w:rFonts w:ascii="Garamond" w:eastAsia="Calibri" w:hAnsi="Garamond" w:cs="Times New Roman"/>
        </w:rPr>
        <w:t>reform'd</w:t>
      </w:r>
      <w:proofErr w:type="spellEnd"/>
      <w:r w:rsidRPr="003037D2">
        <w:rPr>
          <w:rFonts w:ascii="Garamond" w:eastAsia="Calibri" w:hAnsi="Garamond" w:cs="Times New Roman"/>
        </w:rPr>
        <w:t xml:space="preserve"> until </w:t>
      </w:r>
    </w:p>
    <w:p w14:paraId="35253B90"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 xml:space="preserve">This be </w:t>
      </w:r>
      <w:proofErr w:type="spellStart"/>
      <w:r w:rsidRPr="003037D2">
        <w:rPr>
          <w:rFonts w:ascii="Garamond" w:eastAsia="Calibri" w:hAnsi="Garamond" w:cs="Times New Roman"/>
        </w:rPr>
        <w:t>reform'd</w:t>
      </w:r>
      <w:proofErr w:type="spellEnd"/>
      <w:r w:rsidRPr="003037D2">
        <w:rPr>
          <w:rFonts w:ascii="Garamond" w:eastAsia="Calibri" w:hAnsi="Garamond" w:cs="Times New Roman"/>
        </w:rPr>
        <w:t xml:space="preserve">; would a whole state present </w:t>
      </w:r>
    </w:p>
    <w:p w14:paraId="706AC074"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 xml:space="preserve">A lesser gift than some </w:t>
      </w:r>
      <w:proofErr w:type="gramStart"/>
      <w:r w:rsidRPr="003037D2">
        <w:rPr>
          <w:rFonts w:ascii="Garamond" w:eastAsia="Calibri" w:hAnsi="Garamond" w:cs="Times New Roman"/>
        </w:rPr>
        <w:t>one man</w:t>
      </w:r>
      <w:proofErr w:type="gramEnd"/>
      <w:r w:rsidRPr="003037D2">
        <w:rPr>
          <w:rFonts w:ascii="Garamond" w:eastAsia="Calibri" w:hAnsi="Garamond" w:cs="Times New Roman"/>
        </w:rPr>
        <w:t xml:space="preserve"> hath sent?</w:t>
      </w:r>
      <w:r w:rsidRPr="003037D2">
        <w:rPr>
          <w:rFonts w:ascii="Garamond" w:eastAsia="Calibri" w:hAnsi="Garamond" w:cs="Times New Roman"/>
          <w:vertAlign w:val="superscript"/>
        </w:rPr>
        <w:footnoteReference w:id="237"/>
      </w:r>
    </w:p>
    <w:p w14:paraId="4A66045F" w14:textId="77777777" w:rsidR="00162224" w:rsidRPr="003037D2" w:rsidRDefault="00162224" w:rsidP="00162224">
      <w:pPr>
        <w:spacing w:line="360" w:lineRule="auto"/>
        <w:rPr>
          <w:rFonts w:ascii="Garamond" w:eastAsia="Calibri" w:hAnsi="Garamond" w:cs="Times New Roman"/>
        </w:rPr>
      </w:pPr>
    </w:p>
    <w:p w14:paraId="46C28F72" w14:textId="77777777"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John Craig states that ‘it would be hard to overestimate the popularity of singing metrical psalms, and as difficult to estimate the influence that these verses had upon popular Protestantism’.</w:t>
      </w:r>
      <w:r w:rsidRPr="003037D2">
        <w:rPr>
          <w:rFonts w:ascii="Garamond" w:eastAsia="Calibri" w:hAnsi="Garamond" w:cs="Times New Roman"/>
          <w:vertAlign w:val="superscript"/>
        </w:rPr>
        <w:footnoteReference w:id="238"/>
      </w:r>
      <w:r w:rsidRPr="003037D2">
        <w:rPr>
          <w:rFonts w:ascii="Garamond" w:eastAsia="Calibri" w:hAnsi="Garamond" w:cs="Times New Roman"/>
        </w:rPr>
        <w:t xml:space="preserve"> Since </w:t>
      </w:r>
      <w:proofErr w:type="spellStart"/>
      <w:r w:rsidRPr="003037D2">
        <w:rPr>
          <w:rFonts w:ascii="Garamond" w:eastAsia="Calibri" w:hAnsi="Garamond" w:cs="Times New Roman"/>
        </w:rPr>
        <w:t>Rivkah</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Zim’s</w:t>
      </w:r>
      <w:proofErr w:type="spellEnd"/>
      <w:r w:rsidRPr="003037D2">
        <w:rPr>
          <w:rFonts w:ascii="Garamond" w:eastAsia="Calibri" w:hAnsi="Garamond" w:cs="Times New Roman"/>
        </w:rPr>
        <w:t xml:space="preserve"> ground-breaking 1987 study of psalm culture, which rehabilitated them as literary works, scholars have examined the Psalms from a variety of viewpoints, establishing their importance in church musical practice, their place in the home, and how they were transmitted across the Atlantic.</w:t>
      </w:r>
      <w:r w:rsidRPr="003037D2">
        <w:rPr>
          <w:rFonts w:ascii="Garamond" w:eastAsia="Calibri" w:hAnsi="Garamond" w:cs="Times New Roman"/>
          <w:vertAlign w:val="superscript"/>
        </w:rPr>
        <w:footnoteReference w:id="239"/>
      </w:r>
      <w:r w:rsidRPr="003037D2">
        <w:rPr>
          <w:rFonts w:ascii="Garamond" w:eastAsia="Calibri" w:hAnsi="Garamond" w:cs="Times New Roman"/>
        </w:rPr>
        <w:t xml:space="preserve"> In 2015 </w:t>
      </w:r>
      <w:r w:rsidRPr="003037D2">
        <w:rPr>
          <w:rFonts w:ascii="Garamond" w:eastAsia="Calibri" w:hAnsi="Garamond" w:cs="Times New Roman"/>
          <w:i/>
        </w:rPr>
        <w:t xml:space="preserve">Renaissance Studies </w:t>
      </w:r>
      <w:r w:rsidRPr="003037D2">
        <w:rPr>
          <w:rFonts w:ascii="Garamond" w:eastAsia="Calibri" w:hAnsi="Garamond" w:cs="Times New Roman"/>
        </w:rPr>
        <w:t xml:space="preserve">published a special issue, ‘Re-forming the Psalms in Tudor England’, which took a holistic view of the role that psalms as cultural artefacts played in ongoing </w:t>
      </w:r>
      <w:r w:rsidRPr="003037D2">
        <w:rPr>
          <w:rFonts w:ascii="Garamond" w:eastAsia="Calibri" w:hAnsi="Garamond" w:cs="Times New Roman"/>
        </w:rPr>
        <w:lastRenderedPageBreak/>
        <w:t>religious and social change.</w:t>
      </w:r>
      <w:r w:rsidRPr="003037D2">
        <w:rPr>
          <w:rFonts w:ascii="Garamond" w:eastAsia="Calibri" w:hAnsi="Garamond" w:cs="Times New Roman"/>
          <w:vertAlign w:val="superscript"/>
        </w:rPr>
        <w:footnoteReference w:id="240"/>
      </w:r>
      <w:r w:rsidRPr="003037D2">
        <w:rPr>
          <w:rFonts w:ascii="Garamond" w:eastAsia="Calibri" w:hAnsi="Garamond" w:cs="Times New Roman"/>
        </w:rPr>
        <w:t xml:space="preserve"> In the wake of this essential </w:t>
      </w:r>
      <w:proofErr w:type="spellStart"/>
      <w:r w:rsidRPr="003037D2">
        <w:rPr>
          <w:rFonts w:ascii="Garamond" w:eastAsia="Calibri" w:hAnsi="Garamond" w:cs="Times New Roman"/>
        </w:rPr>
        <w:t>contextualising</w:t>
      </w:r>
      <w:proofErr w:type="spellEnd"/>
      <w:r w:rsidRPr="003037D2">
        <w:rPr>
          <w:rFonts w:ascii="Garamond" w:eastAsia="Calibri" w:hAnsi="Garamond" w:cs="Times New Roman"/>
        </w:rPr>
        <w:t xml:space="preserve"> work, we can now approach psalm translations with a narrower focus. </w:t>
      </w:r>
    </w:p>
    <w:p w14:paraId="3105E793" w14:textId="77777777" w:rsidR="00162224" w:rsidRPr="003037D2" w:rsidRDefault="00162224" w:rsidP="00162224">
      <w:pPr>
        <w:spacing w:line="360" w:lineRule="auto"/>
        <w:rPr>
          <w:rFonts w:ascii="Garamond" w:eastAsia="Calibri" w:hAnsi="Garamond" w:cs="Times New Roman"/>
        </w:rPr>
      </w:pPr>
    </w:p>
    <w:p w14:paraId="4A91C01A" w14:textId="77777777"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Walter Reed argues that the starting point of the Psalms is ‘wisdom’. He sees them as the site in which ‘the formal diversity of biblical wisdom finds its thematic rationale’, as each psalm seems to express the first-person view of a particular individual, or indeed the changing thoughts of one individual, King David.</w:t>
      </w:r>
      <w:r w:rsidRPr="003037D2">
        <w:rPr>
          <w:rFonts w:ascii="Garamond" w:eastAsia="Calibri" w:hAnsi="Garamond" w:cs="Times New Roman"/>
          <w:vertAlign w:val="superscript"/>
        </w:rPr>
        <w:footnoteReference w:id="241"/>
      </w:r>
      <w:r w:rsidRPr="003037D2">
        <w:rPr>
          <w:rFonts w:ascii="Garamond" w:eastAsia="Calibri" w:hAnsi="Garamond" w:cs="Times New Roman"/>
        </w:rPr>
        <w:t xml:space="preserve"> However, the psalter was also a crucial element of communal worship, sung in churches on a weekly basis. In this chapter, I explore this tension between public, communal worship scheduled at </w:t>
      </w:r>
      <w:proofErr w:type="gramStart"/>
      <w:r w:rsidRPr="003037D2">
        <w:rPr>
          <w:rFonts w:ascii="Garamond" w:eastAsia="Calibri" w:hAnsi="Garamond" w:cs="Times New Roman"/>
        </w:rPr>
        <w:t>particular times</w:t>
      </w:r>
      <w:proofErr w:type="gramEnd"/>
      <w:r w:rsidRPr="003037D2">
        <w:rPr>
          <w:rFonts w:ascii="Garamond" w:eastAsia="Calibri" w:hAnsi="Garamond" w:cs="Times New Roman"/>
        </w:rPr>
        <w:t xml:space="preserve"> and private, self-directed contemplation</w:t>
      </w:r>
      <w:r w:rsidRPr="003037D2">
        <w:rPr>
          <w:rFonts w:ascii="Garamond" w:eastAsia="Calibri" w:hAnsi="Garamond" w:cs="Times New Roman"/>
          <w:i/>
          <w:iCs/>
        </w:rPr>
        <w:t xml:space="preserve">. </w:t>
      </w:r>
      <w:r w:rsidRPr="003037D2">
        <w:rPr>
          <w:rFonts w:ascii="Garamond" w:eastAsia="Calibri" w:hAnsi="Garamond" w:cs="Times New Roman"/>
        </w:rPr>
        <w:t>These different worship practices operate in different time frames: one ordained from above by church hierarchies as part of the structure of the Christian week and year, and one prompted by internal emotional needs.</w:t>
      </w:r>
      <w:r w:rsidRPr="003037D2">
        <w:rPr>
          <w:rFonts w:ascii="Garamond" w:eastAsia="Calibri" w:hAnsi="Garamond" w:cs="Times New Roman"/>
          <w:i/>
          <w:iCs/>
        </w:rPr>
        <w:t xml:space="preserve"> </w:t>
      </w:r>
      <w:r w:rsidRPr="003037D2">
        <w:rPr>
          <w:rFonts w:ascii="Garamond" w:eastAsia="Calibri" w:hAnsi="Garamond" w:cs="Times New Roman"/>
        </w:rPr>
        <w:t xml:space="preserve">I examine both psalm translation aimed for public use, by Matthew Parker, and those which operate in the lyric mode, specifically Anne Lock’s </w:t>
      </w:r>
      <w:r w:rsidRPr="003037D2">
        <w:rPr>
          <w:rFonts w:ascii="Garamond" w:eastAsia="Calibri" w:hAnsi="Garamond" w:cs="Times New Roman"/>
          <w:i/>
          <w:iCs/>
        </w:rPr>
        <w:t xml:space="preserve">Meditation of a Penitent Sinner </w:t>
      </w:r>
      <w:r w:rsidRPr="003037D2">
        <w:rPr>
          <w:rFonts w:ascii="Garamond" w:eastAsia="Calibri" w:hAnsi="Garamond" w:cs="Times New Roman"/>
        </w:rPr>
        <w:t>(1560) and</w:t>
      </w:r>
      <w:r w:rsidRPr="003037D2">
        <w:rPr>
          <w:rFonts w:ascii="Garamond" w:eastAsia="Calibri" w:hAnsi="Garamond" w:cs="Times New Roman"/>
          <w:i/>
          <w:iCs/>
        </w:rPr>
        <w:t xml:space="preserve"> </w:t>
      </w:r>
      <w:r w:rsidRPr="003037D2">
        <w:rPr>
          <w:rFonts w:ascii="Garamond" w:eastAsia="Calibri" w:hAnsi="Garamond" w:cs="Times New Roman"/>
        </w:rPr>
        <w:t>the Sidney Psalter.</w:t>
      </w:r>
      <w:r w:rsidRPr="003037D2">
        <w:rPr>
          <w:rFonts w:ascii="Garamond" w:eastAsia="Calibri" w:hAnsi="Garamond" w:cs="Times New Roman"/>
          <w:vertAlign w:val="superscript"/>
        </w:rPr>
        <w:footnoteReference w:id="242"/>
      </w:r>
      <w:r w:rsidRPr="003037D2">
        <w:rPr>
          <w:rFonts w:ascii="Garamond" w:eastAsia="Calibri" w:hAnsi="Garamond" w:cs="Times New Roman"/>
        </w:rPr>
        <w:t xml:space="preserve"> With reference to Parker’s </w:t>
      </w:r>
      <w:proofErr w:type="spellStart"/>
      <w:r w:rsidRPr="003037D2">
        <w:rPr>
          <w:rFonts w:ascii="Garamond" w:eastAsia="Calibri" w:hAnsi="Garamond" w:cs="Times New Roman"/>
        </w:rPr>
        <w:t>psalmic</w:t>
      </w:r>
      <w:proofErr w:type="spellEnd"/>
      <w:r w:rsidRPr="003037D2">
        <w:rPr>
          <w:rFonts w:ascii="Garamond" w:eastAsia="Calibri" w:hAnsi="Garamond" w:cs="Times New Roman"/>
        </w:rPr>
        <w:t xml:space="preserve"> and biblical translations I argue that translating psalms could be part of a wider project of </w:t>
      </w:r>
      <w:proofErr w:type="spellStart"/>
      <w:r w:rsidRPr="003037D2">
        <w:rPr>
          <w:rFonts w:ascii="Garamond" w:eastAsia="Calibri" w:hAnsi="Garamond" w:cs="Times New Roman"/>
        </w:rPr>
        <w:t>historicising</w:t>
      </w:r>
      <w:proofErr w:type="spellEnd"/>
      <w:r w:rsidRPr="003037D2">
        <w:rPr>
          <w:rFonts w:ascii="Garamond" w:eastAsia="Calibri" w:hAnsi="Garamond" w:cs="Times New Roman"/>
        </w:rPr>
        <w:t xml:space="preserve"> Protestantism: providing a lineage for the new Church that </w:t>
      </w:r>
      <w:proofErr w:type="spellStart"/>
      <w:r w:rsidRPr="003037D2">
        <w:rPr>
          <w:rFonts w:ascii="Garamond" w:eastAsia="Calibri" w:hAnsi="Garamond" w:cs="Times New Roman"/>
        </w:rPr>
        <w:t>legitimised</w:t>
      </w:r>
      <w:proofErr w:type="spellEnd"/>
      <w:r w:rsidRPr="003037D2">
        <w:rPr>
          <w:rFonts w:ascii="Garamond" w:eastAsia="Calibri" w:hAnsi="Garamond" w:cs="Times New Roman"/>
        </w:rPr>
        <w:t xml:space="preserve"> it by connecting it back to the rule of King David. However, the psalmist’s voice also provided a model for deeply personal lyric communication of inner turmoil.</w:t>
      </w:r>
      <w:r w:rsidRPr="003037D2">
        <w:rPr>
          <w:rFonts w:ascii="Garamond" w:eastAsia="Calibri" w:hAnsi="Garamond" w:cs="Times New Roman"/>
          <w:vertAlign w:val="superscript"/>
        </w:rPr>
        <w:footnoteReference w:id="243"/>
      </w:r>
      <w:r w:rsidRPr="003037D2">
        <w:rPr>
          <w:rFonts w:ascii="Garamond" w:eastAsia="Calibri" w:hAnsi="Garamond" w:cs="Times New Roman"/>
        </w:rPr>
        <w:t xml:space="preserve"> It is in this mode that Anne Lock and Mary Sidney Herbert reinterpreted Psalm 51, creating poems which encapsulated the complex temporal process of repentance. I explore how individuating a speech act, by taking the words of a psalm as your own could correspond to </w:t>
      </w:r>
      <w:proofErr w:type="spellStart"/>
      <w:r w:rsidRPr="003037D2">
        <w:rPr>
          <w:rFonts w:ascii="Garamond" w:eastAsia="Calibri" w:hAnsi="Garamond" w:cs="Times New Roman"/>
        </w:rPr>
        <w:t>individualising</w:t>
      </w:r>
      <w:proofErr w:type="spellEnd"/>
      <w:r w:rsidRPr="003037D2">
        <w:rPr>
          <w:rFonts w:ascii="Garamond" w:eastAsia="Calibri" w:hAnsi="Garamond" w:cs="Times New Roman"/>
        </w:rPr>
        <w:t xml:space="preserve"> time, allowing for a point of contact with an eternal </w:t>
      </w:r>
      <w:r w:rsidRPr="003037D2">
        <w:rPr>
          <w:rFonts w:ascii="Garamond" w:eastAsia="Calibri" w:hAnsi="Garamond" w:cs="Times New Roman"/>
        </w:rPr>
        <w:lastRenderedPageBreak/>
        <w:t xml:space="preserve">God. As Parker wrote, ‘If </w:t>
      </w:r>
      <w:proofErr w:type="spellStart"/>
      <w:r w:rsidRPr="003037D2">
        <w:rPr>
          <w:rFonts w:ascii="Garamond" w:eastAsia="Calibri" w:hAnsi="Garamond" w:cs="Times New Roman"/>
        </w:rPr>
        <w:t>Dauids</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Psalmes</w:t>
      </w:r>
      <w:proofErr w:type="spellEnd"/>
      <w:r w:rsidRPr="003037D2">
        <w:rPr>
          <w:rFonts w:ascii="Garamond" w:eastAsia="Calibri" w:hAnsi="Garamond" w:cs="Times New Roman"/>
        </w:rPr>
        <w:t xml:space="preserve">: thou </w:t>
      </w:r>
      <w:proofErr w:type="spellStart"/>
      <w:r w:rsidRPr="003037D2">
        <w:rPr>
          <w:rFonts w:ascii="Garamond" w:eastAsia="Calibri" w:hAnsi="Garamond" w:cs="Times New Roman"/>
        </w:rPr>
        <w:t>makest</w:t>
      </w:r>
      <w:proofErr w:type="spellEnd"/>
      <w:r w:rsidRPr="003037D2">
        <w:rPr>
          <w:rFonts w:ascii="Garamond" w:eastAsia="Calibri" w:hAnsi="Garamond" w:cs="Times New Roman"/>
        </w:rPr>
        <w:t xml:space="preserve"> thine </w:t>
      </w:r>
      <w:proofErr w:type="spellStart"/>
      <w:r w:rsidRPr="003037D2">
        <w:rPr>
          <w:rFonts w:ascii="Garamond" w:eastAsia="Calibri" w:hAnsi="Garamond" w:cs="Times New Roman"/>
        </w:rPr>
        <w:t>owne</w:t>
      </w:r>
      <w:proofErr w:type="spellEnd"/>
      <w:r w:rsidRPr="003037D2">
        <w:rPr>
          <w:rFonts w:ascii="Garamond" w:eastAsia="Calibri" w:hAnsi="Garamond" w:cs="Times New Roman"/>
        </w:rPr>
        <w:t xml:space="preserve">, Thy </w:t>
      </w:r>
      <w:proofErr w:type="spellStart"/>
      <w:r w:rsidRPr="003037D2">
        <w:rPr>
          <w:rFonts w:ascii="Garamond" w:eastAsia="Calibri" w:hAnsi="Garamond" w:cs="Times New Roman"/>
        </w:rPr>
        <w:t>soyle</w:t>
      </w:r>
      <w:proofErr w:type="spellEnd"/>
      <w:r w:rsidRPr="003037D2">
        <w:rPr>
          <w:rFonts w:ascii="Garamond" w:eastAsia="Calibri" w:hAnsi="Garamond" w:cs="Times New Roman"/>
        </w:rPr>
        <w:t xml:space="preserve"> must </w:t>
      </w:r>
      <w:proofErr w:type="spellStart"/>
      <w:r w:rsidRPr="003037D2">
        <w:rPr>
          <w:rFonts w:ascii="Garamond" w:eastAsia="Calibri" w:hAnsi="Garamond" w:cs="Times New Roman"/>
        </w:rPr>
        <w:t>feele</w:t>
      </w:r>
      <w:proofErr w:type="spellEnd"/>
      <w:r w:rsidRPr="003037D2">
        <w:rPr>
          <w:rFonts w:ascii="Garamond" w:eastAsia="Calibri" w:hAnsi="Garamond" w:cs="Times New Roman"/>
        </w:rPr>
        <w:t xml:space="preserve"> [God’s] </w:t>
      </w:r>
      <w:proofErr w:type="spellStart"/>
      <w:r w:rsidRPr="003037D2">
        <w:rPr>
          <w:rFonts w:ascii="Garamond" w:eastAsia="Calibri" w:hAnsi="Garamond" w:cs="Times New Roman"/>
        </w:rPr>
        <w:t>beames</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244"/>
      </w:r>
      <w:r w:rsidRPr="003037D2">
        <w:rPr>
          <w:rFonts w:ascii="Garamond" w:eastAsia="Calibri" w:hAnsi="Garamond" w:cs="Times New Roman"/>
        </w:rPr>
        <w:t> </w:t>
      </w:r>
    </w:p>
    <w:p w14:paraId="54838D25" w14:textId="77777777" w:rsidR="00162224" w:rsidRPr="003037D2" w:rsidRDefault="00162224" w:rsidP="00162224">
      <w:pPr>
        <w:spacing w:line="360" w:lineRule="auto"/>
        <w:rPr>
          <w:rFonts w:ascii="Garamond" w:eastAsia="Calibri" w:hAnsi="Garamond" w:cs="Times New Roman"/>
          <w:sz w:val="28"/>
          <w:u w:val="single"/>
        </w:rPr>
      </w:pPr>
    </w:p>
    <w:p w14:paraId="55CAAD44" w14:textId="77777777" w:rsidR="00162224" w:rsidRPr="003037D2" w:rsidRDefault="00162224" w:rsidP="00162224">
      <w:pPr>
        <w:keepNext/>
        <w:keepLines/>
        <w:numPr>
          <w:ilvl w:val="0"/>
          <w:numId w:val="30"/>
        </w:numPr>
        <w:spacing w:before="40" w:line="360" w:lineRule="auto"/>
        <w:outlineLvl w:val="1"/>
        <w:rPr>
          <w:rFonts w:ascii="Garamond" w:eastAsia="Times New Roman" w:hAnsi="Garamond" w:cs="Times New Roman"/>
          <w:b/>
          <w:bCs/>
          <w:sz w:val="28"/>
        </w:rPr>
      </w:pPr>
      <w:bookmarkStart w:id="17" w:name="_Toc3967170"/>
      <w:bookmarkStart w:id="18" w:name="_Ref532547999"/>
      <w:r w:rsidRPr="003037D2">
        <w:rPr>
          <w:rFonts w:ascii="Garamond" w:eastAsia="Times New Roman" w:hAnsi="Garamond" w:cs="Times New Roman"/>
          <w:b/>
          <w:bCs/>
          <w:sz w:val="28"/>
        </w:rPr>
        <w:t>Matthew Parker</w:t>
      </w:r>
      <w:bookmarkEnd w:id="17"/>
      <w:r w:rsidRPr="003037D2">
        <w:rPr>
          <w:rFonts w:ascii="Garamond" w:eastAsia="Times New Roman" w:hAnsi="Garamond" w:cs="Times New Roman"/>
          <w:b/>
          <w:bCs/>
          <w:sz w:val="28"/>
        </w:rPr>
        <w:t xml:space="preserve"> </w:t>
      </w:r>
      <w:bookmarkEnd w:id="18"/>
    </w:p>
    <w:p w14:paraId="5B65E7F6" w14:textId="77777777" w:rsidR="00162224" w:rsidRPr="003037D2" w:rsidRDefault="00162224" w:rsidP="00162224">
      <w:pPr>
        <w:keepNext/>
        <w:keepLines/>
        <w:numPr>
          <w:ilvl w:val="0"/>
          <w:numId w:val="34"/>
        </w:numPr>
        <w:spacing w:before="40" w:line="259" w:lineRule="auto"/>
        <w:outlineLvl w:val="2"/>
        <w:rPr>
          <w:rFonts w:ascii="Garamond" w:eastAsia="DengXian Light" w:hAnsi="Garamond" w:cs="Times New Roman"/>
          <w:i/>
        </w:rPr>
      </w:pPr>
      <w:bookmarkStart w:id="19" w:name="_Toc3967171"/>
      <w:r w:rsidRPr="003037D2">
        <w:rPr>
          <w:rFonts w:ascii="Garamond" w:eastAsia="DengXian Light" w:hAnsi="Garamond" w:cs="Times New Roman"/>
        </w:rPr>
        <w:t xml:space="preserve">Translation: stuck in </w:t>
      </w:r>
      <w:r w:rsidRPr="003037D2">
        <w:rPr>
          <w:rFonts w:ascii="Garamond" w:eastAsia="DengXian Light" w:hAnsi="Garamond" w:cs="Times New Roman"/>
          <w:i/>
        </w:rPr>
        <w:t>The Treacle Bible</w:t>
      </w:r>
      <w:bookmarkEnd w:id="19"/>
      <w:r w:rsidRPr="003037D2">
        <w:rPr>
          <w:rFonts w:ascii="Garamond" w:eastAsia="DengXian Light" w:hAnsi="Garamond" w:cs="Times New Roman"/>
          <w:i/>
        </w:rPr>
        <w:t xml:space="preserve"> </w:t>
      </w:r>
    </w:p>
    <w:p w14:paraId="6F80B589" w14:textId="77777777" w:rsidR="00162224" w:rsidRPr="003037D2" w:rsidRDefault="00162224" w:rsidP="00162224">
      <w:pPr>
        <w:spacing w:line="360" w:lineRule="auto"/>
        <w:rPr>
          <w:rFonts w:ascii="Garamond" w:eastAsia="Calibri" w:hAnsi="Garamond" w:cs="Times New Roman"/>
        </w:rPr>
      </w:pPr>
    </w:p>
    <w:p w14:paraId="37C13B8F" w14:textId="77777777" w:rsidR="00162224" w:rsidRPr="003037D2" w:rsidRDefault="00162224" w:rsidP="0056489A">
      <w:pPr>
        <w:spacing w:after="120" w:line="360" w:lineRule="auto"/>
        <w:rPr>
          <w:rFonts w:ascii="Garamond" w:eastAsia="Calibri" w:hAnsi="Garamond" w:cs="Times New Roman"/>
        </w:rPr>
      </w:pPr>
      <w:r w:rsidRPr="003037D2">
        <w:rPr>
          <w:rFonts w:ascii="Garamond" w:eastAsia="Calibri" w:hAnsi="Garamond" w:cs="Times New Roman"/>
        </w:rPr>
        <w:tab/>
        <w:t xml:space="preserve">Matthew Parker’s introductory verse to </w:t>
      </w:r>
      <w:r w:rsidRPr="003037D2">
        <w:rPr>
          <w:rFonts w:ascii="Garamond" w:eastAsia="Calibri" w:hAnsi="Garamond" w:cs="Times New Roman"/>
          <w:i/>
        </w:rPr>
        <w:t xml:space="preserve">The Whole Psalter </w:t>
      </w:r>
      <w:r w:rsidRPr="003037D2">
        <w:rPr>
          <w:rFonts w:ascii="Garamond" w:eastAsia="Calibri" w:hAnsi="Garamond" w:cs="Times New Roman"/>
          <w:iCs/>
        </w:rPr>
        <w:t>(1567)</w:t>
      </w:r>
      <w:r w:rsidRPr="003037D2">
        <w:rPr>
          <w:rFonts w:ascii="Garamond" w:eastAsia="Calibri" w:hAnsi="Garamond" w:cs="Times New Roman"/>
          <w:i/>
        </w:rPr>
        <w:t xml:space="preserve">, </w:t>
      </w:r>
      <w:r w:rsidRPr="003037D2">
        <w:rPr>
          <w:rFonts w:ascii="Garamond" w:eastAsia="Calibri" w:hAnsi="Garamond" w:cs="Times New Roman"/>
        </w:rPr>
        <w:t xml:space="preserve">‘On the virtue of the Psalms’ speaks of the importance of continuity in translation: </w:t>
      </w:r>
    </w:p>
    <w:p w14:paraId="0B16C148"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Require not here: great difference,</w:t>
      </w:r>
    </w:p>
    <w:p w14:paraId="0301A2F4"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 xml:space="preserve">In </w:t>
      </w:r>
      <w:proofErr w:type="spellStart"/>
      <w:r w:rsidRPr="003037D2">
        <w:rPr>
          <w:rFonts w:ascii="Garamond" w:eastAsia="Calibri" w:hAnsi="Garamond" w:cs="Times New Roman"/>
        </w:rPr>
        <w:t>wordes</w:t>
      </w:r>
      <w:proofErr w:type="spellEnd"/>
      <w:r w:rsidRPr="003037D2">
        <w:rPr>
          <w:rFonts w:ascii="Garamond" w:eastAsia="Calibri" w:hAnsi="Garamond" w:cs="Times New Roman"/>
        </w:rPr>
        <w:t xml:space="preserve"> so </w:t>
      </w:r>
      <w:proofErr w:type="spellStart"/>
      <w:r w:rsidRPr="003037D2">
        <w:rPr>
          <w:rFonts w:ascii="Garamond" w:eastAsia="Calibri" w:hAnsi="Garamond" w:cs="Times New Roman"/>
        </w:rPr>
        <w:t>ofte</w:t>
      </w:r>
      <w:proofErr w:type="spellEnd"/>
      <w:r w:rsidRPr="003037D2">
        <w:rPr>
          <w:rFonts w:ascii="Garamond" w:eastAsia="Calibri" w:hAnsi="Garamond" w:cs="Times New Roman"/>
        </w:rPr>
        <w:t xml:space="preserve"> the same:</w:t>
      </w:r>
    </w:p>
    <w:p w14:paraId="70D51C2A"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 xml:space="preserve">Although to </w:t>
      </w:r>
      <w:proofErr w:type="spellStart"/>
      <w:r w:rsidRPr="003037D2">
        <w:rPr>
          <w:rFonts w:ascii="Garamond" w:eastAsia="Calibri" w:hAnsi="Garamond" w:cs="Times New Roman"/>
        </w:rPr>
        <w:t>feele</w:t>
      </w:r>
      <w:proofErr w:type="spellEnd"/>
      <w:r w:rsidRPr="003037D2">
        <w:rPr>
          <w:rFonts w:ascii="Garamond" w:eastAsia="Calibri" w:hAnsi="Garamond" w:cs="Times New Roman"/>
        </w:rPr>
        <w:t>: great violence,</w:t>
      </w:r>
    </w:p>
    <w:p w14:paraId="3AA679F0"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I might not change the name.</w:t>
      </w:r>
    </w:p>
    <w:p w14:paraId="1FA0AE5A" w14:textId="77777777" w:rsidR="00162224" w:rsidRPr="003037D2" w:rsidRDefault="00162224" w:rsidP="00162224">
      <w:pPr>
        <w:ind w:left="2880"/>
        <w:rPr>
          <w:rFonts w:ascii="Garamond" w:eastAsia="Calibri" w:hAnsi="Garamond" w:cs="Times New Roman"/>
        </w:rPr>
      </w:pPr>
    </w:p>
    <w:p w14:paraId="724D7514" w14:textId="77777777" w:rsidR="00162224" w:rsidRPr="003037D2" w:rsidRDefault="00162224" w:rsidP="00162224">
      <w:pPr>
        <w:ind w:left="2880"/>
        <w:rPr>
          <w:rFonts w:ascii="Garamond" w:eastAsia="Calibri" w:hAnsi="Garamond" w:cs="Times New Roman"/>
        </w:rPr>
      </w:pPr>
      <w:proofErr w:type="spellStart"/>
      <w:r w:rsidRPr="003037D2">
        <w:rPr>
          <w:rFonts w:ascii="Garamond" w:eastAsia="Calibri" w:hAnsi="Garamond" w:cs="Times New Roman"/>
        </w:rPr>
        <w:t>Conceyve</w:t>
      </w:r>
      <w:proofErr w:type="spellEnd"/>
      <w:r w:rsidRPr="003037D2">
        <w:rPr>
          <w:rFonts w:ascii="Garamond" w:eastAsia="Calibri" w:hAnsi="Garamond" w:cs="Times New Roman"/>
        </w:rPr>
        <w:t xml:space="preserve"> in hart: no </w:t>
      </w:r>
      <w:proofErr w:type="spellStart"/>
      <w:r w:rsidRPr="003037D2">
        <w:rPr>
          <w:rFonts w:ascii="Garamond" w:eastAsia="Calibri" w:hAnsi="Garamond" w:cs="Times New Roman"/>
        </w:rPr>
        <w:t>griefe</w:t>
      </w:r>
      <w:proofErr w:type="spellEnd"/>
      <w:r w:rsidRPr="003037D2">
        <w:rPr>
          <w:rFonts w:ascii="Garamond" w:eastAsia="Calibri" w:hAnsi="Garamond" w:cs="Times New Roman"/>
        </w:rPr>
        <w:t xml:space="preserve"> to sore, </w:t>
      </w:r>
    </w:p>
    <w:p w14:paraId="20917DEC" w14:textId="77777777" w:rsidR="00162224" w:rsidRPr="003037D2" w:rsidRDefault="00162224" w:rsidP="00162224">
      <w:pPr>
        <w:ind w:left="2880"/>
        <w:rPr>
          <w:rFonts w:ascii="Garamond" w:eastAsia="Calibri" w:hAnsi="Garamond" w:cs="Times New Roman"/>
        </w:rPr>
      </w:pPr>
      <w:proofErr w:type="spellStart"/>
      <w:r w:rsidRPr="003037D2">
        <w:rPr>
          <w:rFonts w:ascii="Garamond" w:eastAsia="Calibri" w:hAnsi="Garamond" w:cs="Times New Roman"/>
        </w:rPr>
        <w:t>Wordes</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olde</w:t>
      </w:r>
      <w:proofErr w:type="spellEnd"/>
      <w:r w:rsidRPr="003037D2">
        <w:rPr>
          <w:rFonts w:ascii="Garamond" w:eastAsia="Calibri" w:hAnsi="Garamond" w:cs="Times New Roman"/>
        </w:rPr>
        <w:t xml:space="preserve"> so </w:t>
      </w:r>
      <w:proofErr w:type="spellStart"/>
      <w:r w:rsidRPr="003037D2">
        <w:rPr>
          <w:rFonts w:ascii="Garamond" w:eastAsia="Calibri" w:hAnsi="Garamond" w:cs="Times New Roman"/>
        </w:rPr>
        <w:t>ofte</w:t>
      </w:r>
      <w:proofErr w:type="spellEnd"/>
      <w:r w:rsidRPr="003037D2">
        <w:rPr>
          <w:rFonts w:ascii="Garamond" w:eastAsia="Calibri" w:hAnsi="Garamond" w:cs="Times New Roman"/>
        </w:rPr>
        <w:t xml:space="preserve"> to </w:t>
      </w:r>
      <w:proofErr w:type="spellStart"/>
      <w:r w:rsidRPr="003037D2">
        <w:rPr>
          <w:rFonts w:ascii="Garamond" w:eastAsia="Calibri" w:hAnsi="Garamond" w:cs="Times New Roman"/>
        </w:rPr>
        <w:t>vewe</w:t>
      </w:r>
      <w:proofErr w:type="spellEnd"/>
      <w:r w:rsidRPr="003037D2">
        <w:rPr>
          <w:rFonts w:ascii="Garamond" w:eastAsia="Calibri" w:hAnsi="Garamond" w:cs="Times New Roman"/>
        </w:rPr>
        <w:t xml:space="preserve">: </w:t>
      </w:r>
    </w:p>
    <w:p w14:paraId="089891BE"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 xml:space="preserve">Thy </w:t>
      </w:r>
      <w:proofErr w:type="spellStart"/>
      <w:r w:rsidRPr="003037D2">
        <w:rPr>
          <w:rFonts w:ascii="Garamond" w:eastAsia="Calibri" w:hAnsi="Garamond" w:cs="Times New Roman"/>
        </w:rPr>
        <w:t>gayne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therby</w:t>
      </w:r>
      <w:proofErr w:type="spellEnd"/>
      <w:r w:rsidRPr="003037D2">
        <w:rPr>
          <w:rFonts w:ascii="Garamond" w:eastAsia="Calibri" w:hAnsi="Garamond" w:cs="Times New Roman"/>
        </w:rPr>
        <w:t xml:space="preserve">: is wrought the more, </w:t>
      </w:r>
    </w:p>
    <w:p w14:paraId="601BD2AE"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 xml:space="preserve">Though </w:t>
      </w:r>
      <w:proofErr w:type="spellStart"/>
      <w:r w:rsidRPr="003037D2">
        <w:rPr>
          <w:rFonts w:ascii="Garamond" w:eastAsia="Calibri" w:hAnsi="Garamond" w:cs="Times New Roman"/>
        </w:rPr>
        <w:t>wordes</w:t>
      </w:r>
      <w:proofErr w:type="spellEnd"/>
      <w:r w:rsidRPr="003037D2">
        <w:rPr>
          <w:rFonts w:ascii="Garamond" w:eastAsia="Calibri" w:hAnsi="Garamond" w:cs="Times New Roman"/>
        </w:rPr>
        <w:t xml:space="preserve"> be never </w:t>
      </w:r>
      <w:proofErr w:type="spellStart"/>
      <w:r w:rsidRPr="003037D2">
        <w:rPr>
          <w:rFonts w:ascii="Garamond" w:eastAsia="Calibri" w:hAnsi="Garamond" w:cs="Times New Roman"/>
        </w:rPr>
        <w:t>newe</w:t>
      </w:r>
      <w:proofErr w:type="spellEnd"/>
      <w:r w:rsidRPr="003037D2">
        <w:rPr>
          <w:rFonts w:ascii="Garamond" w:eastAsia="Calibri" w:hAnsi="Garamond" w:cs="Times New Roman"/>
        </w:rPr>
        <w:t xml:space="preserve">. </w:t>
      </w:r>
      <w:r w:rsidRPr="003037D2">
        <w:rPr>
          <w:rFonts w:ascii="Garamond" w:eastAsia="Calibri" w:hAnsi="Garamond" w:cs="Times New Roman"/>
          <w:vertAlign w:val="superscript"/>
        </w:rPr>
        <w:footnoteReference w:id="245"/>
      </w:r>
    </w:p>
    <w:p w14:paraId="266E40F1" w14:textId="77777777" w:rsidR="00162224" w:rsidRPr="003037D2" w:rsidRDefault="00162224" w:rsidP="00162224">
      <w:pPr>
        <w:spacing w:line="360" w:lineRule="auto"/>
        <w:ind w:left="2880"/>
        <w:rPr>
          <w:rFonts w:ascii="Garamond" w:eastAsia="Calibri" w:hAnsi="Garamond" w:cs="Times New Roman"/>
        </w:rPr>
      </w:pPr>
    </w:p>
    <w:p w14:paraId="6EBE2E52" w14:textId="44F0A853"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Parker counselled </w:t>
      </w:r>
      <w:proofErr w:type="gramStart"/>
      <w:r w:rsidRPr="003037D2">
        <w:rPr>
          <w:rFonts w:ascii="Garamond" w:eastAsia="Calibri" w:hAnsi="Garamond" w:cs="Times New Roman"/>
        </w:rPr>
        <w:t>for the production of</w:t>
      </w:r>
      <w:proofErr w:type="gramEnd"/>
      <w:r w:rsidRPr="003037D2">
        <w:rPr>
          <w:rFonts w:ascii="Garamond" w:eastAsia="Calibri" w:hAnsi="Garamond" w:cs="Times New Roman"/>
        </w:rPr>
        <w:t xml:space="preserve"> </w:t>
      </w:r>
      <w:r w:rsidR="0056489A" w:rsidRPr="003037D2">
        <w:rPr>
          <w:rFonts w:ascii="Garamond" w:eastAsia="Calibri" w:hAnsi="Garamond" w:cs="Times New Roman"/>
        </w:rPr>
        <w:t>texts that</w:t>
      </w:r>
      <w:r w:rsidRPr="003037D2">
        <w:rPr>
          <w:rFonts w:ascii="Garamond" w:eastAsia="Calibri" w:hAnsi="Garamond" w:cs="Times New Roman"/>
        </w:rPr>
        <w:t xml:space="preserve"> were easily </w:t>
      </w:r>
      <w:proofErr w:type="spellStart"/>
      <w:r w:rsidRPr="003037D2">
        <w:rPr>
          <w:rFonts w:ascii="Garamond" w:eastAsia="Calibri" w:hAnsi="Garamond" w:cs="Times New Roman"/>
        </w:rPr>
        <w:t>recognisable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harmonising</w:t>
      </w:r>
      <w:proofErr w:type="spellEnd"/>
      <w:r w:rsidRPr="003037D2">
        <w:rPr>
          <w:rFonts w:ascii="Garamond" w:eastAsia="Calibri" w:hAnsi="Garamond" w:cs="Times New Roman"/>
        </w:rPr>
        <w:t xml:space="preserve"> with their predecessors rather that differing starkly. Parker has been described as the co-founder of Anglican theology, as he published John Jewel’s </w:t>
      </w:r>
      <w:r w:rsidRPr="003037D2">
        <w:rPr>
          <w:rFonts w:ascii="Garamond" w:eastAsia="Calibri" w:hAnsi="Garamond" w:cs="Times New Roman"/>
          <w:i/>
          <w:iCs/>
        </w:rPr>
        <w:t xml:space="preserve">Apologia Ecclesiae </w:t>
      </w:r>
      <w:proofErr w:type="spellStart"/>
      <w:r w:rsidRPr="003037D2">
        <w:rPr>
          <w:rFonts w:ascii="Garamond" w:eastAsia="Calibri" w:hAnsi="Garamond" w:cs="Times New Roman"/>
          <w:i/>
          <w:iCs/>
        </w:rPr>
        <w:t>Anglicanae</w:t>
      </w:r>
      <w:proofErr w:type="spellEnd"/>
      <w:r w:rsidRPr="003037D2">
        <w:rPr>
          <w:rFonts w:ascii="Garamond" w:eastAsia="Calibri" w:hAnsi="Garamond" w:cs="Times New Roman"/>
          <w:i/>
          <w:iCs/>
        </w:rPr>
        <w:t xml:space="preserve"> </w:t>
      </w:r>
      <w:r w:rsidRPr="003037D2">
        <w:rPr>
          <w:rFonts w:ascii="Garamond" w:eastAsia="Calibri" w:hAnsi="Garamond" w:cs="Times New Roman"/>
        </w:rPr>
        <w:t>(1562)</w:t>
      </w:r>
      <w:r w:rsidRPr="003037D2">
        <w:rPr>
          <w:rFonts w:ascii="Garamond" w:eastAsia="Calibri" w:hAnsi="Garamond" w:cs="Times New Roman"/>
          <w:i/>
          <w:iCs/>
        </w:rPr>
        <w:t xml:space="preserve">, </w:t>
      </w:r>
      <w:r w:rsidRPr="003037D2">
        <w:rPr>
          <w:rFonts w:ascii="Garamond" w:eastAsia="Calibri" w:hAnsi="Garamond" w:cs="Times New Roman"/>
        </w:rPr>
        <w:t xml:space="preserve">the first systematic </w:t>
      </w:r>
      <w:proofErr w:type="spellStart"/>
      <w:r w:rsidRPr="003037D2">
        <w:rPr>
          <w:rFonts w:ascii="Garamond" w:eastAsia="Calibri" w:hAnsi="Garamond" w:cs="Times New Roman"/>
        </w:rPr>
        <w:t>defence</w:t>
      </w:r>
      <w:proofErr w:type="spellEnd"/>
      <w:r w:rsidRPr="003037D2">
        <w:rPr>
          <w:rFonts w:ascii="Garamond" w:eastAsia="Calibri" w:hAnsi="Garamond" w:cs="Times New Roman"/>
        </w:rPr>
        <w:t xml:space="preserve"> of the Church of England.</w:t>
      </w:r>
      <w:r w:rsidRPr="003037D2">
        <w:rPr>
          <w:rFonts w:ascii="Garamond" w:eastAsia="Calibri" w:hAnsi="Garamond" w:cs="Times New Roman"/>
          <w:vertAlign w:val="superscript"/>
        </w:rPr>
        <w:footnoteReference w:id="246"/>
      </w:r>
      <w:r w:rsidRPr="003037D2">
        <w:rPr>
          <w:rFonts w:ascii="Garamond" w:eastAsia="Calibri" w:hAnsi="Garamond" w:cs="Times New Roman"/>
        </w:rPr>
        <w:t xml:space="preserve"> Parker had advanced in the Church under Henry VIII and Edward VI, becoming canon of Ely Cathedral in 1541. He married before the </w:t>
      </w:r>
      <w:proofErr w:type="spellStart"/>
      <w:r w:rsidRPr="003037D2">
        <w:rPr>
          <w:rFonts w:ascii="Garamond" w:eastAsia="Calibri" w:hAnsi="Garamond" w:cs="Times New Roman"/>
        </w:rPr>
        <w:t>legalisation</w:t>
      </w:r>
      <w:proofErr w:type="spellEnd"/>
      <w:r w:rsidRPr="003037D2">
        <w:rPr>
          <w:rFonts w:ascii="Garamond" w:eastAsia="Calibri" w:hAnsi="Garamond" w:cs="Times New Roman"/>
        </w:rPr>
        <w:t xml:space="preserve"> of clerical marriage in 1549, and as a result was demoted when Mary came to the throne. During this period he wrote that he relished life as ‘a private individual, so happy before God in my conscience, and so far from being either ashamed or dejected, that the delightful literary leisure… yielded me much greater and more solid enjoyments, than my former busy and dangerous kind of life had ever afforded me’.</w:t>
      </w:r>
      <w:r w:rsidRPr="003037D2">
        <w:rPr>
          <w:rFonts w:ascii="Garamond" w:eastAsia="Calibri" w:hAnsi="Garamond" w:cs="Times New Roman"/>
          <w:vertAlign w:val="superscript"/>
        </w:rPr>
        <w:footnoteReference w:id="247"/>
      </w:r>
      <w:r w:rsidRPr="003037D2">
        <w:rPr>
          <w:rFonts w:ascii="Garamond" w:eastAsia="Calibri" w:hAnsi="Garamond" w:cs="Times New Roman"/>
        </w:rPr>
        <w:t xml:space="preserve"> Whilst secluded from worldly demands, Parker worked on a number of literary projects, including his metrical version of the psalter, which included a prose argument for every psalm, a collect, a verse translation of the canticles, and a 74 stanza poem on ‘the Virtues of the Psalms’. Allegedly at the </w:t>
      </w:r>
      <w:r w:rsidRPr="003037D2">
        <w:rPr>
          <w:rFonts w:ascii="Garamond" w:eastAsia="Calibri" w:hAnsi="Garamond" w:cs="Times New Roman"/>
        </w:rPr>
        <w:lastRenderedPageBreak/>
        <w:t xml:space="preserve">urging of friends, who suggested that he make these psalms public, he adapted the translations for congregational </w:t>
      </w:r>
      <w:proofErr w:type="gramStart"/>
      <w:r w:rsidRPr="003037D2">
        <w:rPr>
          <w:rFonts w:ascii="Garamond" w:eastAsia="Calibri" w:hAnsi="Garamond" w:cs="Times New Roman"/>
        </w:rPr>
        <w:t>use</w:t>
      </w:r>
      <w:proofErr w:type="gramEnd"/>
      <w:r w:rsidRPr="003037D2">
        <w:rPr>
          <w:rFonts w:ascii="Garamond" w:eastAsia="Calibri" w:hAnsi="Garamond" w:cs="Times New Roman"/>
        </w:rPr>
        <w:t xml:space="preserve"> and they were printed by John Day in 1567, with an appendix including nine tunes by Thomas </w:t>
      </w:r>
      <w:proofErr w:type="spellStart"/>
      <w:r w:rsidRPr="003037D2">
        <w:rPr>
          <w:rFonts w:ascii="Garamond" w:eastAsia="Calibri" w:hAnsi="Garamond" w:cs="Times New Roman"/>
        </w:rPr>
        <w:t>Tallis</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248"/>
      </w:r>
      <w:r w:rsidRPr="003037D2">
        <w:rPr>
          <w:rFonts w:ascii="Garamond" w:eastAsia="Calibri" w:hAnsi="Garamond" w:cs="Times New Roman"/>
        </w:rPr>
        <w:t xml:space="preserve"> </w:t>
      </w:r>
    </w:p>
    <w:p w14:paraId="1103F8A7" w14:textId="77777777" w:rsidR="00162224" w:rsidRPr="003037D2" w:rsidRDefault="00162224" w:rsidP="00162224">
      <w:pPr>
        <w:spacing w:line="360" w:lineRule="auto"/>
        <w:ind w:firstLine="720"/>
        <w:rPr>
          <w:rFonts w:ascii="Garamond" w:eastAsia="Calibri" w:hAnsi="Garamond" w:cs="Times New Roman"/>
        </w:rPr>
      </w:pPr>
    </w:p>
    <w:p w14:paraId="6066D1B1" w14:textId="24C80549"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During the 1560s Parker was heavily involved in the production of the so-called </w:t>
      </w:r>
      <w:r w:rsidRPr="003037D2">
        <w:rPr>
          <w:rFonts w:ascii="Garamond" w:eastAsia="Calibri" w:hAnsi="Garamond" w:cs="Times New Roman"/>
          <w:i/>
          <w:iCs/>
        </w:rPr>
        <w:t xml:space="preserve">Bishops’ Bible, </w:t>
      </w:r>
      <w:r w:rsidRPr="003037D2">
        <w:rPr>
          <w:rFonts w:ascii="Garamond" w:eastAsia="Calibri" w:hAnsi="Garamond" w:cs="Times New Roman"/>
        </w:rPr>
        <w:t xml:space="preserve">a folio Bible to be used in churches. It was intended as a replacement for </w:t>
      </w:r>
      <w:r w:rsidR="002F1250">
        <w:rPr>
          <w:rFonts w:ascii="Garamond" w:eastAsia="Calibri" w:hAnsi="Garamond" w:cs="Times New Roman"/>
          <w:i/>
        </w:rPr>
        <w:t>T</w:t>
      </w:r>
      <w:r w:rsidRPr="003037D2">
        <w:rPr>
          <w:rFonts w:ascii="Garamond" w:eastAsia="Calibri" w:hAnsi="Garamond" w:cs="Times New Roman"/>
          <w:i/>
        </w:rPr>
        <w:t>he Geneva Bible</w:t>
      </w:r>
      <w:r w:rsidRPr="003037D2">
        <w:rPr>
          <w:rFonts w:ascii="Garamond" w:eastAsia="Calibri" w:hAnsi="Garamond" w:cs="Times New Roman"/>
        </w:rPr>
        <w:t>, which had notes and glosses that ‘advocated theologically (and politically) unwelcome aspects of Calvinist doctrine’. Whilst the creation of a new Bible was probably suggested by Bishop Cox, Parker oversaw the production of the text.</w:t>
      </w:r>
      <w:r w:rsidRPr="003037D2">
        <w:rPr>
          <w:rFonts w:ascii="Garamond" w:eastAsia="Calibri" w:hAnsi="Garamond" w:cs="Times New Roman"/>
          <w:vertAlign w:val="superscript"/>
        </w:rPr>
        <w:footnoteReference w:id="249"/>
      </w:r>
      <w:r w:rsidRPr="003037D2">
        <w:rPr>
          <w:rFonts w:ascii="Garamond" w:eastAsia="Calibri" w:hAnsi="Garamond" w:cs="Times New Roman"/>
        </w:rPr>
        <w:t xml:space="preserve"> A team of eleven bishops and other scholars divided the translation between them. Parker determined ‘a policy to shew them’ or display their names by the text they translated, ‘to make them more diligent, as answerable for their doings’.</w:t>
      </w:r>
      <w:r w:rsidRPr="003037D2">
        <w:rPr>
          <w:rFonts w:ascii="Garamond" w:eastAsia="Calibri" w:hAnsi="Garamond" w:cs="Times New Roman"/>
          <w:vertAlign w:val="superscript"/>
        </w:rPr>
        <w:footnoteReference w:id="250"/>
      </w:r>
      <w:r w:rsidRPr="003037D2">
        <w:rPr>
          <w:rFonts w:ascii="Garamond" w:eastAsia="Calibri" w:hAnsi="Garamond" w:cs="Times New Roman"/>
        </w:rPr>
        <w:t xml:space="preserve"> Rather than silently eliding the work of the translator Parker sought to </w:t>
      </w:r>
      <w:proofErr w:type="spellStart"/>
      <w:r w:rsidRPr="003037D2">
        <w:rPr>
          <w:rFonts w:ascii="Garamond" w:eastAsia="Calibri" w:hAnsi="Garamond" w:cs="Times New Roman"/>
        </w:rPr>
        <w:t>emphasise</w:t>
      </w:r>
      <w:proofErr w:type="spellEnd"/>
      <w:r w:rsidRPr="003037D2">
        <w:rPr>
          <w:rFonts w:ascii="Garamond" w:eastAsia="Calibri" w:hAnsi="Garamond" w:cs="Times New Roman"/>
        </w:rPr>
        <w:t xml:space="preserve"> it, promoting conscientious work by clearly indicating who had produced which text. Writing to Sir William Cecil, Parker recounted the advice he gave to the various translators, ‘First, to follow the common English translation used in the churches, and not to recede from it but where it </w:t>
      </w:r>
      <w:proofErr w:type="spellStart"/>
      <w:r w:rsidRPr="003037D2">
        <w:rPr>
          <w:rFonts w:ascii="Garamond" w:eastAsia="Calibri" w:hAnsi="Garamond" w:cs="Times New Roman"/>
        </w:rPr>
        <w:t>varieth</w:t>
      </w:r>
      <w:proofErr w:type="spellEnd"/>
      <w:r w:rsidRPr="003037D2">
        <w:rPr>
          <w:rFonts w:ascii="Garamond" w:eastAsia="Calibri" w:hAnsi="Garamond" w:cs="Times New Roman"/>
        </w:rPr>
        <w:t xml:space="preserve"> manifestly from the Hebrew or Greek original’.</w:t>
      </w:r>
      <w:r w:rsidRPr="003037D2">
        <w:rPr>
          <w:rFonts w:ascii="Garamond" w:eastAsia="Calibri" w:hAnsi="Garamond" w:cs="Times New Roman"/>
          <w:vertAlign w:val="superscript"/>
        </w:rPr>
        <w:footnoteReference w:id="251"/>
      </w:r>
      <w:r w:rsidRPr="003037D2">
        <w:rPr>
          <w:rFonts w:ascii="Garamond" w:eastAsia="Calibri" w:hAnsi="Garamond" w:cs="Times New Roman"/>
        </w:rPr>
        <w:t xml:space="preserve"> This seems to follow St. Jerome’s edicts on translation in his ‘Preface to the Gospels’: </w:t>
      </w:r>
    </w:p>
    <w:p w14:paraId="5CA96194" w14:textId="77777777" w:rsidR="00162224" w:rsidRPr="003037D2" w:rsidRDefault="00162224" w:rsidP="00162224">
      <w:pPr>
        <w:spacing w:after="100" w:afterAutospacing="1"/>
        <w:ind w:left="737" w:right="737"/>
        <w:rPr>
          <w:rFonts w:ascii="Garamond" w:eastAsia="Calibri" w:hAnsi="Garamond" w:cs="Times New Roman"/>
        </w:rPr>
      </w:pPr>
      <w:r w:rsidRPr="003037D2">
        <w:rPr>
          <w:rFonts w:ascii="Garamond" w:eastAsia="Calibri" w:hAnsi="Garamond" w:cs="Times New Roman"/>
        </w:rPr>
        <w:t xml:space="preserve">It is a pious work but dangerously presumptive to pick the one right text from all the possible texts, to change the language of an old man and to drag an aging world back to the beginnings of childhood… For who, learned as much as unlearned, when he picks up a book… and sees that it is different from the sweet </w:t>
      </w:r>
      <w:proofErr w:type="spellStart"/>
      <w:r w:rsidRPr="003037D2">
        <w:rPr>
          <w:rFonts w:ascii="Garamond" w:eastAsia="Calibri" w:hAnsi="Garamond" w:cs="Times New Roman"/>
        </w:rPr>
        <w:t>flavour</w:t>
      </w:r>
      <w:proofErr w:type="spellEnd"/>
      <w:r w:rsidRPr="003037D2">
        <w:rPr>
          <w:rFonts w:ascii="Garamond" w:eastAsia="Calibri" w:hAnsi="Garamond" w:cs="Times New Roman"/>
        </w:rPr>
        <w:t xml:space="preserve"> he once drank, who will not cry out that I am a sacrilegious forger because I have dared to add, change, or correct anything in the old books?</w:t>
      </w:r>
      <w:r w:rsidRPr="003037D2">
        <w:rPr>
          <w:rFonts w:ascii="Garamond" w:eastAsia="Calibri" w:hAnsi="Garamond" w:cs="Times New Roman"/>
          <w:vertAlign w:val="superscript"/>
        </w:rPr>
        <w:footnoteReference w:id="252"/>
      </w:r>
    </w:p>
    <w:p w14:paraId="69115D1B" w14:textId="77777777" w:rsidR="00162224" w:rsidRPr="003037D2" w:rsidRDefault="00162224" w:rsidP="00162224">
      <w:pPr>
        <w:spacing w:after="100" w:afterAutospacing="1" w:line="360" w:lineRule="auto"/>
        <w:rPr>
          <w:rFonts w:ascii="Garamond" w:eastAsia="Calibri" w:hAnsi="Garamond" w:cs="Times New Roman"/>
        </w:rPr>
      </w:pPr>
      <w:r w:rsidRPr="003037D2">
        <w:rPr>
          <w:rFonts w:ascii="Garamond" w:eastAsia="Calibri" w:hAnsi="Garamond" w:cs="Times New Roman"/>
        </w:rPr>
        <w:t>Jerome uses the language of age to illustrate the distance between the ‘original’, or well-known text and the translated one. Over-zealous translation is presented as an assault on the normal passage of time, ‘drag[</w:t>
      </w:r>
      <w:proofErr w:type="spellStart"/>
      <w:r w:rsidRPr="003037D2">
        <w:rPr>
          <w:rFonts w:ascii="Garamond" w:eastAsia="Calibri" w:hAnsi="Garamond" w:cs="Times New Roman"/>
        </w:rPr>
        <w:t>ging</w:t>
      </w:r>
      <w:proofErr w:type="spellEnd"/>
      <w:r w:rsidRPr="003037D2">
        <w:rPr>
          <w:rFonts w:ascii="Garamond" w:eastAsia="Calibri" w:hAnsi="Garamond" w:cs="Times New Roman"/>
        </w:rPr>
        <w:t xml:space="preserve">] an aging world back’. The importance of tradition and heritage is further </w:t>
      </w:r>
      <w:proofErr w:type="spellStart"/>
      <w:r w:rsidRPr="003037D2">
        <w:rPr>
          <w:rFonts w:ascii="Garamond" w:eastAsia="Calibri" w:hAnsi="Garamond" w:cs="Times New Roman"/>
        </w:rPr>
        <w:t>emphasised</w:t>
      </w:r>
      <w:proofErr w:type="spellEnd"/>
      <w:r w:rsidRPr="003037D2">
        <w:rPr>
          <w:rFonts w:ascii="Garamond" w:eastAsia="Calibri" w:hAnsi="Garamond" w:cs="Times New Roman"/>
        </w:rPr>
        <w:t xml:space="preserve"> with the reference to an old man, the reader </w:t>
      </w:r>
      <w:r w:rsidRPr="003037D2">
        <w:rPr>
          <w:rFonts w:ascii="Garamond" w:eastAsia="Calibri" w:hAnsi="Garamond" w:cs="Times New Roman"/>
        </w:rPr>
        <w:lastRenderedPageBreak/>
        <w:t xml:space="preserve">is reminded that these words have shaped people’s entire lives and as such should be respected. This is an ultimately pragmatic stance on translation: Jerome and Parker both seem conscious of the fact that these texts are to be used by the general public, and so scholastic accuracy is not the only concern that should be considered. </w:t>
      </w:r>
    </w:p>
    <w:p w14:paraId="5A2DB5B1" w14:textId="77777777" w:rsidR="00162224" w:rsidRPr="003037D2" w:rsidRDefault="00162224" w:rsidP="00162224">
      <w:pPr>
        <w:spacing w:after="100" w:afterAutospacing="1" w:line="360" w:lineRule="auto"/>
        <w:rPr>
          <w:rFonts w:ascii="Garamond" w:eastAsia="Calibri" w:hAnsi="Garamond" w:cs="Times New Roman"/>
        </w:rPr>
      </w:pPr>
    </w:p>
    <w:p w14:paraId="26A01BD2" w14:textId="77777777" w:rsidR="00162224" w:rsidRPr="003037D2" w:rsidRDefault="00162224" w:rsidP="0056489A">
      <w:pPr>
        <w:spacing w:after="120" w:line="360" w:lineRule="auto"/>
        <w:ind w:firstLine="720"/>
        <w:rPr>
          <w:rFonts w:ascii="Garamond" w:eastAsia="Calibri" w:hAnsi="Garamond" w:cs="Times New Roman"/>
        </w:rPr>
      </w:pPr>
      <w:r w:rsidRPr="003037D2">
        <w:rPr>
          <w:rFonts w:ascii="Garamond" w:eastAsia="Calibri" w:hAnsi="Garamond" w:cs="Times New Roman"/>
        </w:rPr>
        <w:t xml:space="preserve">In the ‘Preface to the Psalms’ in </w:t>
      </w:r>
      <w:r w:rsidRPr="003037D2">
        <w:rPr>
          <w:rFonts w:ascii="Garamond" w:eastAsia="Calibri" w:hAnsi="Garamond" w:cs="Times New Roman"/>
          <w:i/>
        </w:rPr>
        <w:t>The Bishops’ Bible</w:t>
      </w:r>
      <w:r w:rsidRPr="003037D2">
        <w:rPr>
          <w:rFonts w:ascii="Garamond" w:eastAsia="Calibri" w:hAnsi="Garamond" w:cs="Times New Roman"/>
        </w:rPr>
        <w:t xml:space="preserve">, Parker offers a pre-emptive </w:t>
      </w:r>
      <w:proofErr w:type="spellStart"/>
      <w:r w:rsidRPr="003037D2">
        <w:rPr>
          <w:rFonts w:ascii="Garamond" w:eastAsia="Calibri" w:hAnsi="Garamond" w:cs="Times New Roman"/>
        </w:rPr>
        <w:t>defence</w:t>
      </w:r>
      <w:proofErr w:type="spellEnd"/>
      <w:r w:rsidRPr="003037D2">
        <w:rPr>
          <w:rFonts w:ascii="Garamond" w:eastAsia="Calibri" w:hAnsi="Garamond" w:cs="Times New Roman"/>
        </w:rPr>
        <w:t xml:space="preserve"> of his translation and challenge to the reader: </w:t>
      </w:r>
    </w:p>
    <w:p w14:paraId="67581CEE" w14:textId="77777777" w:rsidR="00162224" w:rsidRPr="003037D2" w:rsidRDefault="00162224" w:rsidP="00162224">
      <w:pPr>
        <w:spacing w:after="100" w:afterAutospacing="1"/>
        <w:ind w:left="737" w:right="737"/>
        <w:rPr>
          <w:rFonts w:ascii="Garamond" w:eastAsia="Calibri" w:hAnsi="Garamond" w:cs="Times New Roman"/>
        </w:rPr>
      </w:pPr>
      <w:r w:rsidRPr="003037D2">
        <w:rPr>
          <w:rFonts w:ascii="Garamond" w:eastAsia="Calibri" w:hAnsi="Garamond" w:cs="Times New Roman"/>
        </w:rPr>
        <w:t xml:space="preserve">Now let the gentle reader have this Christian consideration within himself that, though he </w:t>
      </w:r>
      <w:proofErr w:type="spellStart"/>
      <w:r w:rsidRPr="003037D2">
        <w:rPr>
          <w:rFonts w:ascii="Garamond" w:eastAsia="Calibri" w:hAnsi="Garamond" w:cs="Times New Roman"/>
        </w:rPr>
        <w:t>findeth</w:t>
      </w:r>
      <w:proofErr w:type="spellEnd"/>
      <w:r w:rsidRPr="003037D2">
        <w:rPr>
          <w:rFonts w:ascii="Garamond" w:eastAsia="Calibri" w:hAnsi="Garamond" w:cs="Times New Roman"/>
        </w:rPr>
        <w:t xml:space="preserve"> the Psalms of this translation following not so to sound agreeably to his ears in his wonted words and phrases as he is accustomed with: yet let him not be too much offended with the work, which was wrought for his own commodity and comfort. And if he be learned, let him correct the word or sentence… his reprehension, if it may turn to the finding out of the truth, shall not be repelled with grief but applauded to gladness…</w:t>
      </w:r>
      <w:r w:rsidRPr="003037D2">
        <w:rPr>
          <w:rFonts w:ascii="Garamond" w:eastAsia="Calibri" w:hAnsi="Garamond" w:cs="Times New Roman"/>
          <w:vertAlign w:val="superscript"/>
        </w:rPr>
        <w:footnoteReference w:id="253"/>
      </w:r>
    </w:p>
    <w:p w14:paraId="3A5AC7E7" w14:textId="2CE8A637" w:rsidR="00162224" w:rsidRPr="003037D2" w:rsidRDefault="00162224" w:rsidP="002F1250">
      <w:pPr>
        <w:spacing w:after="100" w:afterAutospacing="1" w:line="360" w:lineRule="auto"/>
        <w:rPr>
          <w:rFonts w:ascii="Garamond" w:eastAsia="Calibri" w:hAnsi="Garamond" w:cs="Times New Roman"/>
        </w:rPr>
      </w:pPr>
      <w:r w:rsidRPr="003037D2">
        <w:rPr>
          <w:rFonts w:ascii="Garamond" w:eastAsia="Calibri" w:hAnsi="Garamond" w:cs="Times New Roman"/>
        </w:rPr>
        <w:t xml:space="preserve">The work of the ‘gentle’ ‘learned’ reader is a holy </w:t>
      </w:r>
      <w:proofErr w:type="spellStart"/>
      <w:r w:rsidRPr="003037D2">
        <w:rPr>
          <w:rFonts w:ascii="Garamond" w:eastAsia="Calibri" w:hAnsi="Garamond" w:cs="Times New Roman"/>
        </w:rPr>
        <w:t>endeavour</w:t>
      </w:r>
      <w:proofErr w:type="spellEnd"/>
      <w:r w:rsidRPr="003037D2">
        <w:rPr>
          <w:rFonts w:ascii="Garamond" w:eastAsia="Calibri" w:hAnsi="Garamond" w:cs="Times New Roman"/>
        </w:rPr>
        <w:t>. In identifying and correcting errors, or differences from the ‘accustomed’ text they conduct their own search for wisdom and create an accurate text. David Norton has argued that this passage demonstrates how Parker combined ‘Tyndale’s wish to have his work corrected and Coverdale’s advocation of a variety of translations’.</w:t>
      </w:r>
      <w:r w:rsidRPr="003037D2">
        <w:rPr>
          <w:rFonts w:ascii="Garamond" w:eastAsia="Calibri" w:hAnsi="Garamond" w:cs="Times New Roman"/>
          <w:vertAlign w:val="superscript"/>
        </w:rPr>
        <w:footnoteReference w:id="254"/>
      </w:r>
      <w:r w:rsidRPr="003037D2">
        <w:rPr>
          <w:rFonts w:ascii="Garamond" w:eastAsia="Calibri" w:hAnsi="Garamond" w:cs="Times New Roman"/>
        </w:rPr>
        <w:t xml:space="preserve"> For the Reformers, who felt themselves at an epochal moment of history, the Bible had yet to take on a set, unalterable form. Words were still up for debate, often with far reaching devotional ramifications, as discussed in the debate on </w:t>
      </w:r>
      <w:r w:rsidRPr="003037D2">
        <w:rPr>
          <w:rFonts w:ascii="Garamond" w:eastAsia="Calibri" w:hAnsi="Garamond" w:cs="Times New Roman"/>
          <w:i/>
        </w:rPr>
        <w:t>metanoia</w:t>
      </w:r>
      <w:r w:rsidRPr="003037D2">
        <w:rPr>
          <w:rFonts w:ascii="Garamond" w:eastAsia="Calibri" w:hAnsi="Garamond" w:cs="Times New Roman"/>
        </w:rPr>
        <w:t xml:space="preserve"> later in this chapter. Hannibal Hamlin argues that in the Elizabethan period, translators of the Bible often maintained what ‘seem[s] to us an untenable distinction between the truth of the Scripture (what St. Paul terms the </w:t>
      </w:r>
      <w:r w:rsidR="002F1250">
        <w:rPr>
          <w:rFonts w:ascii="Garamond" w:eastAsia="Calibri" w:hAnsi="Garamond" w:cs="Times New Roman"/>
        </w:rPr>
        <w:t>“</w:t>
      </w:r>
      <w:proofErr w:type="gramStart"/>
      <w:r w:rsidRPr="003037D2">
        <w:rPr>
          <w:rFonts w:ascii="Garamond" w:eastAsia="Calibri" w:hAnsi="Garamond" w:cs="Times New Roman"/>
        </w:rPr>
        <w:t>spirit</w:t>
      </w:r>
      <w:r w:rsidR="002F1250">
        <w:rPr>
          <w:rFonts w:ascii="Garamond" w:eastAsia="Calibri" w:hAnsi="Garamond" w:cs="Times New Roman"/>
        </w:rPr>
        <w:t>”</w:t>
      </w:r>
      <w:r w:rsidRPr="003037D2">
        <w:rPr>
          <w:rFonts w:ascii="Garamond" w:eastAsia="Calibri" w:hAnsi="Garamond" w:cs="Times New Roman"/>
        </w:rPr>
        <w:t>[</w:t>
      </w:r>
      <w:proofErr w:type="gramEnd"/>
      <w:r w:rsidRPr="003037D2">
        <w:rPr>
          <w:rFonts w:ascii="Garamond" w:eastAsia="Calibri" w:hAnsi="Garamond" w:cs="Times New Roman"/>
        </w:rPr>
        <w:t xml:space="preserve">)] ... And the specific words of a </w:t>
      </w:r>
      <w:proofErr w:type="gramStart"/>
      <w:r w:rsidRPr="003037D2">
        <w:rPr>
          <w:rFonts w:ascii="Garamond" w:eastAsia="Calibri" w:hAnsi="Garamond" w:cs="Times New Roman"/>
        </w:rPr>
        <w:t>particular translation</w:t>
      </w:r>
      <w:proofErr w:type="gramEnd"/>
      <w:r w:rsidRPr="003037D2">
        <w:rPr>
          <w:rFonts w:ascii="Garamond" w:eastAsia="Calibri" w:hAnsi="Garamond" w:cs="Times New Roman"/>
        </w:rPr>
        <w:t>’.</w:t>
      </w:r>
      <w:r w:rsidRPr="003037D2">
        <w:rPr>
          <w:rFonts w:ascii="Garamond" w:eastAsia="Calibri" w:hAnsi="Garamond" w:cs="Times New Roman"/>
          <w:vertAlign w:val="superscript"/>
        </w:rPr>
        <w:footnoteReference w:id="255"/>
      </w:r>
      <w:r w:rsidRPr="003037D2">
        <w:rPr>
          <w:rFonts w:ascii="Garamond" w:eastAsia="Calibri" w:hAnsi="Garamond" w:cs="Times New Roman"/>
        </w:rPr>
        <w:t xml:space="preserve"> The relationship between spirit and word was a long-standing one, </w:t>
      </w:r>
      <w:proofErr w:type="spellStart"/>
      <w:r w:rsidRPr="003037D2">
        <w:rPr>
          <w:rFonts w:ascii="Garamond" w:eastAsia="Calibri" w:hAnsi="Garamond" w:cs="Times New Roman"/>
        </w:rPr>
        <w:t>epitomised</w:t>
      </w:r>
      <w:proofErr w:type="spellEnd"/>
      <w:r w:rsidRPr="003037D2">
        <w:rPr>
          <w:rFonts w:ascii="Garamond" w:eastAsia="Calibri" w:hAnsi="Garamond" w:cs="Times New Roman"/>
        </w:rPr>
        <w:t xml:space="preserve"> the identification of Christ with </w:t>
      </w:r>
      <w:r w:rsidRPr="003037D2">
        <w:rPr>
          <w:rFonts w:ascii="Garamond" w:eastAsia="Calibri" w:hAnsi="Garamond" w:cs="Times New Roman"/>
          <w:i/>
          <w:iCs/>
        </w:rPr>
        <w:t xml:space="preserve">Logos </w:t>
      </w:r>
      <w:r w:rsidRPr="003037D2">
        <w:rPr>
          <w:rFonts w:ascii="Garamond" w:eastAsia="Calibri" w:hAnsi="Garamond" w:cs="Times New Roman"/>
        </w:rPr>
        <w:t>in John 1.1</w:t>
      </w:r>
      <w:r w:rsidR="001C28BB" w:rsidRPr="003037D2">
        <w:rPr>
          <w:rFonts w:ascii="Garamond" w:eastAsia="Calibri" w:hAnsi="Garamond" w:cs="Times New Roman"/>
        </w:rPr>
        <w:t xml:space="preserve">, ‘in the beginning was the Word, and the Word was with God, and the Word was God’. </w:t>
      </w:r>
      <w:r w:rsidR="00F27EB0" w:rsidRPr="003037D2">
        <w:rPr>
          <w:rFonts w:ascii="Garamond" w:eastAsia="Calibri" w:hAnsi="Garamond" w:cs="Times New Roman"/>
        </w:rPr>
        <w:t>T</w:t>
      </w:r>
      <w:r w:rsidRPr="003037D2">
        <w:rPr>
          <w:rFonts w:ascii="Garamond" w:eastAsia="Calibri" w:hAnsi="Garamond" w:cs="Times New Roman"/>
        </w:rPr>
        <w:t xml:space="preserve">ranslating the Bible required that the spirit of a word could withstand profound shifts in the actual language used. </w:t>
      </w:r>
    </w:p>
    <w:p w14:paraId="47B3C2E8" w14:textId="77777777" w:rsidR="00162224" w:rsidRPr="003037D2" w:rsidRDefault="00162224" w:rsidP="00162224">
      <w:pPr>
        <w:spacing w:after="100" w:afterAutospacing="1" w:line="360" w:lineRule="auto"/>
        <w:rPr>
          <w:rFonts w:ascii="Garamond" w:eastAsia="Calibri" w:hAnsi="Garamond" w:cs="Times New Roman"/>
        </w:rPr>
      </w:pPr>
    </w:p>
    <w:p w14:paraId="56491DE4" w14:textId="77777777"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Mikhail Bakhtin’s description of the difference between world of the ‘epic’ and the ‘novel’ is helpful in illuminating the temporal shifts that occur as the result of biblical translation: </w:t>
      </w:r>
    </w:p>
    <w:p w14:paraId="4E0C84FA" w14:textId="4AAB749C" w:rsidR="00162224" w:rsidRDefault="00162224" w:rsidP="00162224">
      <w:pPr>
        <w:ind w:left="737" w:right="737"/>
        <w:rPr>
          <w:rFonts w:ascii="Garamond" w:eastAsia="Calibri" w:hAnsi="Garamond" w:cs="Times New Roman"/>
        </w:rPr>
      </w:pPr>
      <w:r w:rsidRPr="003037D2">
        <w:rPr>
          <w:rFonts w:ascii="Garamond" w:eastAsia="Calibri" w:hAnsi="Garamond" w:cs="Times New Roman"/>
        </w:rPr>
        <w:t xml:space="preserve">Both the singer and the listener, immanent in the epic as a genre, </w:t>
      </w:r>
      <w:proofErr w:type="gramStart"/>
      <w:r w:rsidRPr="003037D2">
        <w:rPr>
          <w:rFonts w:ascii="Garamond" w:eastAsia="Calibri" w:hAnsi="Garamond" w:cs="Times New Roman"/>
        </w:rPr>
        <w:t>are located in</w:t>
      </w:r>
      <w:proofErr w:type="gramEnd"/>
      <w:r w:rsidRPr="003037D2">
        <w:rPr>
          <w:rFonts w:ascii="Garamond" w:eastAsia="Calibri" w:hAnsi="Garamond" w:cs="Times New Roman"/>
        </w:rPr>
        <w:t xml:space="preserve"> the same time and on the same evaluative (hierarchical) plane, but the represented world of the heroes stands on an utterly different and inaccessible time-and-value plane, separated by epic distance. The space between them is filled with national tradition. To portray an event on the same time-and-value plane as oneself and one’s contemporaries (and an event that is therefore based on personal experience and thought) is to undertake a radical revolution, and to step out of the world of the epic into the world of the novel…</w:t>
      </w:r>
      <w:r w:rsidRPr="003037D2">
        <w:rPr>
          <w:rFonts w:ascii="Garamond" w:eastAsia="Calibri" w:hAnsi="Garamond" w:cs="Times New Roman"/>
          <w:vertAlign w:val="superscript"/>
        </w:rPr>
        <w:footnoteReference w:id="256"/>
      </w:r>
      <w:r w:rsidRPr="003037D2">
        <w:rPr>
          <w:rFonts w:ascii="Garamond" w:eastAsia="Calibri" w:hAnsi="Garamond" w:cs="Times New Roman"/>
        </w:rPr>
        <w:t xml:space="preserve">  </w:t>
      </w:r>
    </w:p>
    <w:p w14:paraId="2EA56F72" w14:textId="77777777" w:rsidR="0056489A" w:rsidRPr="003037D2" w:rsidRDefault="0056489A" w:rsidP="00162224">
      <w:pPr>
        <w:ind w:left="737" w:right="737"/>
        <w:rPr>
          <w:rFonts w:ascii="Garamond" w:eastAsia="Calibri" w:hAnsi="Garamond" w:cs="Times New Roman"/>
        </w:rPr>
      </w:pPr>
    </w:p>
    <w:p w14:paraId="515639CB" w14:textId="43CFD022" w:rsidR="00162224" w:rsidRPr="003037D2" w:rsidRDefault="00162224" w:rsidP="00162224">
      <w:pPr>
        <w:spacing w:after="100" w:afterAutospacing="1" w:line="360" w:lineRule="auto"/>
        <w:rPr>
          <w:rFonts w:ascii="Garamond" w:eastAsia="Calibri" w:hAnsi="Garamond" w:cs="Times New Roman"/>
        </w:rPr>
      </w:pPr>
      <w:r w:rsidRPr="003037D2">
        <w:rPr>
          <w:rFonts w:ascii="Garamond" w:eastAsia="Calibri" w:hAnsi="Garamond" w:cs="Times New Roman"/>
        </w:rPr>
        <w:t>Bakhtin suggests that the fundamental difference between these two genres, or modes of narration, is a temporal one. ‘Tradition’ creates a temporal gap between the events in the epic and the listener, and specifically between the singer of the epic and the auditor. Collapsing this distance is necessary to bring the singer into more direct contact with the listener. The world and words of the Psalms could be approached either at a historic, epic remove, or with ‘novel’ immediacy. Parker’s focus upon tradition, and the creation of a history for the church, keeps the psalms somewhat at an ‘epic remove’. I later argue that Lock and Sidney</w:t>
      </w:r>
      <w:r w:rsidR="002F1250">
        <w:rPr>
          <w:rFonts w:ascii="Garamond" w:eastAsia="Calibri" w:hAnsi="Garamond" w:cs="Times New Roman"/>
        </w:rPr>
        <w:t xml:space="preserve"> Herbert</w:t>
      </w:r>
      <w:r w:rsidRPr="003037D2">
        <w:rPr>
          <w:rFonts w:ascii="Garamond" w:eastAsia="Calibri" w:hAnsi="Garamond" w:cs="Times New Roman"/>
        </w:rPr>
        <w:t>’s psalm translations focus on the immediacy of the text. The process of psalm translation was one of recreation: Reformers wanted to create a workable history for the new Church. The discontinuity between old and new religious practice needed to be breached, and the Psalms were at the heart of this practice. In John Donne’s second Prebend sermon on Psalm 63.7, discussed briefly in the introduction, Donne describes how unmediated the verse seems to him: ‘</w:t>
      </w:r>
      <w:r w:rsidRPr="003037D2">
        <w:rPr>
          <w:rFonts w:ascii="Garamond" w:eastAsia="Calibri" w:hAnsi="Garamond" w:cs="Times New Roman"/>
          <w:i/>
        </w:rPr>
        <w:t xml:space="preserve">David </w:t>
      </w:r>
      <w:r w:rsidRPr="003037D2">
        <w:rPr>
          <w:rFonts w:ascii="Garamond" w:eastAsia="Calibri" w:hAnsi="Garamond" w:cs="Times New Roman"/>
        </w:rPr>
        <w:t xml:space="preserve">was not </w:t>
      </w:r>
      <w:proofErr w:type="spellStart"/>
      <w:r w:rsidRPr="003037D2">
        <w:rPr>
          <w:rFonts w:ascii="Garamond" w:eastAsia="Calibri" w:hAnsi="Garamond" w:cs="Times New Roman"/>
        </w:rPr>
        <w:t>onely</w:t>
      </w:r>
      <w:proofErr w:type="spellEnd"/>
      <w:r w:rsidRPr="003037D2">
        <w:rPr>
          <w:rFonts w:ascii="Garamond" w:eastAsia="Calibri" w:hAnsi="Garamond" w:cs="Times New Roman"/>
        </w:rPr>
        <w:t xml:space="preserve"> a clear Prophet of Christ himself, but a Prophet of every particular Christian; He </w:t>
      </w:r>
      <w:proofErr w:type="spellStart"/>
      <w:r w:rsidRPr="003037D2">
        <w:rPr>
          <w:rFonts w:ascii="Garamond" w:eastAsia="Calibri" w:hAnsi="Garamond" w:cs="Times New Roman"/>
        </w:rPr>
        <w:t>fortels</w:t>
      </w:r>
      <w:proofErr w:type="spellEnd"/>
      <w:r w:rsidRPr="003037D2">
        <w:rPr>
          <w:rFonts w:ascii="Garamond" w:eastAsia="Calibri" w:hAnsi="Garamond" w:cs="Times New Roman"/>
        </w:rPr>
        <w:t xml:space="preserve"> what I, what any shall doe, and suffer, and say’.</w:t>
      </w:r>
      <w:r w:rsidRPr="003037D2">
        <w:rPr>
          <w:rFonts w:ascii="Garamond" w:eastAsia="Calibri" w:hAnsi="Garamond" w:cs="Times New Roman"/>
          <w:vertAlign w:val="superscript"/>
        </w:rPr>
        <w:footnoteReference w:id="257"/>
      </w:r>
      <w:r w:rsidRPr="003037D2">
        <w:rPr>
          <w:rFonts w:ascii="Garamond" w:eastAsia="Calibri" w:hAnsi="Garamond" w:cs="Times New Roman"/>
        </w:rPr>
        <w:t xml:space="preserve"> David’s words are seen as going to the heart of individual experience, not only reflecting but </w:t>
      </w:r>
      <w:proofErr w:type="spellStart"/>
      <w:r w:rsidRPr="003037D2">
        <w:rPr>
          <w:rFonts w:ascii="Garamond" w:eastAsia="Calibri" w:hAnsi="Garamond" w:cs="Times New Roman"/>
        </w:rPr>
        <w:t>prophesising</w:t>
      </w:r>
      <w:proofErr w:type="spellEnd"/>
      <w:r w:rsidRPr="003037D2">
        <w:rPr>
          <w:rFonts w:ascii="Garamond" w:eastAsia="Calibri" w:hAnsi="Garamond" w:cs="Times New Roman"/>
        </w:rPr>
        <w:t xml:space="preserve"> what each individual shall do, feel and say. Translation attempts to make this personal connection, to let the Psalmist stand on the ‘same time-and value plane as oneself’. </w:t>
      </w:r>
    </w:p>
    <w:p w14:paraId="73F40BD1" w14:textId="77777777" w:rsidR="00162224" w:rsidRPr="003037D2" w:rsidRDefault="00162224" w:rsidP="00162224">
      <w:pPr>
        <w:spacing w:after="100" w:afterAutospacing="1" w:line="360" w:lineRule="auto"/>
        <w:rPr>
          <w:rFonts w:ascii="Garamond" w:eastAsia="Calibri" w:hAnsi="Garamond" w:cs="Times New Roman"/>
        </w:rPr>
      </w:pPr>
    </w:p>
    <w:p w14:paraId="7476406B" w14:textId="1B1406E4" w:rsidR="00162224" w:rsidRPr="003037D2" w:rsidRDefault="00162224" w:rsidP="002F1250">
      <w:pPr>
        <w:spacing w:after="120" w:line="360" w:lineRule="auto"/>
        <w:rPr>
          <w:rFonts w:ascii="Garamond" w:eastAsia="Calibri" w:hAnsi="Garamond" w:cs="Times New Roman"/>
        </w:rPr>
      </w:pPr>
      <w:r w:rsidRPr="003037D2">
        <w:rPr>
          <w:rFonts w:ascii="Garamond" w:eastAsia="Calibri" w:hAnsi="Garamond" w:cs="Times New Roman"/>
        </w:rPr>
        <w:lastRenderedPageBreak/>
        <w:tab/>
        <w:t xml:space="preserve">Parker’s efforts at translation have largely been condemned by scholars as sloppy. </w:t>
      </w:r>
      <w:r w:rsidRPr="003037D2">
        <w:rPr>
          <w:rFonts w:ascii="Garamond" w:eastAsia="Calibri" w:hAnsi="Garamond" w:cs="Times New Roman"/>
          <w:i/>
        </w:rPr>
        <w:t>The Bishops’ Bible</w:t>
      </w:r>
      <w:r w:rsidRPr="003037D2">
        <w:rPr>
          <w:rFonts w:ascii="Garamond" w:eastAsia="Calibri" w:hAnsi="Garamond" w:cs="Times New Roman"/>
        </w:rPr>
        <w:t xml:space="preserve"> is known as the ‘Treacle Bible’ due to the mistranslation of Jeremiah 8.22 as ‘Is there not treacle at Gilead?’.</w:t>
      </w:r>
      <w:r w:rsidRPr="003037D2">
        <w:rPr>
          <w:rFonts w:ascii="Garamond" w:eastAsia="Calibri" w:hAnsi="Garamond" w:cs="Times New Roman"/>
          <w:vertAlign w:val="superscript"/>
        </w:rPr>
        <w:footnoteReference w:id="258"/>
      </w:r>
      <w:r w:rsidRPr="003037D2">
        <w:rPr>
          <w:rFonts w:ascii="Garamond" w:eastAsia="Calibri" w:hAnsi="Garamond" w:cs="Times New Roman"/>
        </w:rPr>
        <w:t xml:space="preserve"> David </w:t>
      </w:r>
      <w:proofErr w:type="spellStart"/>
      <w:r w:rsidRPr="003037D2">
        <w:rPr>
          <w:rFonts w:ascii="Garamond" w:eastAsia="Calibri" w:hAnsi="Garamond" w:cs="Times New Roman"/>
        </w:rPr>
        <w:t>Daniell</w:t>
      </w:r>
      <w:proofErr w:type="spellEnd"/>
      <w:r w:rsidRPr="003037D2">
        <w:rPr>
          <w:rFonts w:ascii="Garamond" w:eastAsia="Calibri" w:hAnsi="Garamond" w:cs="Times New Roman"/>
        </w:rPr>
        <w:t xml:space="preserve"> argues that </w:t>
      </w:r>
      <w:r w:rsidRPr="003037D2">
        <w:rPr>
          <w:rFonts w:ascii="Garamond" w:eastAsia="Calibri" w:hAnsi="Garamond" w:cs="Times New Roman"/>
          <w:i/>
        </w:rPr>
        <w:t>The Bishops’ Bible</w:t>
      </w:r>
      <w:r w:rsidRPr="003037D2">
        <w:rPr>
          <w:rFonts w:ascii="Garamond" w:eastAsia="Calibri" w:hAnsi="Garamond" w:cs="Times New Roman"/>
        </w:rPr>
        <w:t xml:space="preserve"> ‘</w:t>
      </w:r>
      <w:r w:rsidRPr="003037D2">
        <w:rPr>
          <w:rFonts w:ascii="Garamond" w:eastAsia="Calibri" w:hAnsi="Garamond" w:cs="Times New Roman"/>
          <w:lang w:val="en"/>
        </w:rPr>
        <w:t>was, and is, not loved… most of the original work is incompetent, both in its scholarship and its verbosity’.</w:t>
      </w:r>
      <w:r w:rsidRPr="003037D2">
        <w:rPr>
          <w:rFonts w:ascii="Garamond" w:eastAsia="Calibri" w:hAnsi="Garamond" w:cs="Times New Roman"/>
          <w:vertAlign w:val="superscript"/>
          <w:lang w:val="en"/>
        </w:rPr>
        <w:footnoteReference w:id="259"/>
      </w:r>
      <w:r w:rsidRPr="003037D2">
        <w:rPr>
          <w:rFonts w:ascii="Garamond" w:eastAsia="Calibri" w:hAnsi="Garamond" w:cs="Times New Roman"/>
          <w:lang w:val="en"/>
        </w:rPr>
        <w:t xml:space="preserve"> The recent expansive </w:t>
      </w:r>
      <w:r w:rsidRPr="003037D2">
        <w:rPr>
          <w:rFonts w:ascii="Garamond" w:eastAsia="Calibri" w:hAnsi="Garamond" w:cs="Times New Roman"/>
          <w:i/>
          <w:lang w:val="en"/>
        </w:rPr>
        <w:t xml:space="preserve">Oxford Handbook of the Bible in Early Modern England </w:t>
      </w:r>
      <w:r w:rsidRPr="003037D2">
        <w:rPr>
          <w:rFonts w:ascii="Garamond" w:eastAsia="Calibri" w:hAnsi="Garamond" w:cs="Times New Roman"/>
          <w:iCs/>
          <w:lang w:val="en"/>
        </w:rPr>
        <w:t>pays only pa</w:t>
      </w:r>
      <w:r w:rsidR="00667CD5">
        <w:rPr>
          <w:rFonts w:ascii="Garamond" w:eastAsia="Calibri" w:hAnsi="Garamond" w:cs="Times New Roman"/>
          <w:iCs/>
          <w:lang w:val="en"/>
        </w:rPr>
        <w:t xml:space="preserve">ssing references to </w:t>
      </w:r>
      <w:r w:rsidR="002F1250" w:rsidRPr="002F1250">
        <w:rPr>
          <w:rFonts w:ascii="Garamond" w:eastAsia="Calibri" w:hAnsi="Garamond" w:cs="Times New Roman"/>
          <w:i/>
          <w:lang w:val="en"/>
        </w:rPr>
        <w:t>T</w:t>
      </w:r>
      <w:r w:rsidR="00667CD5" w:rsidRPr="002F1250">
        <w:rPr>
          <w:rFonts w:ascii="Garamond" w:eastAsia="Calibri" w:hAnsi="Garamond" w:cs="Times New Roman"/>
          <w:i/>
          <w:lang w:val="en"/>
        </w:rPr>
        <w:t>he Bishops’</w:t>
      </w:r>
      <w:r w:rsidRPr="002F1250">
        <w:rPr>
          <w:rFonts w:ascii="Garamond" w:eastAsia="Calibri" w:hAnsi="Garamond" w:cs="Times New Roman"/>
          <w:i/>
          <w:lang w:val="en"/>
        </w:rPr>
        <w:t xml:space="preserve"> Bible</w:t>
      </w:r>
      <w:r w:rsidRPr="003037D2">
        <w:rPr>
          <w:rFonts w:ascii="Garamond" w:eastAsia="Calibri" w:hAnsi="Garamond" w:cs="Times New Roman"/>
          <w:iCs/>
          <w:lang w:val="en"/>
        </w:rPr>
        <w:t xml:space="preserve">. When it is spoken of, it is derided as </w:t>
      </w:r>
      <w:r w:rsidRPr="003037D2">
        <w:rPr>
          <w:rFonts w:ascii="Garamond" w:eastAsia="Calibri" w:hAnsi="Garamond" w:cs="Times New Roman"/>
        </w:rPr>
        <w:t>‘discredited on all sides’ and ‘justly maligned’.</w:t>
      </w:r>
      <w:r w:rsidRPr="003037D2">
        <w:rPr>
          <w:rFonts w:ascii="Garamond" w:eastAsia="Calibri" w:hAnsi="Garamond" w:cs="Times New Roman"/>
          <w:vertAlign w:val="superscript"/>
        </w:rPr>
        <w:footnoteReference w:id="260"/>
      </w:r>
      <w:r w:rsidRPr="003037D2">
        <w:rPr>
          <w:rFonts w:ascii="Garamond" w:eastAsia="Calibri" w:hAnsi="Garamond" w:cs="Times New Roman"/>
        </w:rPr>
        <w:t xml:space="preserve"> Historians and biblical scholars have been disquieted by the lack of consistency that the text showed. For example, ‘Lord’ and ‘God’ are used interchangeably with seemingly little regard for implications this had for the Trinitarian debate. Gerald Hammond dismisses it as having a ‘complete lack of any editorial policy’, and a ‘lazy and ill-informed collation of what had gone before’.</w:t>
      </w:r>
      <w:r w:rsidRPr="003037D2">
        <w:rPr>
          <w:rFonts w:ascii="Garamond" w:eastAsia="Calibri" w:hAnsi="Garamond" w:cs="Times New Roman"/>
          <w:vertAlign w:val="superscript"/>
        </w:rPr>
        <w:footnoteReference w:id="261"/>
      </w:r>
      <w:r w:rsidRPr="003037D2">
        <w:rPr>
          <w:rFonts w:ascii="Garamond" w:eastAsia="Calibri" w:hAnsi="Garamond" w:cs="Times New Roman"/>
        </w:rPr>
        <w:t xml:space="preserve"> However, as discussed, this ‘collation of what had gone before’ was in fact the result of Parker’s editorial decisions, although this may not be a strategy that appeals to modern audiences or indeed</w:t>
      </w:r>
      <w:r w:rsidR="00F27EB0" w:rsidRPr="003037D2">
        <w:rPr>
          <w:rFonts w:ascii="Garamond" w:eastAsia="Calibri" w:hAnsi="Garamond" w:cs="Times New Roman"/>
        </w:rPr>
        <w:t xml:space="preserve"> his</w:t>
      </w:r>
      <w:r w:rsidRPr="003037D2">
        <w:rPr>
          <w:rFonts w:ascii="Garamond" w:eastAsia="Calibri" w:hAnsi="Garamond" w:cs="Times New Roman"/>
        </w:rPr>
        <w:t xml:space="preserve"> contemporary readers. For Parker, to collate what has gone before is to partake in a recognizable tradition. This is translation promoting temporal continuity, building community rather than creating afresh. Parker’s introduction to the Bible pre-emptively speaks back against his critics, lampooning those who </w:t>
      </w:r>
      <w:proofErr w:type="spellStart"/>
      <w:r w:rsidRPr="003037D2">
        <w:rPr>
          <w:rFonts w:ascii="Garamond" w:eastAsia="Calibri" w:hAnsi="Garamond" w:cs="Times New Roman"/>
        </w:rPr>
        <w:t>criticise</w:t>
      </w:r>
      <w:proofErr w:type="spellEnd"/>
      <w:r w:rsidRPr="003037D2">
        <w:rPr>
          <w:rFonts w:ascii="Garamond" w:eastAsia="Calibri" w:hAnsi="Garamond" w:cs="Times New Roman"/>
        </w:rPr>
        <w:t xml:space="preserve"> translators without ever trying to translate themselves: </w:t>
      </w:r>
    </w:p>
    <w:p w14:paraId="77922D7F" w14:textId="00995ED2" w:rsidR="00162224" w:rsidRPr="003037D2" w:rsidRDefault="00162224" w:rsidP="00162224">
      <w:pPr>
        <w:spacing w:after="100" w:afterAutospacing="1"/>
        <w:ind w:left="737" w:right="737"/>
        <w:rPr>
          <w:rFonts w:ascii="Garamond" w:eastAsia="Calibri" w:hAnsi="Garamond" w:cs="Times New Roman"/>
        </w:rPr>
      </w:pPr>
      <w:r w:rsidRPr="003037D2">
        <w:rPr>
          <w:rFonts w:ascii="Garamond" w:eastAsia="Calibri" w:hAnsi="Garamond" w:cs="Times New Roman"/>
        </w:rPr>
        <w:t xml:space="preserve">We may behold the </w:t>
      </w:r>
      <w:proofErr w:type="spellStart"/>
      <w:r w:rsidRPr="003037D2">
        <w:rPr>
          <w:rFonts w:ascii="Garamond" w:eastAsia="Calibri" w:hAnsi="Garamond" w:cs="Times New Roman"/>
        </w:rPr>
        <w:t>endeavour</w:t>
      </w:r>
      <w:proofErr w:type="spellEnd"/>
      <w:r w:rsidRPr="003037D2">
        <w:rPr>
          <w:rFonts w:ascii="Garamond" w:eastAsia="Calibri" w:hAnsi="Garamond" w:cs="Times New Roman"/>
        </w:rPr>
        <w:t xml:space="preserve"> of some men’s cavillations, who </w:t>
      </w:r>
      <w:proofErr w:type="spellStart"/>
      <w:r w:rsidRPr="003037D2">
        <w:rPr>
          <w:rFonts w:ascii="Garamond" w:eastAsia="Calibri" w:hAnsi="Garamond" w:cs="Times New Roman"/>
        </w:rPr>
        <w:t>labour</w:t>
      </w:r>
      <w:proofErr w:type="spellEnd"/>
      <w:r w:rsidRPr="003037D2">
        <w:rPr>
          <w:rFonts w:ascii="Garamond" w:eastAsia="Calibri" w:hAnsi="Garamond" w:cs="Times New Roman"/>
        </w:rPr>
        <w:t xml:space="preserve"> all they can to slander the translators, to find fault in some words of the translation, but themselves will never set pen to the book, to set out any translation at all…. What manner of translation may men think to look for at their hands, if they should translate the Scriptures to the comfort of God’s elect, which they never did… but be rather studious only to seek quarrels in other men’s well-doings, to pick fault where none is and where any is escaped through human negligence, there to cry out with their tragical exclamations, but in no wise to amend by the spirit of charity and lenity, that which might be more aptly set</w:t>
      </w:r>
      <w:r w:rsidR="002F1250">
        <w:rPr>
          <w:rFonts w:ascii="Garamond" w:eastAsia="Calibri" w:hAnsi="Garamond" w:cs="Times New Roman"/>
        </w:rPr>
        <w:t>.</w:t>
      </w:r>
      <w:r w:rsidRPr="003037D2">
        <w:rPr>
          <w:rFonts w:ascii="Garamond" w:eastAsia="Calibri" w:hAnsi="Garamond" w:cs="Times New Roman"/>
          <w:vertAlign w:val="superscript"/>
        </w:rPr>
        <w:footnoteReference w:id="262"/>
      </w:r>
    </w:p>
    <w:p w14:paraId="3DE85F3E" w14:textId="77777777" w:rsidR="00162224" w:rsidRPr="003037D2" w:rsidRDefault="00162224" w:rsidP="00162224">
      <w:pPr>
        <w:spacing w:after="100" w:afterAutospacing="1" w:line="360" w:lineRule="auto"/>
        <w:rPr>
          <w:rFonts w:ascii="Garamond" w:eastAsia="Calibri" w:hAnsi="Garamond" w:cs="Times New Roman"/>
        </w:rPr>
      </w:pPr>
      <w:r w:rsidRPr="003037D2">
        <w:rPr>
          <w:rFonts w:ascii="Garamond" w:eastAsia="Calibri" w:hAnsi="Garamond" w:cs="Times New Roman"/>
        </w:rPr>
        <w:t xml:space="preserve">Whilst he admits that ‘human negligence’ may lead to faults, Parker insists that </w:t>
      </w:r>
      <w:proofErr w:type="gramStart"/>
      <w:r w:rsidRPr="003037D2">
        <w:rPr>
          <w:rFonts w:ascii="Garamond" w:eastAsia="Calibri" w:hAnsi="Garamond" w:cs="Times New Roman"/>
        </w:rPr>
        <w:t>actually performing</w:t>
      </w:r>
      <w:proofErr w:type="gramEnd"/>
      <w:r w:rsidRPr="003037D2">
        <w:rPr>
          <w:rFonts w:ascii="Garamond" w:eastAsia="Calibri" w:hAnsi="Garamond" w:cs="Times New Roman"/>
        </w:rPr>
        <w:t xml:space="preserve"> the </w:t>
      </w:r>
      <w:proofErr w:type="spellStart"/>
      <w:r w:rsidRPr="003037D2">
        <w:rPr>
          <w:rFonts w:ascii="Garamond" w:eastAsia="Calibri" w:hAnsi="Garamond" w:cs="Times New Roman"/>
        </w:rPr>
        <w:t>labour</w:t>
      </w:r>
      <w:proofErr w:type="spellEnd"/>
      <w:r w:rsidRPr="003037D2">
        <w:rPr>
          <w:rFonts w:ascii="Garamond" w:eastAsia="Calibri" w:hAnsi="Garamond" w:cs="Times New Roman"/>
        </w:rPr>
        <w:t xml:space="preserve"> of translation is a mark of godliness. Contrastingly, the ‘</w:t>
      </w:r>
      <w:proofErr w:type="spellStart"/>
      <w:r w:rsidRPr="003037D2">
        <w:rPr>
          <w:rFonts w:ascii="Garamond" w:eastAsia="Calibri" w:hAnsi="Garamond" w:cs="Times New Roman"/>
        </w:rPr>
        <w:t>labour</w:t>
      </w:r>
      <w:proofErr w:type="spellEnd"/>
      <w:r w:rsidRPr="003037D2">
        <w:rPr>
          <w:rFonts w:ascii="Garamond" w:eastAsia="Calibri" w:hAnsi="Garamond" w:cs="Times New Roman"/>
        </w:rPr>
        <w:t>’ of ‘some men’s cavillations’ is utterly hollow, based on nothing but self-</w:t>
      </w:r>
      <w:r w:rsidRPr="003037D2">
        <w:rPr>
          <w:rFonts w:ascii="Garamond" w:eastAsia="Calibri" w:hAnsi="Garamond" w:cs="Times New Roman"/>
        </w:rPr>
        <w:lastRenderedPageBreak/>
        <w:t xml:space="preserve">aggrandizement. Whilst there may be some level of error in the translation, this stands in opposition to the deliberately misleading efforts of ‘the </w:t>
      </w:r>
      <w:proofErr w:type="spellStart"/>
      <w:r w:rsidRPr="003037D2">
        <w:rPr>
          <w:rFonts w:ascii="Garamond" w:eastAsia="Calibri" w:hAnsi="Garamond" w:cs="Times New Roman"/>
        </w:rPr>
        <w:t>chiefe</w:t>
      </w:r>
      <w:proofErr w:type="spellEnd"/>
      <w:r w:rsidRPr="003037D2">
        <w:rPr>
          <w:rFonts w:ascii="Garamond" w:eastAsia="Calibri" w:hAnsi="Garamond" w:cs="Times New Roman"/>
        </w:rPr>
        <w:t xml:space="preserve"> pillars of the </w:t>
      </w:r>
      <w:proofErr w:type="spellStart"/>
      <w:r w:rsidRPr="003037D2">
        <w:rPr>
          <w:rFonts w:ascii="Garamond" w:eastAsia="Calibri" w:hAnsi="Garamond" w:cs="Times New Roman"/>
        </w:rPr>
        <w:t>Catholique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fayth</w:t>
      </w:r>
      <w:proofErr w:type="spellEnd"/>
      <w:r w:rsidRPr="003037D2">
        <w:rPr>
          <w:rFonts w:ascii="Garamond" w:eastAsia="Calibri" w:hAnsi="Garamond" w:cs="Times New Roman"/>
        </w:rPr>
        <w:t xml:space="preserve">’ who ‘corruptly… of purpose abuse the text to the </w:t>
      </w:r>
      <w:proofErr w:type="spellStart"/>
      <w:r w:rsidRPr="003037D2">
        <w:rPr>
          <w:rFonts w:ascii="Garamond" w:eastAsia="Calibri" w:hAnsi="Garamond" w:cs="Times New Roman"/>
        </w:rPr>
        <w:t>comoditie</w:t>
      </w:r>
      <w:proofErr w:type="spellEnd"/>
      <w:r w:rsidRPr="003037D2">
        <w:rPr>
          <w:rFonts w:ascii="Garamond" w:eastAsia="Calibri" w:hAnsi="Garamond" w:cs="Times New Roman"/>
        </w:rPr>
        <w:t xml:space="preserve"> of their cause’.</w:t>
      </w:r>
      <w:r w:rsidRPr="003037D2">
        <w:rPr>
          <w:rFonts w:ascii="Garamond" w:eastAsia="Calibri" w:hAnsi="Garamond" w:cs="Times New Roman"/>
          <w:vertAlign w:val="superscript"/>
        </w:rPr>
        <w:footnoteReference w:id="263"/>
      </w:r>
    </w:p>
    <w:p w14:paraId="445E801D" w14:textId="489C4138" w:rsidR="00162224" w:rsidRPr="003037D2" w:rsidRDefault="00162224" w:rsidP="00667CD5">
      <w:pPr>
        <w:spacing w:after="100" w:afterAutospacing="1" w:line="360" w:lineRule="auto"/>
        <w:ind w:firstLine="720"/>
        <w:rPr>
          <w:rFonts w:ascii="Garamond" w:eastAsia="Calibri" w:hAnsi="Garamond" w:cs="Times New Roman"/>
        </w:rPr>
      </w:pPr>
      <w:r w:rsidRPr="002F1250">
        <w:rPr>
          <w:rFonts w:ascii="Garamond" w:eastAsia="Calibri" w:hAnsi="Garamond" w:cs="Times New Roman"/>
          <w:i/>
          <w:iCs/>
        </w:rPr>
        <w:t>The Bishops’ Bible</w:t>
      </w:r>
      <w:r w:rsidRPr="003037D2">
        <w:rPr>
          <w:rFonts w:ascii="Garamond" w:eastAsia="Calibri" w:hAnsi="Garamond" w:cs="Times New Roman"/>
        </w:rPr>
        <w:t xml:space="preserve"> was a beautifully produced text, with 124 full page illustrations and a series of detailed historical timelines at the front, situating this biblical translation within a Christological lineage. Similarly to the chronologies at the beginning of almanacs discussed in the preceding chapter, these genealogical time-lines simultaneously ‘underline continuity’, and differentiate between ‘two categories of the past with the deliberate and consistent placing of one before the other’.</w:t>
      </w:r>
      <w:r w:rsidRPr="003037D2">
        <w:rPr>
          <w:rFonts w:ascii="Garamond" w:eastAsia="Calibri" w:hAnsi="Garamond" w:cs="Times New Roman"/>
          <w:vertAlign w:val="superscript"/>
        </w:rPr>
        <w:footnoteReference w:id="264"/>
      </w:r>
      <w:r w:rsidRPr="003037D2">
        <w:rPr>
          <w:rFonts w:ascii="Garamond" w:eastAsia="Calibri" w:hAnsi="Garamond" w:cs="Times New Roman"/>
        </w:rPr>
        <w:t xml:space="preserve"> This continuity seems crucial to Parker and his editorial mission. The prefatory materials to </w:t>
      </w:r>
      <w:r w:rsidRPr="003037D2">
        <w:rPr>
          <w:rFonts w:ascii="Garamond" w:eastAsia="Calibri" w:hAnsi="Garamond" w:cs="Times New Roman"/>
          <w:i/>
        </w:rPr>
        <w:t>The Bishop</w:t>
      </w:r>
      <w:r w:rsidR="00667CD5">
        <w:rPr>
          <w:rFonts w:ascii="Garamond" w:eastAsia="Calibri" w:hAnsi="Garamond" w:cs="Times New Roman"/>
          <w:i/>
        </w:rPr>
        <w:t>s</w:t>
      </w:r>
      <w:r w:rsidRPr="003037D2">
        <w:rPr>
          <w:rFonts w:ascii="Garamond" w:eastAsia="Calibri" w:hAnsi="Garamond" w:cs="Times New Roman"/>
          <w:i/>
        </w:rPr>
        <w:t>’ Bible</w:t>
      </w:r>
      <w:r w:rsidRPr="003037D2">
        <w:rPr>
          <w:rFonts w:ascii="Garamond" w:eastAsia="Calibri" w:hAnsi="Garamond" w:cs="Times New Roman"/>
        </w:rPr>
        <w:t xml:space="preserve"> attest to Parker’s investment in history writing. In the foreword Parker describes the history of the Church in England, drawing an unbroken line from these church forefathers to Cranmer, establishing a link between the Church of the Reformation and that of ancient Britain. The 1568 and 1572 editions include an eleven page ‘</w:t>
      </w:r>
      <w:proofErr w:type="spellStart"/>
      <w:r w:rsidRPr="003037D2">
        <w:rPr>
          <w:rFonts w:ascii="Garamond" w:eastAsia="Calibri" w:hAnsi="Garamond" w:cs="Times New Roman"/>
        </w:rPr>
        <w:t>genealogie</w:t>
      </w:r>
      <w:proofErr w:type="spellEnd"/>
      <w:r w:rsidRPr="003037D2">
        <w:rPr>
          <w:rFonts w:ascii="Garamond" w:eastAsia="Calibri" w:hAnsi="Garamond" w:cs="Times New Roman"/>
        </w:rPr>
        <w:t xml:space="preserve"> of Adam, so passing by the </w:t>
      </w:r>
      <w:proofErr w:type="spellStart"/>
      <w:r w:rsidRPr="003037D2">
        <w:rPr>
          <w:rFonts w:ascii="Garamond" w:eastAsia="Calibri" w:hAnsi="Garamond" w:cs="Times New Roman"/>
        </w:rPr>
        <w:t>Patriarches</w:t>
      </w:r>
      <w:proofErr w:type="spellEnd"/>
      <w:r w:rsidRPr="003037D2">
        <w:rPr>
          <w:rFonts w:ascii="Garamond" w:eastAsia="Calibri" w:hAnsi="Garamond" w:cs="Times New Roman"/>
        </w:rPr>
        <w:t xml:space="preserve">, Judges, </w:t>
      </w:r>
      <w:proofErr w:type="spellStart"/>
      <w:r w:rsidRPr="003037D2">
        <w:rPr>
          <w:rFonts w:ascii="Garamond" w:eastAsia="Calibri" w:hAnsi="Garamond" w:cs="Times New Roman"/>
        </w:rPr>
        <w:t>Kynges</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Prophetes</w:t>
      </w:r>
      <w:proofErr w:type="spellEnd"/>
      <w:r w:rsidRPr="003037D2">
        <w:rPr>
          <w:rFonts w:ascii="Garamond" w:eastAsia="Calibri" w:hAnsi="Garamond" w:cs="Times New Roman"/>
        </w:rPr>
        <w:t xml:space="preserve">, and </w:t>
      </w:r>
      <w:proofErr w:type="spellStart"/>
      <w:r w:rsidRPr="003037D2">
        <w:rPr>
          <w:rFonts w:ascii="Garamond" w:eastAsia="Calibri" w:hAnsi="Garamond" w:cs="Times New Roman"/>
        </w:rPr>
        <w:t>Priestes</w:t>
      </w:r>
      <w:proofErr w:type="spellEnd"/>
      <w:r w:rsidRPr="003037D2">
        <w:rPr>
          <w:rFonts w:ascii="Garamond" w:eastAsia="Calibri" w:hAnsi="Garamond" w:cs="Times New Roman"/>
        </w:rPr>
        <w:t xml:space="preserve">, and the fathers of their </w:t>
      </w:r>
      <w:proofErr w:type="spellStart"/>
      <w:r w:rsidRPr="003037D2">
        <w:rPr>
          <w:rFonts w:ascii="Garamond" w:eastAsia="Calibri" w:hAnsi="Garamond" w:cs="Times New Roman"/>
        </w:rPr>
        <w:t>tyme</w:t>
      </w:r>
      <w:proofErr w:type="spellEnd"/>
      <w:r w:rsidRPr="003037D2">
        <w:rPr>
          <w:rFonts w:ascii="Garamond" w:eastAsia="Calibri" w:hAnsi="Garamond" w:cs="Times New Roman"/>
        </w:rPr>
        <w:t xml:space="preserve">, continuing in lineal dissent to </w:t>
      </w:r>
      <w:proofErr w:type="spellStart"/>
      <w:r w:rsidRPr="003037D2">
        <w:rPr>
          <w:rFonts w:ascii="Garamond" w:eastAsia="Calibri" w:hAnsi="Garamond" w:cs="Times New Roman"/>
        </w:rPr>
        <w:t>Christe</w:t>
      </w:r>
      <w:proofErr w:type="spellEnd"/>
      <w:r w:rsidRPr="003037D2">
        <w:rPr>
          <w:rFonts w:ascii="Garamond" w:eastAsia="Calibri" w:hAnsi="Garamond" w:cs="Times New Roman"/>
        </w:rPr>
        <w:t xml:space="preserve"> our </w:t>
      </w:r>
      <w:proofErr w:type="spellStart"/>
      <w:r w:rsidRPr="003037D2">
        <w:rPr>
          <w:rFonts w:ascii="Garamond" w:eastAsia="Calibri" w:hAnsi="Garamond" w:cs="Times New Roman"/>
        </w:rPr>
        <w:t>saviour</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265"/>
      </w:r>
      <w:r w:rsidRPr="003037D2">
        <w:rPr>
          <w:rFonts w:ascii="Garamond" w:eastAsia="Calibri" w:hAnsi="Garamond" w:cs="Times New Roman"/>
        </w:rPr>
        <w:t xml:space="preserve"> (See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_Ref529203305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18</w:t>
      </w:r>
      <w:r w:rsidRPr="003037D2">
        <w:rPr>
          <w:rFonts w:ascii="Garamond" w:eastAsia="Calibri" w:hAnsi="Garamond" w:cs="Times New Roman"/>
        </w:rPr>
        <w:fldChar w:fldCharType="end"/>
      </w:r>
      <w:r w:rsidRPr="003037D2">
        <w:rPr>
          <w:rFonts w:ascii="Garamond" w:eastAsia="Calibri" w:hAnsi="Garamond" w:cs="Times New Roman"/>
        </w:rPr>
        <w:t xml:space="preserve">) This sets forth a description of ‘the </w:t>
      </w:r>
      <w:proofErr w:type="spellStart"/>
      <w:r w:rsidRPr="003037D2">
        <w:rPr>
          <w:rFonts w:ascii="Garamond" w:eastAsia="Calibri" w:hAnsi="Garamond" w:cs="Times New Roman"/>
        </w:rPr>
        <w:t>eyght</w:t>
      </w:r>
      <w:proofErr w:type="spellEnd"/>
      <w:r w:rsidRPr="003037D2">
        <w:rPr>
          <w:rFonts w:ascii="Garamond" w:eastAsia="Calibri" w:hAnsi="Garamond" w:cs="Times New Roman"/>
        </w:rPr>
        <w:t xml:space="preserve"> ages of the </w:t>
      </w:r>
      <w:proofErr w:type="spellStart"/>
      <w:r w:rsidRPr="003037D2">
        <w:rPr>
          <w:rFonts w:ascii="Garamond" w:eastAsia="Calibri" w:hAnsi="Garamond" w:cs="Times New Roman"/>
        </w:rPr>
        <w:t>worlde</w:t>
      </w:r>
      <w:proofErr w:type="spellEnd"/>
      <w:r w:rsidRPr="003037D2">
        <w:rPr>
          <w:rFonts w:ascii="Garamond" w:eastAsia="Calibri" w:hAnsi="Garamond" w:cs="Times New Roman"/>
        </w:rPr>
        <w:t xml:space="preserve">’ which ‘be not so called for the distinct number of certain thousand </w:t>
      </w:r>
      <w:proofErr w:type="spellStart"/>
      <w:r w:rsidRPr="003037D2">
        <w:rPr>
          <w:rFonts w:ascii="Garamond" w:eastAsia="Calibri" w:hAnsi="Garamond" w:cs="Times New Roman"/>
        </w:rPr>
        <w:t>yeres</w:t>
      </w:r>
      <w:proofErr w:type="spellEnd"/>
      <w:r w:rsidRPr="003037D2">
        <w:rPr>
          <w:rFonts w:ascii="Garamond" w:eastAsia="Calibri" w:hAnsi="Garamond" w:cs="Times New Roman"/>
        </w:rPr>
        <w:t xml:space="preserve">, but for </w:t>
      </w:r>
      <w:proofErr w:type="spellStart"/>
      <w:r w:rsidRPr="003037D2">
        <w:rPr>
          <w:rFonts w:ascii="Garamond" w:eastAsia="Calibri" w:hAnsi="Garamond" w:cs="Times New Roman"/>
        </w:rPr>
        <w:t>certaine</w:t>
      </w:r>
      <w:proofErr w:type="spellEnd"/>
      <w:r w:rsidRPr="003037D2">
        <w:rPr>
          <w:rFonts w:ascii="Garamond" w:eastAsia="Calibri" w:hAnsi="Garamond" w:cs="Times New Roman"/>
        </w:rPr>
        <w:t xml:space="preserve"> notable </w:t>
      </w:r>
      <w:proofErr w:type="spellStart"/>
      <w:r w:rsidRPr="003037D2">
        <w:rPr>
          <w:rFonts w:ascii="Garamond" w:eastAsia="Calibri" w:hAnsi="Garamond" w:cs="Times New Roman"/>
        </w:rPr>
        <w:t>actes</w:t>
      </w:r>
      <w:proofErr w:type="spellEnd"/>
      <w:r w:rsidRPr="003037D2">
        <w:rPr>
          <w:rFonts w:ascii="Garamond" w:eastAsia="Calibri" w:hAnsi="Garamond" w:cs="Times New Roman"/>
        </w:rPr>
        <w:t xml:space="preserve"> which were wrought in the beginning of every one of them’.</w:t>
      </w:r>
      <w:r w:rsidRPr="003037D2">
        <w:rPr>
          <w:rFonts w:ascii="Garamond" w:eastAsia="Calibri" w:hAnsi="Garamond" w:cs="Times New Roman"/>
          <w:vertAlign w:val="superscript"/>
        </w:rPr>
        <w:footnoteReference w:id="266"/>
      </w:r>
      <w:r w:rsidRPr="003037D2">
        <w:rPr>
          <w:rFonts w:ascii="Garamond" w:eastAsia="Calibri" w:hAnsi="Garamond" w:cs="Times New Roman"/>
        </w:rPr>
        <w:t xml:space="preserve"> History is being structured by God’s interactions with the world, as ‘in the beginning of the first age the world was created’, for the second, ‘the </w:t>
      </w:r>
      <w:proofErr w:type="spellStart"/>
      <w:r w:rsidRPr="003037D2">
        <w:rPr>
          <w:rFonts w:ascii="Garamond" w:eastAsia="Calibri" w:hAnsi="Garamond" w:cs="Times New Roman"/>
        </w:rPr>
        <w:t>worlde</w:t>
      </w:r>
      <w:proofErr w:type="spellEnd"/>
      <w:r w:rsidRPr="003037D2">
        <w:rPr>
          <w:rFonts w:ascii="Garamond" w:eastAsia="Calibri" w:hAnsi="Garamond" w:cs="Times New Roman"/>
        </w:rPr>
        <w:t xml:space="preserve"> was purged by the flood, in the </w:t>
      </w:r>
      <w:proofErr w:type="spellStart"/>
      <w:r w:rsidRPr="003037D2">
        <w:rPr>
          <w:rFonts w:ascii="Garamond" w:eastAsia="Calibri" w:hAnsi="Garamond" w:cs="Times New Roman"/>
        </w:rPr>
        <w:t>begynnyng</w:t>
      </w:r>
      <w:proofErr w:type="spellEnd"/>
      <w:r w:rsidRPr="003037D2">
        <w:rPr>
          <w:rFonts w:ascii="Garamond" w:eastAsia="Calibri" w:hAnsi="Garamond" w:cs="Times New Roman"/>
        </w:rPr>
        <w:t xml:space="preserve"> of the </w:t>
      </w:r>
      <w:proofErr w:type="spellStart"/>
      <w:r w:rsidRPr="003037D2">
        <w:rPr>
          <w:rFonts w:ascii="Garamond" w:eastAsia="Calibri" w:hAnsi="Garamond" w:cs="Times New Roman"/>
        </w:rPr>
        <w:t>thirde</w:t>
      </w:r>
      <w:proofErr w:type="spellEnd"/>
      <w:r w:rsidRPr="003037D2">
        <w:rPr>
          <w:rFonts w:ascii="Garamond" w:eastAsia="Calibri" w:hAnsi="Garamond" w:cs="Times New Roman"/>
        </w:rPr>
        <w:t xml:space="preserve"> circumcision was given against </w:t>
      </w:r>
      <w:proofErr w:type="spellStart"/>
      <w:r w:rsidRPr="003037D2">
        <w:rPr>
          <w:rFonts w:ascii="Garamond" w:eastAsia="Calibri" w:hAnsi="Garamond" w:cs="Times New Roman"/>
        </w:rPr>
        <w:t>originall</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sinne</w:t>
      </w:r>
      <w:proofErr w:type="spellEnd"/>
      <w:r w:rsidRPr="003037D2">
        <w:rPr>
          <w:rFonts w:ascii="Garamond" w:eastAsia="Calibri" w:hAnsi="Garamond" w:cs="Times New Roman"/>
        </w:rPr>
        <w:t xml:space="preserve">’. The eighth age is one the readers should look forward to: ‘in the beginning of the </w:t>
      </w:r>
      <w:proofErr w:type="spellStart"/>
      <w:r w:rsidRPr="003037D2">
        <w:rPr>
          <w:rFonts w:ascii="Garamond" w:eastAsia="Calibri" w:hAnsi="Garamond" w:cs="Times New Roman"/>
        </w:rPr>
        <w:t>eyght</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shalbe</w:t>
      </w:r>
      <w:proofErr w:type="spellEnd"/>
      <w:r w:rsidRPr="003037D2">
        <w:rPr>
          <w:rFonts w:ascii="Garamond" w:eastAsia="Calibri" w:hAnsi="Garamond" w:cs="Times New Roman"/>
        </w:rPr>
        <w:t xml:space="preserve"> the resurrection of the </w:t>
      </w:r>
      <w:proofErr w:type="spellStart"/>
      <w:r w:rsidRPr="003037D2">
        <w:rPr>
          <w:rFonts w:ascii="Garamond" w:eastAsia="Calibri" w:hAnsi="Garamond" w:cs="Times New Roman"/>
        </w:rPr>
        <w:t>bodyes</w:t>
      </w:r>
      <w:proofErr w:type="spellEnd"/>
      <w:r w:rsidRPr="003037D2">
        <w:rPr>
          <w:rFonts w:ascii="Garamond" w:eastAsia="Calibri" w:hAnsi="Garamond" w:cs="Times New Roman"/>
        </w:rPr>
        <w:t xml:space="preserve">, the </w:t>
      </w:r>
      <w:proofErr w:type="spellStart"/>
      <w:r w:rsidRPr="003037D2">
        <w:rPr>
          <w:rFonts w:ascii="Garamond" w:eastAsia="Calibri" w:hAnsi="Garamond" w:cs="Times New Roman"/>
        </w:rPr>
        <w:t>rewarde</w:t>
      </w:r>
      <w:proofErr w:type="spellEnd"/>
      <w:r w:rsidRPr="003037D2">
        <w:rPr>
          <w:rFonts w:ascii="Garamond" w:eastAsia="Calibri" w:hAnsi="Garamond" w:cs="Times New Roman"/>
        </w:rPr>
        <w:t xml:space="preserve"> of good and </w:t>
      </w:r>
      <w:proofErr w:type="spellStart"/>
      <w:r w:rsidRPr="003037D2">
        <w:rPr>
          <w:rFonts w:ascii="Garamond" w:eastAsia="Calibri" w:hAnsi="Garamond" w:cs="Times New Roman"/>
        </w:rPr>
        <w:t>evyll</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267"/>
      </w:r>
      <w:r w:rsidRPr="003037D2">
        <w:rPr>
          <w:rFonts w:ascii="Garamond" w:eastAsia="Calibri" w:hAnsi="Garamond" w:cs="Times New Roman"/>
        </w:rPr>
        <w:t xml:space="preserve"> A genealogy of Christ’s ancestors runs in a chain along the middle of every page with a distinctive patterned line, whilst on either side more complex family trees with accompanying notes are picked out. Other diagrams present complex information, such as a series of three classical arches housing information about ‘the mansions’ of three years, which ‘be the names of the </w:t>
      </w:r>
      <w:proofErr w:type="spellStart"/>
      <w:proofErr w:type="gramStart"/>
      <w:r w:rsidRPr="003037D2">
        <w:rPr>
          <w:rFonts w:ascii="Garamond" w:eastAsia="Calibri" w:hAnsi="Garamond" w:cs="Times New Roman"/>
        </w:rPr>
        <w:t>nations</w:t>
      </w:r>
      <w:proofErr w:type="spellEnd"/>
      <w:proofErr w:type="gramEnd"/>
      <w:r w:rsidRPr="003037D2">
        <w:rPr>
          <w:rFonts w:ascii="Garamond" w:eastAsia="Calibri" w:hAnsi="Garamond" w:cs="Times New Roman"/>
        </w:rPr>
        <w:t xml:space="preserve"> rep[resented] where the children of Israel pitched their </w:t>
      </w:r>
      <w:proofErr w:type="spellStart"/>
      <w:r w:rsidRPr="003037D2">
        <w:rPr>
          <w:rFonts w:ascii="Garamond" w:eastAsia="Calibri" w:hAnsi="Garamond" w:cs="Times New Roman"/>
        </w:rPr>
        <w:lastRenderedPageBreak/>
        <w:t>tentes</w:t>
      </w:r>
      <w:proofErr w:type="spellEnd"/>
      <w:r w:rsidRPr="003037D2">
        <w:rPr>
          <w:rFonts w:ascii="Garamond" w:eastAsia="Calibri" w:hAnsi="Garamond" w:cs="Times New Roman"/>
        </w:rPr>
        <w:t xml:space="preserve"> in the desert by the space of forty years’. Below this is a rudimentary map that both ‘</w:t>
      </w:r>
      <w:proofErr w:type="spellStart"/>
      <w:r w:rsidRPr="003037D2">
        <w:rPr>
          <w:rFonts w:ascii="Garamond" w:eastAsia="Calibri" w:hAnsi="Garamond" w:cs="Times New Roman"/>
        </w:rPr>
        <w:t>serveth</w:t>
      </w:r>
      <w:proofErr w:type="spellEnd"/>
      <w:r w:rsidRPr="003037D2">
        <w:rPr>
          <w:rFonts w:ascii="Garamond" w:eastAsia="Calibri" w:hAnsi="Garamond" w:cs="Times New Roman"/>
        </w:rPr>
        <w:t xml:space="preserve"> to understand the disposing of the Tribes and Levites by </w:t>
      </w:r>
      <w:proofErr w:type="spellStart"/>
      <w:r w:rsidRPr="003037D2">
        <w:rPr>
          <w:rFonts w:ascii="Garamond" w:eastAsia="Calibri" w:hAnsi="Garamond" w:cs="Times New Roman"/>
        </w:rPr>
        <w:t>fourre</w:t>
      </w:r>
      <w:proofErr w:type="spellEnd"/>
      <w:r w:rsidRPr="003037D2">
        <w:rPr>
          <w:rFonts w:ascii="Garamond" w:eastAsia="Calibri" w:hAnsi="Garamond" w:cs="Times New Roman"/>
        </w:rPr>
        <w:t xml:space="preserve"> quarters of the world about the tabernacle’ and ‘also </w:t>
      </w:r>
      <w:proofErr w:type="spellStart"/>
      <w:r w:rsidRPr="003037D2">
        <w:rPr>
          <w:rFonts w:ascii="Garamond" w:eastAsia="Calibri" w:hAnsi="Garamond" w:cs="Times New Roman"/>
        </w:rPr>
        <w:t>serveth</w:t>
      </w:r>
      <w:proofErr w:type="spellEnd"/>
      <w:r w:rsidRPr="003037D2">
        <w:rPr>
          <w:rFonts w:ascii="Garamond" w:eastAsia="Calibri" w:hAnsi="Garamond" w:cs="Times New Roman"/>
        </w:rPr>
        <w:t xml:space="preserve"> to understand what Levites, what cities, and in what tribes, the children of Levi with their suburbs </w:t>
      </w:r>
      <w:proofErr w:type="spellStart"/>
      <w:r w:rsidRPr="003037D2">
        <w:rPr>
          <w:rFonts w:ascii="Garamond" w:eastAsia="Calibri" w:hAnsi="Garamond" w:cs="Times New Roman"/>
        </w:rPr>
        <w:t>dyd</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recive</w:t>
      </w:r>
      <w:proofErr w:type="spellEnd"/>
      <w:r w:rsidRPr="003037D2">
        <w:rPr>
          <w:rFonts w:ascii="Garamond" w:eastAsia="Calibri" w:hAnsi="Garamond" w:cs="Times New Roman"/>
        </w:rPr>
        <w:t xml:space="preserve"> by lot for the </w:t>
      </w:r>
      <w:proofErr w:type="spellStart"/>
      <w:r w:rsidRPr="003037D2">
        <w:rPr>
          <w:rFonts w:ascii="Garamond" w:eastAsia="Calibri" w:hAnsi="Garamond" w:cs="Times New Roman"/>
        </w:rPr>
        <w:t>tenthes</w:t>
      </w:r>
      <w:proofErr w:type="spellEnd"/>
      <w:r w:rsidRPr="003037D2">
        <w:rPr>
          <w:rFonts w:ascii="Garamond" w:eastAsia="Calibri" w:hAnsi="Garamond" w:cs="Times New Roman"/>
        </w:rPr>
        <w:t xml:space="preserve"> of the tabernacle… [and] also </w:t>
      </w:r>
      <w:proofErr w:type="spellStart"/>
      <w:r w:rsidRPr="003037D2">
        <w:rPr>
          <w:rFonts w:ascii="Garamond" w:eastAsia="Calibri" w:hAnsi="Garamond" w:cs="Times New Roman"/>
        </w:rPr>
        <w:t>heweth</w:t>
      </w:r>
      <w:proofErr w:type="spellEnd"/>
      <w:r w:rsidRPr="003037D2">
        <w:rPr>
          <w:rFonts w:ascii="Garamond" w:eastAsia="Calibri" w:hAnsi="Garamond" w:cs="Times New Roman"/>
        </w:rPr>
        <w:t xml:space="preserve"> the </w:t>
      </w:r>
      <w:proofErr w:type="spellStart"/>
      <w:r w:rsidRPr="003037D2">
        <w:rPr>
          <w:rFonts w:ascii="Garamond" w:eastAsia="Calibri" w:hAnsi="Garamond" w:cs="Times New Roman"/>
        </w:rPr>
        <w:t>sixe</w:t>
      </w:r>
      <w:proofErr w:type="spellEnd"/>
      <w:r w:rsidRPr="003037D2">
        <w:rPr>
          <w:rFonts w:ascii="Garamond" w:eastAsia="Calibri" w:hAnsi="Garamond" w:cs="Times New Roman"/>
        </w:rPr>
        <w:t xml:space="preserve"> cities of refuge’.</w:t>
      </w:r>
      <w:r w:rsidRPr="003037D2">
        <w:rPr>
          <w:rFonts w:ascii="Garamond" w:eastAsia="Calibri" w:hAnsi="Garamond" w:cs="Times New Roman"/>
          <w:vertAlign w:val="superscript"/>
        </w:rPr>
        <w:footnoteReference w:id="268"/>
      </w:r>
      <w:r w:rsidRPr="003037D2">
        <w:rPr>
          <w:rFonts w:ascii="Garamond" w:eastAsia="Calibri" w:hAnsi="Garamond" w:cs="Times New Roman"/>
        </w:rPr>
        <w:t xml:space="preserve"> (See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_Ref529267713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19</w:t>
      </w:r>
      <w:r w:rsidRPr="003037D2">
        <w:rPr>
          <w:rFonts w:ascii="Garamond" w:eastAsia="Calibri" w:hAnsi="Garamond" w:cs="Times New Roman"/>
        </w:rPr>
        <w:fldChar w:fldCharType="end"/>
      </w:r>
      <w:r w:rsidR="00ED0F4C">
        <w:rPr>
          <w:rFonts w:ascii="Garamond" w:eastAsia="Calibri" w:hAnsi="Garamond" w:cs="Times New Roman"/>
        </w:rPr>
        <w:t>.</w:t>
      </w:r>
      <w:r w:rsidRPr="003037D2">
        <w:rPr>
          <w:rFonts w:ascii="Garamond" w:eastAsia="Calibri" w:hAnsi="Garamond" w:cs="Times New Roman"/>
        </w:rPr>
        <w:t xml:space="preserve">) The 1568 edition also includes ‘An </w:t>
      </w:r>
      <w:proofErr w:type="spellStart"/>
      <w:r w:rsidRPr="003037D2">
        <w:rPr>
          <w:rFonts w:ascii="Garamond" w:eastAsia="Calibri" w:hAnsi="Garamond" w:cs="Times New Roman"/>
        </w:rPr>
        <w:t>Almanacke</w:t>
      </w:r>
      <w:proofErr w:type="spellEnd"/>
      <w:r w:rsidRPr="003037D2">
        <w:rPr>
          <w:rFonts w:ascii="Garamond" w:eastAsia="Calibri" w:hAnsi="Garamond" w:cs="Times New Roman"/>
        </w:rPr>
        <w:t>’ with the dates for specific religious festivals every year between 1561-1590 and a series of monthly calendars, giving the psalms and biblical verses that should be recited every day.</w:t>
      </w:r>
      <w:r w:rsidRPr="003037D2">
        <w:rPr>
          <w:rFonts w:ascii="Garamond" w:eastAsia="Calibri" w:hAnsi="Garamond" w:cs="Times New Roman"/>
          <w:vertAlign w:val="superscript"/>
        </w:rPr>
        <w:footnoteReference w:id="269"/>
      </w:r>
      <w:r w:rsidRPr="003037D2">
        <w:rPr>
          <w:rFonts w:ascii="Garamond" w:eastAsia="Calibri" w:hAnsi="Garamond" w:cs="Times New Roman"/>
        </w:rPr>
        <w:t xml:space="preserve"> (See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_Ref529204050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20</w:t>
      </w:r>
      <w:r w:rsidRPr="003037D2">
        <w:rPr>
          <w:rFonts w:ascii="Garamond" w:eastAsia="Calibri" w:hAnsi="Garamond" w:cs="Times New Roman"/>
        </w:rPr>
        <w:fldChar w:fldCharType="end"/>
      </w:r>
      <w:r w:rsidR="00ED0F4C">
        <w:rPr>
          <w:rFonts w:ascii="Garamond" w:eastAsia="Calibri" w:hAnsi="Garamond" w:cs="Times New Roman"/>
        </w:rPr>
        <w:t>.</w:t>
      </w:r>
      <w:r w:rsidRPr="003037D2">
        <w:rPr>
          <w:rFonts w:ascii="Garamond" w:eastAsia="Calibri" w:hAnsi="Garamond" w:cs="Times New Roman"/>
        </w:rPr>
        <w:t>) The 1602 edition, produced after Parker’s death, included another similar almanac and monthly calendars, for 1601-1630 in this case, providing further guidance on how to time devotion.</w:t>
      </w:r>
      <w:r w:rsidRPr="003037D2">
        <w:rPr>
          <w:rFonts w:ascii="Garamond" w:eastAsia="Calibri" w:hAnsi="Garamond" w:cs="Times New Roman"/>
          <w:vertAlign w:val="superscript"/>
        </w:rPr>
        <w:footnoteReference w:id="270"/>
      </w:r>
      <w:r w:rsidRPr="003037D2">
        <w:rPr>
          <w:rFonts w:ascii="Garamond" w:eastAsia="Calibri" w:hAnsi="Garamond" w:cs="Times New Roman"/>
        </w:rPr>
        <w:t xml:space="preserve">  As discussed in the previous chapter, the chronologies in almanacs and their monthly calendars work together to present a linear view of time, in which the historical moment is calculated in relation to the present. Parker’s textual apparatus both structures his readers’ understanding of history and sets out the way they should act </w:t>
      </w:r>
      <w:proofErr w:type="gramStart"/>
      <w:r w:rsidRPr="003037D2">
        <w:rPr>
          <w:rFonts w:ascii="Garamond" w:eastAsia="Calibri" w:hAnsi="Garamond" w:cs="Times New Roman"/>
        </w:rPr>
        <w:t>on a daily basis</w:t>
      </w:r>
      <w:proofErr w:type="gramEnd"/>
      <w:r w:rsidRPr="003037D2">
        <w:rPr>
          <w:rFonts w:ascii="Garamond" w:eastAsia="Calibri" w:hAnsi="Garamond" w:cs="Times New Roman"/>
        </w:rPr>
        <w:t xml:space="preserve">. </w:t>
      </w:r>
    </w:p>
    <w:p w14:paraId="7865BE82" w14:textId="77777777" w:rsidR="00162224" w:rsidRPr="003037D2" w:rsidRDefault="00162224" w:rsidP="00162224">
      <w:pPr>
        <w:spacing w:after="100" w:afterAutospacing="1" w:line="360" w:lineRule="auto"/>
        <w:ind w:firstLine="720"/>
        <w:rPr>
          <w:rFonts w:ascii="Garamond" w:eastAsia="Calibri" w:hAnsi="Garamond" w:cs="Times New Roman"/>
        </w:rPr>
      </w:pPr>
    </w:p>
    <w:p w14:paraId="724A8998" w14:textId="7E9955EA" w:rsidR="00162224" w:rsidRDefault="00162224" w:rsidP="00162224">
      <w:pPr>
        <w:keepNext/>
        <w:keepLines/>
        <w:numPr>
          <w:ilvl w:val="0"/>
          <w:numId w:val="34"/>
        </w:numPr>
        <w:spacing w:before="40" w:line="259" w:lineRule="auto"/>
        <w:outlineLvl w:val="2"/>
        <w:rPr>
          <w:rFonts w:ascii="Garamond" w:eastAsia="DengXian Light" w:hAnsi="Garamond" w:cs="Times New Roman"/>
        </w:rPr>
      </w:pPr>
      <w:bookmarkStart w:id="22" w:name="_Toc3967172"/>
      <w:r w:rsidRPr="003037D2">
        <w:rPr>
          <w:rFonts w:ascii="Garamond" w:eastAsia="DengXian Light" w:hAnsi="Garamond" w:cs="Times New Roman"/>
        </w:rPr>
        <w:t>Rescuing history from ‘Devouring Time’</w:t>
      </w:r>
      <w:bookmarkEnd w:id="22"/>
      <w:r w:rsidRPr="003037D2">
        <w:rPr>
          <w:rFonts w:ascii="Garamond" w:eastAsia="DengXian Light" w:hAnsi="Garamond" w:cs="Times New Roman"/>
        </w:rPr>
        <w:t xml:space="preserve"> </w:t>
      </w:r>
    </w:p>
    <w:p w14:paraId="5B81EA0B" w14:textId="77777777" w:rsidR="00667CD5" w:rsidRPr="003037D2" w:rsidRDefault="00667CD5" w:rsidP="00667CD5">
      <w:pPr>
        <w:keepNext/>
        <w:keepLines/>
        <w:spacing w:before="40" w:line="259" w:lineRule="auto"/>
        <w:ind w:left="1080"/>
        <w:outlineLvl w:val="2"/>
        <w:rPr>
          <w:rFonts w:ascii="Garamond" w:eastAsia="DengXian Light" w:hAnsi="Garamond" w:cs="Times New Roman"/>
        </w:rPr>
      </w:pPr>
    </w:p>
    <w:p w14:paraId="308D7C8A" w14:textId="77777777" w:rsidR="00162224" w:rsidRPr="003037D2" w:rsidRDefault="00162224" w:rsidP="00162224">
      <w:pPr>
        <w:rPr>
          <w:rFonts w:ascii="Garamond" w:eastAsia="Calibri" w:hAnsi="Garamond" w:cs="Times New Roman"/>
        </w:rPr>
      </w:pPr>
    </w:p>
    <w:p w14:paraId="3EEF7866" w14:textId="53FAADF5" w:rsidR="00162224" w:rsidRPr="003037D2" w:rsidRDefault="00162224" w:rsidP="00EF5027">
      <w:pPr>
        <w:spacing w:after="100" w:afterAutospacing="1" w:line="360" w:lineRule="auto"/>
        <w:rPr>
          <w:rFonts w:ascii="Garamond" w:eastAsia="Calibri" w:hAnsi="Garamond" w:cs="Times New Roman"/>
        </w:rPr>
      </w:pPr>
      <w:r w:rsidRPr="003037D2">
        <w:rPr>
          <w:rFonts w:ascii="Garamond" w:eastAsia="Calibri" w:hAnsi="Garamond" w:cs="Times New Roman"/>
        </w:rPr>
        <w:tab/>
        <w:t>Examining Parker’s antiquarian work further illuminates his investment in creating a workable history for the English church. He was one of the first scholars to gather together works documenting the church’s history in England.  Recent scholarship has identified over 500 of his manuscripts, attesting to the ambitious scope of Parker’s historical mission. His collection included many pre-800 Latin manuscripts, the Canterbury Gospels, the Anglo-Saxon Chronicle, Thomas Beckett’s letters, the first English dictionary (</w:t>
      </w:r>
      <w:r w:rsidRPr="003037D2">
        <w:rPr>
          <w:rFonts w:ascii="Garamond" w:eastAsia="Calibri" w:hAnsi="Garamond" w:cs="Times New Roman"/>
          <w:i/>
        </w:rPr>
        <w:t>Corpus Glossary</w:t>
      </w:r>
      <w:r w:rsidRPr="003037D2">
        <w:rPr>
          <w:rFonts w:ascii="Garamond" w:eastAsia="Calibri" w:hAnsi="Garamond" w:cs="Times New Roman"/>
        </w:rPr>
        <w:t xml:space="preserve">), the Dover and Bury Bibles, many Anglo-Saxon prose texts including </w:t>
      </w:r>
      <w:r w:rsidRPr="003037D2">
        <w:rPr>
          <w:rFonts w:ascii="Garamond" w:eastAsia="Calibri" w:hAnsi="Garamond" w:cs="Times New Roman"/>
          <w:i/>
        </w:rPr>
        <w:t xml:space="preserve">Apollonius of </w:t>
      </w:r>
      <w:proofErr w:type="spellStart"/>
      <w:r w:rsidRPr="003037D2">
        <w:rPr>
          <w:rFonts w:ascii="Garamond" w:eastAsia="Calibri" w:hAnsi="Garamond" w:cs="Times New Roman"/>
          <w:i/>
        </w:rPr>
        <w:t>Tyre</w:t>
      </w:r>
      <w:proofErr w:type="spellEnd"/>
      <w:r w:rsidRPr="003037D2">
        <w:rPr>
          <w:rFonts w:ascii="Garamond" w:eastAsia="Calibri" w:hAnsi="Garamond" w:cs="Times New Roman"/>
          <w:i/>
        </w:rPr>
        <w:t xml:space="preserve">, </w:t>
      </w:r>
      <w:r w:rsidRPr="003037D2">
        <w:rPr>
          <w:rFonts w:ascii="Garamond" w:eastAsia="Calibri" w:hAnsi="Garamond" w:cs="Times New Roman"/>
        </w:rPr>
        <w:t>and vital papers concerning the Henrician Reformation.</w:t>
      </w:r>
      <w:r w:rsidRPr="003037D2">
        <w:rPr>
          <w:rFonts w:ascii="Garamond" w:eastAsia="Calibri" w:hAnsi="Garamond" w:cs="Times New Roman"/>
          <w:vertAlign w:val="superscript"/>
        </w:rPr>
        <w:footnoteReference w:id="271"/>
      </w:r>
      <w:r w:rsidRPr="003037D2">
        <w:rPr>
          <w:rFonts w:ascii="Garamond" w:eastAsia="Calibri" w:hAnsi="Garamond" w:cs="Times New Roman"/>
        </w:rPr>
        <w:t xml:space="preserve"> Parker saw his collections as highly valuable, writing often about the importance of libraries generally. In a letter he wrote to William Cecil thanking him for the gift of a manuscript, he described the beauty of ‘your library; in the riches whereof, </w:t>
      </w:r>
      <w:r w:rsidRPr="003037D2">
        <w:rPr>
          <w:rFonts w:ascii="Garamond" w:eastAsia="Calibri" w:hAnsi="Garamond" w:cs="Times New Roman"/>
          <w:i/>
          <w:iCs/>
        </w:rPr>
        <w:lastRenderedPageBreak/>
        <w:t xml:space="preserve">videlicet </w:t>
      </w:r>
      <w:r w:rsidRPr="003037D2">
        <w:rPr>
          <w:rFonts w:ascii="Garamond" w:eastAsia="Calibri" w:hAnsi="Garamond" w:cs="Times New Roman"/>
        </w:rPr>
        <w:t xml:space="preserve">of such treasures, I rejoice in as much as they were in mine own. So that they may be preserved within the realm, and not sent over by covetous stationers, or spoiled in the </w:t>
      </w:r>
      <w:proofErr w:type="spellStart"/>
      <w:r w:rsidRPr="003037D2">
        <w:rPr>
          <w:rFonts w:ascii="Garamond" w:eastAsia="Calibri" w:hAnsi="Garamond" w:cs="Times New Roman"/>
        </w:rPr>
        <w:t>poticaries</w:t>
      </w:r>
      <w:proofErr w:type="spellEnd"/>
      <w:r w:rsidRPr="003037D2">
        <w:rPr>
          <w:rFonts w:ascii="Garamond" w:eastAsia="Calibri" w:hAnsi="Garamond" w:cs="Times New Roman"/>
        </w:rPr>
        <w:t>' shops'.</w:t>
      </w:r>
      <w:r w:rsidRPr="003037D2">
        <w:rPr>
          <w:rFonts w:ascii="Garamond" w:eastAsia="Calibri" w:hAnsi="Garamond" w:cs="Times New Roman"/>
          <w:vertAlign w:val="superscript"/>
        </w:rPr>
        <w:footnoteReference w:id="272"/>
      </w:r>
      <w:r w:rsidRPr="003037D2">
        <w:rPr>
          <w:rFonts w:ascii="Garamond" w:eastAsia="Calibri" w:hAnsi="Garamond" w:cs="Times New Roman"/>
        </w:rPr>
        <w:t xml:space="preserve"> Parker divorces himself and his colleagues in book collecting from the mercantile world of booksellers. Their work takes on a heroic mission, preserving history for the ‘realm’. Following his death, Parker bequeathed his library of more than 800 volumes to the Corpus Christi College, Cambridge library, leaving exceedingly prescriptive directions for their preservation. The collection was to be kept under three locks, with the books to be examined only under supervision of three key holders. Each year, on Parker’s birthday, the three key holders were to conduct a leaf by leaf inspection. Any books which had been despoiled would be removed, and the whole collection could be sent to Caius College if too many had been damaged. In the event of this Parker’s valuable collection of plate, which he had also donated to Corpus Christi, would also be removed as a further penalty.</w:t>
      </w:r>
      <w:r w:rsidRPr="003037D2">
        <w:rPr>
          <w:rFonts w:ascii="Garamond" w:eastAsia="Calibri" w:hAnsi="Garamond" w:cs="Times New Roman"/>
          <w:vertAlign w:val="superscript"/>
        </w:rPr>
        <w:footnoteReference w:id="273"/>
      </w:r>
      <w:r w:rsidRPr="003037D2">
        <w:rPr>
          <w:rFonts w:ascii="Garamond" w:eastAsia="Calibri" w:hAnsi="Garamond" w:cs="Times New Roman"/>
        </w:rPr>
        <w:t xml:space="preserve"> </w:t>
      </w:r>
    </w:p>
    <w:p w14:paraId="03EAB8BA" w14:textId="77777777" w:rsidR="00162224" w:rsidRPr="003037D2" w:rsidRDefault="00162224" w:rsidP="00162224">
      <w:pPr>
        <w:spacing w:after="100" w:afterAutospacing="1" w:line="360" w:lineRule="auto"/>
        <w:rPr>
          <w:rFonts w:ascii="Garamond" w:eastAsia="Calibri" w:hAnsi="Garamond" w:cs="Times New Roman"/>
        </w:rPr>
      </w:pPr>
    </w:p>
    <w:p w14:paraId="5EBD589D" w14:textId="689E904E" w:rsidR="00162224" w:rsidRDefault="00162224" w:rsidP="00162224">
      <w:pPr>
        <w:spacing w:after="100" w:afterAutospacing="1" w:line="360" w:lineRule="auto"/>
        <w:rPr>
          <w:rFonts w:ascii="Garamond" w:eastAsia="Calibri" w:hAnsi="Garamond" w:cs="Times New Roman"/>
        </w:rPr>
      </w:pPr>
      <w:r w:rsidRPr="003037D2">
        <w:rPr>
          <w:rFonts w:ascii="Garamond" w:eastAsia="Calibri" w:hAnsi="Garamond" w:cs="Times New Roman"/>
        </w:rPr>
        <w:tab/>
        <w:t>Given the painstaking care which Parker expected to be lavished on his library following his death, his own textual practices may come as a surprise. Benedict Scott Robi</w:t>
      </w:r>
      <w:r w:rsidR="00220117" w:rsidRPr="003037D2">
        <w:rPr>
          <w:rFonts w:ascii="Garamond" w:eastAsia="Calibri" w:hAnsi="Garamond" w:cs="Times New Roman"/>
        </w:rPr>
        <w:t>n</w:t>
      </w:r>
      <w:r w:rsidRPr="003037D2">
        <w:rPr>
          <w:rFonts w:ascii="Garamond" w:eastAsia="Calibri" w:hAnsi="Garamond" w:cs="Times New Roman"/>
        </w:rPr>
        <w:t>son has discussed how the ‘</w:t>
      </w:r>
      <w:proofErr w:type="spellStart"/>
      <w:r w:rsidRPr="003037D2">
        <w:rPr>
          <w:rFonts w:ascii="Garamond" w:eastAsia="Calibri" w:hAnsi="Garamond" w:cs="Times New Roman"/>
        </w:rPr>
        <w:t>Parkerians</w:t>
      </w:r>
      <w:proofErr w:type="spellEnd"/>
      <w:r w:rsidRPr="003037D2">
        <w:rPr>
          <w:rFonts w:ascii="Garamond" w:eastAsia="Calibri" w:hAnsi="Garamond" w:cs="Times New Roman"/>
        </w:rPr>
        <w:t>’ (as he terms the cabal of researchers) ‘treated their manuscripts like a copy -texts, extensively annotating them to the point of almost rewriting them, adding cross-references and interpolations’.</w:t>
      </w:r>
      <w:r w:rsidRPr="003037D2">
        <w:rPr>
          <w:rFonts w:ascii="Garamond" w:eastAsia="Calibri" w:hAnsi="Garamond" w:cs="Times New Roman"/>
          <w:vertAlign w:val="superscript"/>
        </w:rPr>
        <w:footnoteReference w:id="274"/>
      </w:r>
      <w:r w:rsidRPr="003037D2">
        <w:rPr>
          <w:rFonts w:ascii="Garamond" w:eastAsia="Calibri" w:hAnsi="Garamond" w:cs="Times New Roman"/>
        </w:rPr>
        <w:t xml:space="preserve"> H.R. </w:t>
      </w:r>
      <w:proofErr w:type="spellStart"/>
      <w:r w:rsidRPr="003037D2">
        <w:rPr>
          <w:rFonts w:ascii="Garamond" w:eastAsia="Calibri" w:hAnsi="Garamond" w:cs="Times New Roman"/>
        </w:rPr>
        <w:t>Ludard</w:t>
      </w:r>
      <w:proofErr w:type="spellEnd"/>
      <w:r w:rsidRPr="003037D2">
        <w:rPr>
          <w:rFonts w:ascii="Garamond" w:eastAsia="Calibri" w:hAnsi="Garamond" w:cs="Times New Roman"/>
        </w:rPr>
        <w:t xml:space="preserve"> described these practices as ‘wicked’ and decried Parker’s ‘fantastic… audacity’ in annotating manuscripts.</w:t>
      </w:r>
      <w:r w:rsidRPr="003037D2">
        <w:rPr>
          <w:rFonts w:ascii="Garamond" w:eastAsia="Calibri" w:hAnsi="Garamond" w:cs="Times New Roman"/>
          <w:vertAlign w:val="superscript"/>
        </w:rPr>
        <w:footnoteReference w:id="275"/>
      </w:r>
      <w:r w:rsidRPr="003037D2">
        <w:rPr>
          <w:rFonts w:ascii="Garamond" w:eastAsia="Calibri" w:hAnsi="Garamond" w:cs="Times New Roman"/>
        </w:rPr>
        <w:t xml:space="preserve"> Parker’s textual recovery went beyond simply translating and reprinting texts. He </w:t>
      </w:r>
      <w:proofErr w:type="spellStart"/>
      <w:r w:rsidRPr="003037D2">
        <w:rPr>
          <w:rFonts w:ascii="Garamond" w:eastAsia="Calibri" w:hAnsi="Garamond" w:cs="Times New Roman"/>
        </w:rPr>
        <w:t>practised</w:t>
      </w:r>
      <w:proofErr w:type="spellEnd"/>
      <w:r w:rsidRPr="003037D2">
        <w:rPr>
          <w:rFonts w:ascii="Garamond" w:eastAsia="Calibri" w:hAnsi="Garamond" w:cs="Times New Roman"/>
        </w:rPr>
        <w:t xml:space="preserve"> a very specific type of editing, which Scott Robinson terms ‘a textual reformation’, intended ‘to produce a usable past for Protestant England’.</w:t>
      </w:r>
      <w:r w:rsidRPr="003037D2">
        <w:rPr>
          <w:rFonts w:ascii="Garamond" w:eastAsia="Calibri" w:hAnsi="Garamond" w:cs="Times New Roman"/>
          <w:vertAlign w:val="superscript"/>
        </w:rPr>
        <w:footnoteReference w:id="276"/>
      </w:r>
      <w:r w:rsidRPr="003037D2">
        <w:rPr>
          <w:rFonts w:ascii="Garamond" w:eastAsia="Calibri" w:hAnsi="Garamond" w:cs="Times New Roman"/>
        </w:rPr>
        <w:t xml:space="preserve"> We can see evidence of this agenda in a letter of thanks to Sir William Cecil, dated 25</w:t>
      </w:r>
      <w:r w:rsidRPr="003037D2">
        <w:rPr>
          <w:rFonts w:ascii="Garamond" w:eastAsia="Calibri" w:hAnsi="Garamond" w:cs="Times New Roman"/>
          <w:vertAlign w:val="superscript"/>
        </w:rPr>
        <w:t>th</w:t>
      </w:r>
      <w:r w:rsidRPr="003037D2">
        <w:rPr>
          <w:rFonts w:ascii="Garamond" w:eastAsia="Calibri" w:hAnsi="Garamond" w:cs="Times New Roman"/>
        </w:rPr>
        <w:t xml:space="preserve"> January 1565/6 after Cecil had sent him a Latin manuscript of the Old Testament with Saxon interpretations. Parker writes excitedly, ‘I account it much worth the keeping, as for the fair antique writing with the Saxon interpretation, as also for the strangeness of the translation, which is neither the accustomed old text, neither St</w:t>
      </w:r>
      <w:r w:rsidR="00667CD5">
        <w:rPr>
          <w:rFonts w:ascii="Garamond" w:eastAsia="Calibri" w:hAnsi="Garamond" w:cs="Times New Roman"/>
        </w:rPr>
        <w:t>.</w:t>
      </w:r>
      <w:r w:rsidRPr="003037D2">
        <w:rPr>
          <w:rFonts w:ascii="Garamond" w:eastAsia="Calibri" w:hAnsi="Garamond" w:cs="Times New Roman"/>
        </w:rPr>
        <w:t xml:space="preserve"> Jerome’s, nor yet the </w:t>
      </w:r>
      <w:proofErr w:type="spellStart"/>
      <w:r w:rsidRPr="003037D2">
        <w:rPr>
          <w:rFonts w:ascii="Garamond" w:eastAsia="Calibri" w:hAnsi="Garamond" w:cs="Times New Roman"/>
        </w:rPr>
        <w:t>Septugina</w:t>
      </w:r>
      <w:proofErr w:type="spellEnd"/>
      <w:r w:rsidRPr="003037D2">
        <w:rPr>
          <w:rFonts w:ascii="Garamond" w:eastAsia="Calibri" w:hAnsi="Garamond" w:cs="Times New Roman"/>
        </w:rPr>
        <w:t xml:space="preserve">’. This is a pre-Norman conquest theology: a native, </w:t>
      </w:r>
      <w:r w:rsidRPr="003037D2">
        <w:rPr>
          <w:rFonts w:ascii="Garamond" w:eastAsia="Calibri" w:hAnsi="Garamond" w:cs="Times New Roman"/>
        </w:rPr>
        <w:lastRenderedPageBreak/>
        <w:t>specifically English theology, at least in Parker’s assessment. Parker suggests that he will adapt this text ‘to have made up the want of the beginning of the Psalter’ he is currently writing.</w:t>
      </w:r>
      <w:r w:rsidRPr="003037D2">
        <w:rPr>
          <w:rFonts w:ascii="Garamond" w:eastAsia="Calibri" w:hAnsi="Garamond" w:cs="Times New Roman"/>
          <w:vertAlign w:val="superscript"/>
        </w:rPr>
        <w:footnoteReference w:id="277"/>
      </w:r>
      <w:r w:rsidRPr="003037D2">
        <w:rPr>
          <w:rFonts w:ascii="Garamond" w:eastAsia="Calibri" w:hAnsi="Garamond" w:cs="Times New Roman"/>
        </w:rPr>
        <w:t xml:space="preserve"> Scott Robinson offers a convincing rationale for Parker’s ‘polemical scholarship’, arguing that he ‘set out to reform the English past by reforming its texts, purging them of the ‘corruptions’ of Catholic writers, readers, and scholars’.</w:t>
      </w:r>
      <w:r w:rsidRPr="003037D2">
        <w:rPr>
          <w:rFonts w:ascii="Garamond" w:eastAsia="Calibri" w:hAnsi="Garamond" w:cs="Times New Roman"/>
          <w:vertAlign w:val="superscript"/>
        </w:rPr>
        <w:footnoteReference w:id="278"/>
      </w:r>
      <w:r w:rsidRPr="003037D2">
        <w:rPr>
          <w:rFonts w:ascii="Garamond" w:eastAsia="Calibri" w:hAnsi="Garamond" w:cs="Times New Roman"/>
        </w:rPr>
        <w:t xml:space="preserve"> Parker seeks to repurpose the historic in order to create a workable pattern for the future. This notion of the Bible, and specifically the Psalms, as a pattern for the Christian life recurs in many authors’ works. As Donne wrote, ‘for to that Heaven, I </w:t>
      </w:r>
      <w:proofErr w:type="spellStart"/>
      <w:r w:rsidRPr="003037D2">
        <w:rPr>
          <w:rFonts w:ascii="Garamond" w:eastAsia="Calibri" w:hAnsi="Garamond" w:cs="Times New Roman"/>
        </w:rPr>
        <w:t>shal</w:t>
      </w:r>
      <w:proofErr w:type="spellEnd"/>
      <w:r w:rsidRPr="003037D2">
        <w:rPr>
          <w:rFonts w:ascii="Garamond" w:eastAsia="Calibri" w:hAnsi="Garamond" w:cs="Times New Roman"/>
        </w:rPr>
        <w:t xml:space="preserve"> never come, except I go by the way of the </w:t>
      </w:r>
      <w:proofErr w:type="spellStart"/>
      <w:r w:rsidRPr="003037D2">
        <w:rPr>
          <w:rFonts w:ascii="Garamond" w:eastAsia="Calibri" w:hAnsi="Garamond" w:cs="Times New Roman"/>
        </w:rPr>
        <w:t>catholique</w:t>
      </w:r>
      <w:proofErr w:type="spellEnd"/>
      <w:r w:rsidRPr="003037D2">
        <w:rPr>
          <w:rFonts w:ascii="Garamond" w:eastAsia="Calibri" w:hAnsi="Garamond" w:cs="Times New Roman"/>
        </w:rPr>
        <w:t xml:space="preserve"> Church, by former Ideas, former examples, former patterns… God does nothing, man does nothing well, without these Ideas, these </w:t>
      </w:r>
      <w:proofErr w:type="spellStart"/>
      <w:r w:rsidRPr="003037D2">
        <w:rPr>
          <w:rFonts w:ascii="Garamond" w:eastAsia="Calibri" w:hAnsi="Garamond" w:cs="Times New Roman"/>
        </w:rPr>
        <w:t>retrospects</w:t>
      </w:r>
      <w:proofErr w:type="spellEnd"/>
      <w:r w:rsidRPr="003037D2">
        <w:rPr>
          <w:rFonts w:ascii="Garamond" w:eastAsia="Calibri" w:hAnsi="Garamond" w:cs="Times New Roman"/>
        </w:rPr>
        <w:t>, this recourse to pre-conception, pre-deliberation’.</w:t>
      </w:r>
      <w:r w:rsidRPr="003037D2">
        <w:rPr>
          <w:rFonts w:ascii="Garamond" w:eastAsia="Calibri" w:hAnsi="Garamond" w:cs="Times New Roman"/>
          <w:vertAlign w:val="superscript"/>
        </w:rPr>
        <w:footnoteReference w:id="279"/>
      </w:r>
      <w:r w:rsidRPr="003037D2">
        <w:rPr>
          <w:rFonts w:ascii="Garamond" w:eastAsia="Calibri" w:hAnsi="Garamond" w:cs="Times New Roman"/>
        </w:rPr>
        <w:t xml:space="preserve"> Salvation is legalistically based on following a precedent, a pattern that had been proved to be effective in the lives of others.</w:t>
      </w:r>
      <w:r w:rsidRPr="003037D2">
        <w:rPr>
          <w:rFonts w:ascii="Garamond" w:eastAsia="Calibri" w:hAnsi="Garamond" w:cs="Times New Roman"/>
          <w:vertAlign w:val="superscript"/>
        </w:rPr>
        <w:footnoteReference w:id="280"/>
      </w:r>
    </w:p>
    <w:p w14:paraId="2D603D73" w14:textId="77777777" w:rsidR="00667CD5" w:rsidRPr="003037D2" w:rsidRDefault="00667CD5" w:rsidP="00162224">
      <w:pPr>
        <w:spacing w:after="100" w:afterAutospacing="1" w:line="360" w:lineRule="auto"/>
        <w:rPr>
          <w:rFonts w:ascii="Garamond" w:eastAsia="Calibri" w:hAnsi="Garamond" w:cs="Times New Roman"/>
        </w:rPr>
      </w:pPr>
    </w:p>
    <w:p w14:paraId="32DFB432" w14:textId="4263AD5F" w:rsidR="00162224" w:rsidRPr="003037D2" w:rsidRDefault="00162224" w:rsidP="00162224">
      <w:pPr>
        <w:spacing w:after="100" w:afterAutospacing="1" w:line="360" w:lineRule="auto"/>
        <w:rPr>
          <w:rFonts w:ascii="Garamond" w:eastAsia="Calibri" w:hAnsi="Garamond" w:cs="Times New Roman"/>
        </w:rPr>
      </w:pPr>
      <w:r w:rsidRPr="003037D2">
        <w:rPr>
          <w:rFonts w:ascii="Garamond" w:eastAsia="Calibri" w:hAnsi="Garamond" w:cs="Times New Roman"/>
        </w:rPr>
        <w:tab/>
        <w:t xml:space="preserve">In John </w:t>
      </w:r>
      <w:proofErr w:type="spellStart"/>
      <w:r w:rsidRPr="003037D2">
        <w:rPr>
          <w:rFonts w:ascii="Garamond" w:eastAsia="Calibri" w:hAnsi="Garamond" w:cs="Times New Roman"/>
        </w:rPr>
        <w:t>Strype’s</w:t>
      </w:r>
      <w:proofErr w:type="spellEnd"/>
      <w:r w:rsidRPr="003037D2">
        <w:rPr>
          <w:rFonts w:ascii="Garamond" w:eastAsia="Calibri" w:hAnsi="Garamond" w:cs="Times New Roman"/>
        </w:rPr>
        <w:t xml:space="preserve"> </w:t>
      </w:r>
      <w:r w:rsidRPr="003037D2">
        <w:rPr>
          <w:rFonts w:ascii="Garamond" w:eastAsia="Calibri" w:hAnsi="Garamond" w:cs="Times New Roman"/>
          <w:i/>
        </w:rPr>
        <w:t xml:space="preserve">The Life and Acts of Matthew Parker, </w:t>
      </w:r>
      <w:r w:rsidRPr="003037D2">
        <w:rPr>
          <w:rFonts w:ascii="Garamond" w:eastAsia="Calibri" w:hAnsi="Garamond" w:cs="Times New Roman"/>
        </w:rPr>
        <w:t xml:space="preserve">Parker is quoted saying ‘if we adhered firmly to these testimonies of divine and sacred antiquity we could be certain and secure about the true worship and religion of God, even though the monuments of human affairs and ordinances, consumed by </w:t>
      </w:r>
      <w:r w:rsidRPr="003037D2">
        <w:rPr>
          <w:rFonts w:ascii="Garamond" w:eastAsia="Calibri" w:hAnsi="Garamond" w:cs="Times New Roman"/>
          <w:i/>
        </w:rPr>
        <w:t xml:space="preserve">devouring time, </w:t>
      </w:r>
      <w:r w:rsidRPr="003037D2">
        <w:rPr>
          <w:rFonts w:ascii="Garamond" w:eastAsia="Calibri" w:hAnsi="Garamond" w:cs="Times New Roman"/>
        </w:rPr>
        <w:t>have been corrupted’.</w:t>
      </w:r>
      <w:r w:rsidRPr="003037D2">
        <w:rPr>
          <w:rFonts w:ascii="Garamond" w:eastAsia="Calibri" w:hAnsi="Garamond" w:cs="Times New Roman"/>
          <w:vertAlign w:val="superscript"/>
        </w:rPr>
        <w:footnoteReference w:id="281"/>
      </w:r>
      <w:r w:rsidRPr="003037D2">
        <w:rPr>
          <w:rFonts w:ascii="Garamond" w:eastAsia="Calibri" w:hAnsi="Garamond" w:cs="Times New Roman"/>
        </w:rPr>
        <w:t xml:space="preserve"> Parker’s evocation of ‘devouring time’ (</w:t>
      </w:r>
      <w:proofErr w:type="spellStart"/>
      <w:r w:rsidRPr="003037D2">
        <w:rPr>
          <w:rFonts w:ascii="Garamond" w:eastAsia="Calibri" w:hAnsi="Garamond" w:cs="Times New Roman"/>
          <w:i/>
        </w:rPr>
        <w:t>temporis</w:t>
      </w:r>
      <w:proofErr w:type="spellEnd"/>
      <w:r w:rsidRPr="003037D2">
        <w:rPr>
          <w:rFonts w:ascii="Garamond" w:eastAsia="Calibri" w:hAnsi="Garamond" w:cs="Times New Roman"/>
          <w:i/>
        </w:rPr>
        <w:t xml:space="preserve"> </w:t>
      </w:r>
      <w:proofErr w:type="spellStart"/>
      <w:r w:rsidRPr="003037D2">
        <w:rPr>
          <w:rFonts w:ascii="Garamond" w:eastAsia="Calibri" w:hAnsi="Garamond" w:cs="Times New Roman"/>
          <w:i/>
        </w:rPr>
        <w:t>edacitate</w:t>
      </w:r>
      <w:proofErr w:type="spellEnd"/>
      <w:r w:rsidRPr="003037D2">
        <w:rPr>
          <w:rFonts w:ascii="Garamond" w:eastAsia="Calibri" w:hAnsi="Garamond" w:cs="Times New Roman"/>
          <w:i/>
        </w:rPr>
        <w:t xml:space="preserve"> </w:t>
      </w:r>
      <w:proofErr w:type="spellStart"/>
      <w:r w:rsidRPr="003037D2">
        <w:rPr>
          <w:rFonts w:ascii="Garamond" w:eastAsia="Calibri" w:hAnsi="Garamond" w:cs="Times New Roman"/>
          <w:i/>
        </w:rPr>
        <w:t>consumpta</w:t>
      </w:r>
      <w:proofErr w:type="spellEnd"/>
      <w:r w:rsidRPr="003037D2">
        <w:rPr>
          <w:rFonts w:ascii="Garamond" w:eastAsia="Calibri" w:hAnsi="Garamond" w:cs="Times New Roman"/>
          <w:i/>
        </w:rPr>
        <w:t>)</w:t>
      </w:r>
      <w:r w:rsidRPr="003037D2">
        <w:rPr>
          <w:rFonts w:ascii="Garamond" w:eastAsia="Calibri" w:hAnsi="Garamond" w:cs="Times New Roman"/>
        </w:rPr>
        <w:t xml:space="preserve"> here is telling. It suggests that, in his eyes, time is something to be fought against by the antiquarian, with the historical mission to reinstate the ‘true worship and religion’. Formalist interpretations of Biblical reading normally posit two opposing approaches to the Bible: the historical and the theological. It is assumed that historians must see the Bible as a collection of documents and evidence, whilst theologians see it as the one, unified text.</w:t>
      </w:r>
      <w:r w:rsidRPr="003037D2">
        <w:rPr>
          <w:rFonts w:ascii="Garamond" w:eastAsia="Calibri" w:hAnsi="Garamond" w:cs="Times New Roman"/>
          <w:vertAlign w:val="superscript"/>
        </w:rPr>
        <w:footnoteReference w:id="282"/>
      </w:r>
      <w:r w:rsidRPr="003037D2">
        <w:rPr>
          <w:rFonts w:ascii="Garamond" w:eastAsia="Calibri" w:hAnsi="Garamond" w:cs="Times New Roman"/>
        </w:rPr>
        <w:t xml:space="preserve"> Parker seems to fluctuate between these two viewpoints. His editorial </w:t>
      </w:r>
      <w:r w:rsidRPr="003037D2">
        <w:rPr>
          <w:rFonts w:ascii="Garamond" w:eastAsia="Calibri" w:hAnsi="Garamond" w:cs="Times New Roman"/>
        </w:rPr>
        <w:lastRenderedPageBreak/>
        <w:t>work and collecti</w:t>
      </w:r>
      <w:r w:rsidR="00F27EB0" w:rsidRPr="003037D2">
        <w:rPr>
          <w:rFonts w:ascii="Garamond" w:eastAsia="Calibri" w:hAnsi="Garamond" w:cs="Times New Roman"/>
        </w:rPr>
        <w:t xml:space="preserve">on </w:t>
      </w:r>
      <w:r w:rsidRPr="003037D2">
        <w:rPr>
          <w:rFonts w:ascii="Garamond" w:eastAsia="Calibri" w:hAnsi="Garamond" w:cs="Times New Roman"/>
        </w:rPr>
        <w:t>of different translations demonstrates his awareness of the different versions of the Bible that could exist, but he seems always to look beyond this, gesturing to an irrefutable true text. Reed suggests that Bakhtin’s work on the time of the epic and the novel, previously discussed, can be used to offer another version of Biblical reading, ‘a literary reading [that] positions itself between the fragmenting referentiality of the historical view and the consolidating authority of the theological perspective'.</w:t>
      </w:r>
      <w:r w:rsidRPr="003037D2">
        <w:rPr>
          <w:rFonts w:ascii="Garamond" w:eastAsia="Calibri" w:hAnsi="Garamond" w:cs="Times New Roman"/>
          <w:vertAlign w:val="superscript"/>
        </w:rPr>
        <w:footnoteReference w:id="283"/>
      </w:r>
      <w:r w:rsidRPr="003037D2">
        <w:rPr>
          <w:rFonts w:ascii="Garamond" w:eastAsia="Calibri" w:hAnsi="Garamond" w:cs="Times New Roman"/>
        </w:rPr>
        <w:t xml:space="preserve"> Parker’s biblical strategy seems to accord to this literary reading. He was undoubtedly aware of the work that went into piecing together fragmentary history to create a reassuringly authoritative work, and yet he saw this process of a means of recovery, rather than creation. Scott Robinson explains the paradox at the heart of Parker’s historical and editorial work best, stating that ‘</w:t>
      </w:r>
      <w:proofErr w:type="spellStart"/>
      <w:r w:rsidRPr="003037D2">
        <w:rPr>
          <w:rFonts w:ascii="Garamond" w:eastAsia="Calibri" w:hAnsi="Garamond" w:cs="Times New Roman"/>
        </w:rPr>
        <w:t>Parkerian</w:t>
      </w:r>
      <w:proofErr w:type="spellEnd"/>
      <w:r w:rsidRPr="003037D2">
        <w:rPr>
          <w:rFonts w:ascii="Garamond" w:eastAsia="Calibri" w:hAnsi="Garamond" w:cs="Times New Roman"/>
        </w:rPr>
        <w:t xml:space="preserve"> scholarship seeks a return to the origin, a leap beyond history, but simultaneously requires that this leap be made through history, be mediated by an immense historical and textual </w:t>
      </w:r>
      <w:proofErr w:type="spellStart"/>
      <w:r w:rsidRPr="003037D2">
        <w:rPr>
          <w:rFonts w:ascii="Garamond" w:eastAsia="Calibri" w:hAnsi="Garamond" w:cs="Times New Roman"/>
        </w:rPr>
        <w:t>labour</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284"/>
      </w:r>
      <w:r w:rsidRPr="003037D2">
        <w:rPr>
          <w:rFonts w:ascii="Garamond" w:eastAsia="Calibri" w:hAnsi="Garamond" w:cs="Times New Roman"/>
        </w:rPr>
        <w:t xml:space="preserve"> In Bakhtin’s terms, epic distance is filled with ‘national tradition’, which must be replaced by ‘personal experience and thought’ in order ‘to portray an event on the same time-and-value plane as oneself’.</w:t>
      </w:r>
      <w:r w:rsidRPr="003037D2">
        <w:rPr>
          <w:rFonts w:ascii="Garamond" w:eastAsia="Calibri" w:hAnsi="Garamond" w:cs="Times New Roman"/>
          <w:vertAlign w:val="superscript"/>
        </w:rPr>
        <w:footnoteReference w:id="285"/>
      </w:r>
      <w:r w:rsidRPr="003037D2">
        <w:rPr>
          <w:rFonts w:ascii="Garamond" w:eastAsia="Calibri" w:hAnsi="Garamond" w:cs="Times New Roman"/>
        </w:rPr>
        <w:t xml:space="preserve"> For Parker, that personal experience could be either the </w:t>
      </w:r>
      <w:proofErr w:type="spellStart"/>
      <w:r w:rsidRPr="003037D2">
        <w:rPr>
          <w:rFonts w:ascii="Garamond" w:eastAsia="Calibri" w:hAnsi="Garamond" w:cs="Times New Roman"/>
        </w:rPr>
        <w:t>labour</w:t>
      </w:r>
      <w:proofErr w:type="spellEnd"/>
      <w:r w:rsidRPr="003037D2">
        <w:rPr>
          <w:rFonts w:ascii="Garamond" w:eastAsia="Calibri" w:hAnsi="Garamond" w:cs="Times New Roman"/>
        </w:rPr>
        <w:t xml:space="preserve"> of the antiquarian and translator, or (as discussed in the next section) the experience of joining together in communal worship. </w:t>
      </w:r>
    </w:p>
    <w:p w14:paraId="4B10A0F4" w14:textId="77777777" w:rsidR="00162224" w:rsidRPr="003037D2" w:rsidRDefault="00162224" w:rsidP="00162224">
      <w:pPr>
        <w:spacing w:line="360" w:lineRule="auto"/>
        <w:ind w:firstLine="720"/>
        <w:rPr>
          <w:rFonts w:ascii="Garamond" w:eastAsia="Calibri" w:hAnsi="Garamond" w:cs="Times New Roman"/>
        </w:rPr>
      </w:pPr>
    </w:p>
    <w:p w14:paraId="57FB92B8" w14:textId="54E3A148" w:rsidR="00162224" w:rsidRPr="003037D2" w:rsidRDefault="00162224" w:rsidP="002F1250">
      <w:pPr>
        <w:spacing w:after="100" w:afterAutospacing="1" w:line="360" w:lineRule="auto"/>
        <w:rPr>
          <w:rFonts w:ascii="Garamond" w:eastAsia="Calibri" w:hAnsi="Garamond" w:cs="Times New Roman"/>
        </w:rPr>
      </w:pPr>
      <w:r w:rsidRPr="003037D2">
        <w:rPr>
          <w:rFonts w:ascii="Garamond" w:eastAsia="Calibri" w:hAnsi="Garamond" w:cs="Times New Roman"/>
        </w:rPr>
        <w:tab/>
        <w:t>Gil Harris’ discussion of the place of supersession in Christianity illuminates Parker’s approach to Biblical translation and the preserving and recovering of history.  Gil Harris discusses the importance of the palimpsest, an object which is washed or scraped clean in order to be rewritten, both as a practical measured and as a symbolic object. He argues that this ‘performs the triumph of Christianity according to the logic of supersession – that is, of preserving, negating, and transcending rival religions and cultures deemed to be… of the past’.</w:t>
      </w:r>
      <w:r w:rsidRPr="003037D2">
        <w:rPr>
          <w:rFonts w:ascii="Garamond" w:eastAsia="Calibri" w:hAnsi="Garamond" w:cs="Times New Roman"/>
          <w:vertAlign w:val="superscript"/>
        </w:rPr>
        <w:footnoteReference w:id="286"/>
      </w:r>
      <w:r w:rsidRPr="003037D2">
        <w:rPr>
          <w:rFonts w:ascii="Garamond" w:eastAsia="Calibri" w:hAnsi="Garamond" w:cs="Times New Roman"/>
        </w:rPr>
        <w:t xml:space="preserve"> This finds expression in St. Paul declaring that a new covenant has been formed, replacing that which went before. We could read this as the ‘temporality of explosion: the apparition of the ‘old’ text shatters the integrity of the ‘new’ by introducing into it a radical alterity that punctures the illusion of its wholeness or finality’.</w:t>
      </w:r>
      <w:r w:rsidRPr="003037D2">
        <w:rPr>
          <w:rFonts w:ascii="Garamond" w:eastAsia="Calibri" w:hAnsi="Garamond" w:cs="Times New Roman"/>
          <w:vertAlign w:val="superscript"/>
        </w:rPr>
        <w:footnoteReference w:id="287"/>
      </w:r>
      <w:r w:rsidRPr="003037D2">
        <w:rPr>
          <w:rFonts w:ascii="Garamond" w:eastAsia="Calibri" w:hAnsi="Garamond" w:cs="Times New Roman"/>
        </w:rPr>
        <w:t xml:space="preserve"> Gil Harris gives several examples of how this supersession materially takes </w:t>
      </w:r>
      <w:r w:rsidRPr="003037D2">
        <w:rPr>
          <w:rFonts w:ascii="Garamond" w:eastAsia="Calibri" w:hAnsi="Garamond" w:cs="Times New Roman"/>
        </w:rPr>
        <w:lastRenderedPageBreak/>
        <w:t>place, such as the building of cathedrals with stones from Roman temples.</w:t>
      </w:r>
      <w:r w:rsidRPr="003037D2">
        <w:rPr>
          <w:rFonts w:ascii="Garamond" w:eastAsia="Calibri" w:hAnsi="Garamond" w:cs="Times New Roman"/>
          <w:vertAlign w:val="superscript"/>
        </w:rPr>
        <w:footnoteReference w:id="288"/>
      </w:r>
      <w:r w:rsidRPr="003037D2">
        <w:rPr>
          <w:rFonts w:ascii="Garamond" w:eastAsia="Calibri" w:hAnsi="Garamond" w:cs="Times New Roman"/>
        </w:rPr>
        <w:t xml:space="preserve"> In Parker, this supersession is predicated on scripture replacing all other trappings of religion. The preface to </w:t>
      </w:r>
      <w:r w:rsidR="002F1250" w:rsidRPr="002F1250">
        <w:rPr>
          <w:rFonts w:ascii="Garamond" w:eastAsia="Calibri" w:hAnsi="Garamond" w:cs="Times New Roman"/>
          <w:i/>
          <w:iCs/>
        </w:rPr>
        <w:t>T</w:t>
      </w:r>
      <w:r w:rsidRPr="002F1250">
        <w:rPr>
          <w:rFonts w:ascii="Garamond" w:eastAsia="Calibri" w:hAnsi="Garamond" w:cs="Times New Roman"/>
          <w:i/>
          <w:iCs/>
        </w:rPr>
        <w:t>he Bishops’ Bible</w:t>
      </w:r>
      <w:r w:rsidRPr="003037D2">
        <w:rPr>
          <w:rFonts w:ascii="Garamond" w:eastAsia="Calibri" w:hAnsi="Garamond" w:cs="Times New Roman"/>
        </w:rPr>
        <w:t xml:space="preserve"> opens with the injunction, ‘Of all the sentences pronounced by our </w:t>
      </w:r>
      <w:proofErr w:type="spellStart"/>
      <w:r w:rsidRPr="003037D2">
        <w:rPr>
          <w:rFonts w:ascii="Garamond" w:eastAsia="Calibri" w:hAnsi="Garamond" w:cs="Times New Roman"/>
        </w:rPr>
        <w:t>Saviour</w:t>
      </w:r>
      <w:proofErr w:type="spellEnd"/>
      <w:r w:rsidRPr="003037D2">
        <w:rPr>
          <w:rFonts w:ascii="Garamond" w:eastAsia="Calibri" w:hAnsi="Garamond" w:cs="Times New Roman"/>
        </w:rPr>
        <w:t xml:space="preserve"> Christ… none is more worthy to be borne in remembrance, than... </w:t>
      </w:r>
      <w:r w:rsidR="00161762">
        <w:rPr>
          <w:rFonts w:ascii="Garamond" w:eastAsia="Calibri" w:hAnsi="Garamond" w:cs="Times New Roman"/>
        </w:rPr>
        <w:t>“</w:t>
      </w:r>
      <w:r w:rsidRPr="003037D2">
        <w:rPr>
          <w:rFonts w:ascii="Garamond" w:eastAsia="Calibri" w:hAnsi="Garamond" w:cs="Times New Roman"/>
        </w:rPr>
        <w:t>Search ye the Scriptures: for in them ye think to have eternal life, and those they be which bear witness of me</w:t>
      </w:r>
      <w:r w:rsidR="00161762">
        <w:rPr>
          <w:rFonts w:ascii="Garamond" w:eastAsia="Calibri" w:hAnsi="Garamond" w:cs="Times New Roman"/>
        </w:rPr>
        <w:t>”</w:t>
      </w:r>
      <w:r w:rsidRPr="003037D2">
        <w:rPr>
          <w:rFonts w:ascii="Garamond" w:eastAsia="Calibri" w:hAnsi="Garamond" w:cs="Times New Roman"/>
        </w:rPr>
        <w:t>’.</w:t>
      </w:r>
      <w:r w:rsidRPr="003037D2">
        <w:rPr>
          <w:rFonts w:ascii="Garamond" w:eastAsia="Calibri" w:hAnsi="Garamond" w:cs="Times New Roman"/>
          <w:vertAlign w:val="superscript"/>
        </w:rPr>
        <w:footnoteReference w:id="289"/>
      </w:r>
      <w:r w:rsidRPr="003037D2">
        <w:rPr>
          <w:rFonts w:ascii="Garamond" w:eastAsia="Calibri" w:hAnsi="Garamond" w:cs="Times New Roman"/>
        </w:rPr>
        <w:t xml:space="preserve"> In letters to Queen Elizabeth in 1599, calling for the removal of images from English Churches, Parker </w:t>
      </w:r>
      <w:proofErr w:type="spellStart"/>
      <w:r w:rsidRPr="003037D2">
        <w:rPr>
          <w:rFonts w:ascii="Garamond" w:eastAsia="Calibri" w:hAnsi="Garamond" w:cs="Times New Roman"/>
        </w:rPr>
        <w:t>emphasised</w:t>
      </w:r>
      <w:proofErr w:type="spellEnd"/>
      <w:r w:rsidRPr="003037D2">
        <w:rPr>
          <w:rFonts w:ascii="Garamond" w:eastAsia="Calibri" w:hAnsi="Garamond" w:cs="Times New Roman"/>
        </w:rPr>
        <w:t xml:space="preserve"> that allowing these icons to remain in place is akin to ‘setting a trap of error for the ignorant… digging a pit for the blind to fall into’. The immorality of these images is explicitly linked to the fact that they were a human invention, not part of God’s original plan for the universe as, ‘it is said that the invention of them was the beginning of spiritual fornication; and that they were not from the beginning, neither shall they continue to the end’.</w:t>
      </w:r>
      <w:r w:rsidRPr="003037D2">
        <w:rPr>
          <w:rFonts w:ascii="Garamond" w:eastAsia="Calibri" w:hAnsi="Garamond" w:cs="Times New Roman"/>
          <w:vertAlign w:val="superscript"/>
        </w:rPr>
        <w:footnoteReference w:id="290"/>
      </w:r>
      <w:r w:rsidRPr="003037D2">
        <w:rPr>
          <w:rFonts w:ascii="Garamond" w:eastAsia="Calibri" w:hAnsi="Garamond" w:cs="Times New Roman"/>
        </w:rPr>
        <w:t xml:space="preserve"> Newly created objects are damaging and dangerous, whereas the words of Christ offer a path to eternity. For Parker, in creating a new covenant</w:t>
      </w:r>
      <w:r w:rsidR="00F27EB0" w:rsidRPr="003037D2">
        <w:rPr>
          <w:rFonts w:ascii="Garamond" w:eastAsia="Calibri" w:hAnsi="Garamond" w:cs="Times New Roman"/>
        </w:rPr>
        <w:t xml:space="preserve"> Christ </w:t>
      </w:r>
      <w:r w:rsidRPr="003037D2">
        <w:rPr>
          <w:rFonts w:ascii="Garamond" w:eastAsia="Calibri" w:hAnsi="Garamond" w:cs="Times New Roman"/>
        </w:rPr>
        <w:t xml:space="preserve">instructs readers to approach scripture afresh. The pre-existing power of the text is therefore </w:t>
      </w:r>
      <w:proofErr w:type="spellStart"/>
      <w:r w:rsidRPr="003037D2">
        <w:rPr>
          <w:rFonts w:ascii="Garamond" w:eastAsia="Calibri" w:hAnsi="Garamond" w:cs="Times New Roman"/>
        </w:rPr>
        <w:t>revitalised</w:t>
      </w:r>
      <w:proofErr w:type="spellEnd"/>
      <w:r w:rsidRPr="003037D2">
        <w:rPr>
          <w:rFonts w:ascii="Garamond" w:eastAsia="Calibri" w:hAnsi="Garamond" w:cs="Times New Roman"/>
        </w:rPr>
        <w:t xml:space="preserve"> and refocused with this new frame of mind. In this model of religion, reading and textual analysis hold the incantatory power of prayer. The importance of continuity runs through even a translation which makes a text new. </w:t>
      </w:r>
    </w:p>
    <w:p w14:paraId="69389421" w14:textId="77777777" w:rsidR="00162224" w:rsidRPr="003037D2" w:rsidRDefault="00162224" w:rsidP="002D2E5D">
      <w:pPr>
        <w:spacing w:after="100" w:afterAutospacing="1" w:line="360" w:lineRule="auto"/>
        <w:rPr>
          <w:rFonts w:ascii="Garamond" w:eastAsia="Calibri" w:hAnsi="Garamond" w:cs="Times New Roman"/>
        </w:rPr>
      </w:pPr>
    </w:p>
    <w:p w14:paraId="3A97966C" w14:textId="4F17FFA5" w:rsidR="00162224" w:rsidRDefault="00162224" w:rsidP="00162224">
      <w:pPr>
        <w:keepNext/>
        <w:keepLines/>
        <w:numPr>
          <w:ilvl w:val="0"/>
          <w:numId w:val="34"/>
        </w:numPr>
        <w:spacing w:before="40" w:line="259" w:lineRule="auto"/>
        <w:outlineLvl w:val="2"/>
        <w:rPr>
          <w:rFonts w:ascii="Garamond" w:eastAsia="DengXian Light" w:hAnsi="Garamond" w:cs="Times New Roman"/>
        </w:rPr>
      </w:pPr>
      <w:bookmarkStart w:id="24" w:name="_Toc3967173"/>
      <w:r w:rsidRPr="003037D2">
        <w:rPr>
          <w:rFonts w:ascii="Garamond" w:eastAsia="DengXian Light" w:hAnsi="Garamond" w:cs="Times New Roman"/>
        </w:rPr>
        <w:t>Communication and Community</w:t>
      </w:r>
      <w:bookmarkEnd w:id="24"/>
    </w:p>
    <w:p w14:paraId="66B74A09" w14:textId="77777777" w:rsidR="00667CD5" w:rsidRPr="003037D2" w:rsidRDefault="00667CD5" w:rsidP="00667CD5">
      <w:pPr>
        <w:keepNext/>
        <w:keepLines/>
        <w:spacing w:before="40" w:line="259" w:lineRule="auto"/>
        <w:ind w:left="1080"/>
        <w:outlineLvl w:val="2"/>
        <w:rPr>
          <w:rFonts w:ascii="Garamond" w:eastAsia="DengXian Light" w:hAnsi="Garamond" w:cs="Times New Roman"/>
        </w:rPr>
      </w:pPr>
    </w:p>
    <w:p w14:paraId="64727E4E" w14:textId="77777777" w:rsidR="00162224" w:rsidRPr="003037D2" w:rsidRDefault="00162224" w:rsidP="00162224">
      <w:pPr>
        <w:rPr>
          <w:rFonts w:ascii="Garamond" w:eastAsia="Calibri" w:hAnsi="Garamond" w:cs="Times New Roman"/>
        </w:rPr>
      </w:pPr>
    </w:p>
    <w:p w14:paraId="176464B5" w14:textId="456B4F68" w:rsidR="00162224" w:rsidRPr="003037D2" w:rsidRDefault="00162224" w:rsidP="00667CD5">
      <w:pPr>
        <w:spacing w:after="120" w:line="360" w:lineRule="auto"/>
        <w:rPr>
          <w:rFonts w:ascii="Garamond" w:eastAsia="Calibri" w:hAnsi="Garamond" w:cs="Times New Roman"/>
        </w:rPr>
      </w:pPr>
      <w:r w:rsidRPr="003037D2">
        <w:rPr>
          <w:rFonts w:ascii="Garamond" w:eastAsia="Calibri" w:hAnsi="Garamond" w:cs="Times New Roman"/>
        </w:rPr>
        <w:tab/>
        <w:t xml:space="preserve">Whilst Parker often focuses on the historic nature of the psalms, he also identifies that their power lies in the way in which they can be modified: re-purposed to new times and circumstances. Although the psalms were traditionally seen as the words of King David, they were a heterogeneous body of work with many authors. Biblical editors often provided headnotes to individual psalms describing them as ‘of David’, or ‘of Solomon’, or ‘of Moses’, however, as Hannibal Hamlin explains, in Hebrew ‘such phrases could also mean </w:t>
      </w:r>
      <w:r w:rsidR="00161762">
        <w:rPr>
          <w:rFonts w:ascii="Garamond" w:eastAsia="Calibri" w:hAnsi="Garamond" w:cs="Times New Roman"/>
        </w:rPr>
        <w:t>“</w:t>
      </w:r>
      <w:r w:rsidRPr="003037D2">
        <w:rPr>
          <w:rFonts w:ascii="Garamond" w:eastAsia="Calibri" w:hAnsi="Garamond" w:cs="Times New Roman"/>
        </w:rPr>
        <w:t>for</w:t>
      </w:r>
      <w:r w:rsidR="00161762">
        <w:rPr>
          <w:rFonts w:ascii="Garamond" w:eastAsia="Calibri" w:hAnsi="Garamond" w:cs="Times New Roman"/>
        </w:rPr>
        <w:t>”</w:t>
      </w:r>
      <w:r w:rsidRPr="003037D2">
        <w:rPr>
          <w:rFonts w:ascii="Garamond" w:eastAsia="Calibri" w:hAnsi="Garamond" w:cs="Times New Roman"/>
        </w:rPr>
        <w:t xml:space="preserve">, </w:t>
      </w:r>
      <w:r w:rsidR="00161762">
        <w:rPr>
          <w:rFonts w:ascii="Garamond" w:eastAsia="Calibri" w:hAnsi="Garamond" w:cs="Times New Roman"/>
        </w:rPr>
        <w:t>“</w:t>
      </w:r>
      <w:r w:rsidRPr="003037D2">
        <w:rPr>
          <w:rFonts w:ascii="Garamond" w:eastAsia="Calibri" w:hAnsi="Garamond" w:cs="Times New Roman"/>
        </w:rPr>
        <w:t>in the manner of</w:t>
      </w:r>
      <w:r w:rsidR="00161762">
        <w:rPr>
          <w:rFonts w:ascii="Garamond" w:eastAsia="Calibri" w:hAnsi="Garamond" w:cs="Times New Roman"/>
        </w:rPr>
        <w:t>”</w:t>
      </w:r>
      <w:r w:rsidRPr="003037D2">
        <w:rPr>
          <w:rFonts w:ascii="Garamond" w:eastAsia="Calibri" w:hAnsi="Garamond" w:cs="Times New Roman"/>
        </w:rPr>
        <w:t xml:space="preserve">, or </w:t>
      </w:r>
      <w:r w:rsidR="00161762">
        <w:rPr>
          <w:rFonts w:ascii="Garamond" w:eastAsia="Calibri" w:hAnsi="Garamond" w:cs="Times New Roman"/>
        </w:rPr>
        <w:t>“</w:t>
      </w:r>
      <w:r w:rsidRPr="003037D2">
        <w:rPr>
          <w:rFonts w:ascii="Garamond" w:eastAsia="Calibri" w:hAnsi="Garamond" w:cs="Times New Roman"/>
        </w:rPr>
        <w:t>suitable to</w:t>
      </w:r>
      <w:r w:rsidR="00161762">
        <w:rPr>
          <w:rFonts w:ascii="Garamond" w:eastAsia="Calibri" w:hAnsi="Garamond" w:cs="Times New Roman"/>
        </w:rPr>
        <w:t>”</w:t>
      </w:r>
      <w:r w:rsidRPr="003037D2">
        <w:rPr>
          <w:rFonts w:ascii="Garamond" w:eastAsia="Calibri" w:hAnsi="Garamond" w:cs="Times New Roman"/>
        </w:rPr>
        <w:t>’.</w:t>
      </w:r>
      <w:r w:rsidRPr="003037D2">
        <w:rPr>
          <w:rFonts w:ascii="Garamond" w:eastAsia="Calibri" w:hAnsi="Garamond" w:cs="Times New Roman"/>
          <w:vertAlign w:val="superscript"/>
        </w:rPr>
        <w:footnoteReference w:id="291"/>
      </w:r>
      <w:r w:rsidRPr="003037D2">
        <w:rPr>
          <w:rFonts w:ascii="Garamond" w:eastAsia="Calibri" w:hAnsi="Garamond" w:cs="Times New Roman"/>
        </w:rPr>
        <w:t xml:space="preserve"> These varied directions suggest that editors were trying to provide guides to speech: </w:t>
      </w:r>
      <w:proofErr w:type="spellStart"/>
      <w:r w:rsidRPr="003037D2">
        <w:rPr>
          <w:rFonts w:ascii="Garamond" w:eastAsia="Calibri" w:hAnsi="Garamond" w:cs="Times New Roman"/>
        </w:rPr>
        <w:t>categorising</w:t>
      </w:r>
      <w:proofErr w:type="spellEnd"/>
      <w:r w:rsidRPr="003037D2">
        <w:rPr>
          <w:rFonts w:ascii="Garamond" w:eastAsia="Calibri" w:hAnsi="Garamond" w:cs="Times New Roman"/>
        </w:rPr>
        <w:t xml:space="preserve"> and </w:t>
      </w:r>
      <w:r w:rsidRPr="003037D2">
        <w:rPr>
          <w:rFonts w:ascii="Garamond" w:eastAsia="Calibri" w:hAnsi="Garamond" w:cs="Times New Roman"/>
        </w:rPr>
        <w:lastRenderedPageBreak/>
        <w:t xml:space="preserve">glossing the various types of utterances that made up the Psalms.  In a letter, Parker wrote that the psalter: </w:t>
      </w:r>
    </w:p>
    <w:p w14:paraId="01783C97" w14:textId="77777777" w:rsidR="00162224" w:rsidRPr="003037D2" w:rsidRDefault="00162224" w:rsidP="00F27EB0">
      <w:pPr>
        <w:spacing w:after="100" w:afterAutospacing="1"/>
        <w:ind w:left="737" w:right="737"/>
        <w:rPr>
          <w:rFonts w:ascii="Garamond" w:eastAsia="Calibri" w:hAnsi="Garamond" w:cs="Times New Roman"/>
        </w:rPr>
      </w:pPr>
      <w:r w:rsidRPr="003037D2">
        <w:rPr>
          <w:rFonts w:ascii="Garamond" w:eastAsia="Calibri" w:hAnsi="Garamond" w:cs="Times New Roman"/>
        </w:rPr>
        <w:t>co[n]</w:t>
      </w:r>
      <w:proofErr w:type="spellStart"/>
      <w:r w:rsidRPr="003037D2">
        <w:rPr>
          <w:rFonts w:ascii="Garamond" w:eastAsia="Calibri" w:hAnsi="Garamond" w:cs="Times New Roman"/>
        </w:rPr>
        <w:t>teyneth</w:t>
      </w:r>
      <w:proofErr w:type="spellEnd"/>
      <w:r w:rsidRPr="003037D2">
        <w:rPr>
          <w:rFonts w:ascii="Garamond" w:eastAsia="Calibri" w:hAnsi="Garamond" w:cs="Times New Roman"/>
        </w:rPr>
        <w:t xml:space="preserve"> the motions, thee mutations, the alterations of every </w:t>
      </w:r>
      <w:proofErr w:type="spellStart"/>
      <w:r w:rsidRPr="003037D2">
        <w:rPr>
          <w:rFonts w:ascii="Garamond" w:eastAsia="Calibri" w:hAnsi="Garamond" w:cs="Times New Roman"/>
        </w:rPr>
        <w:t>mans</w:t>
      </w:r>
      <w:proofErr w:type="spellEnd"/>
      <w:r w:rsidRPr="003037D2">
        <w:rPr>
          <w:rFonts w:ascii="Garamond" w:eastAsia="Calibri" w:hAnsi="Garamond" w:cs="Times New Roman"/>
        </w:rPr>
        <w:t xml:space="preserve"> hart and conscience described and lively </w:t>
      </w:r>
      <w:proofErr w:type="spellStart"/>
      <w:r w:rsidRPr="003037D2">
        <w:rPr>
          <w:rFonts w:ascii="Garamond" w:eastAsia="Calibri" w:hAnsi="Garamond" w:cs="Times New Roman"/>
        </w:rPr>
        <w:t>paynted</w:t>
      </w:r>
      <w:proofErr w:type="spellEnd"/>
      <w:r w:rsidRPr="003037D2">
        <w:rPr>
          <w:rFonts w:ascii="Garamond" w:eastAsia="Calibri" w:hAnsi="Garamond" w:cs="Times New Roman"/>
        </w:rPr>
        <w:t xml:space="preserve"> to his </w:t>
      </w:r>
      <w:proofErr w:type="spellStart"/>
      <w:r w:rsidRPr="003037D2">
        <w:rPr>
          <w:rFonts w:ascii="Garamond" w:eastAsia="Calibri" w:hAnsi="Garamond" w:cs="Times New Roman"/>
        </w:rPr>
        <w:t>owne</w:t>
      </w:r>
      <w:proofErr w:type="spellEnd"/>
      <w:r w:rsidRPr="003037D2">
        <w:rPr>
          <w:rFonts w:ascii="Garamond" w:eastAsia="Calibri" w:hAnsi="Garamond" w:cs="Times New Roman"/>
        </w:rPr>
        <w:t xml:space="preserve"> sight, so that if a man list, he might </w:t>
      </w:r>
      <w:proofErr w:type="spellStart"/>
      <w:r w:rsidRPr="003037D2">
        <w:rPr>
          <w:rFonts w:ascii="Garamond" w:eastAsia="Calibri" w:hAnsi="Garamond" w:cs="Times New Roman"/>
        </w:rPr>
        <w:t>easely</w:t>
      </w:r>
      <w:proofErr w:type="spellEnd"/>
      <w:r w:rsidRPr="003037D2">
        <w:rPr>
          <w:rFonts w:ascii="Garamond" w:eastAsia="Calibri" w:hAnsi="Garamond" w:cs="Times New Roman"/>
        </w:rPr>
        <w:t xml:space="preserve"> gather out thereof </w:t>
      </w:r>
      <w:proofErr w:type="spellStart"/>
      <w:r w:rsidRPr="003037D2">
        <w:rPr>
          <w:rFonts w:ascii="Garamond" w:eastAsia="Calibri" w:hAnsi="Garamond" w:cs="Times New Roman"/>
        </w:rPr>
        <w:t>certaine</w:t>
      </w:r>
      <w:proofErr w:type="spellEnd"/>
      <w:r w:rsidRPr="003037D2">
        <w:rPr>
          <w:rFonts w:ascii="Garamond" w:eastAsia="Calibri" w:hAnsi="Garamond" w:cs="Times New Roman"/>
        </w:rPr>
        <w:t xml:space="preserve"> considerations of </w:t>
      </w:r>
      <w:proofErr w:type="spellStart"/>
      <w:r w:rsidRPr="003037D2">
        <w:rPr>
          <w:rFonts w:ascii="Garamond" w:eastAsia="Calibri" w:hAnsi="Garamond" w:cs="Times New Roman"/>
        </w:rPr>
        <w:t>himselfe</w:t>
      </w:r>
      <w:proofErr w:type="spellEnd"/>
      <w:r w:rsidRPr="003037D2">
        <w:rPr>
          <w:rFonts w:ascii="Garamond" w:eastAsia="Calibri" w:hAnsi="Garamond" w:cs="Times New Roman"/>
        </w:rPr>
        <w:t xml:space="preserve"> as out of a bright </w:t>
      </w:r>
      <w:proofErr w:type="spellStart"/>
      <w:r w:rsidRPr="003037D2">
        <w:rPr>
          <w:rFonts w:ascii="Garamond" w:eastAsia="Calibri" w:hAnsi="Garamond" w:cs="Times New Roman"/>
        </w:rPr>
        <w:t>glasse</w:t>
      </w:r>
      <w:proofErr w:type="spellEnd"/>
      <w:r w:rsidRPr="003037D2">
        <w:rPr>
          <w:rFonts w:ascii="Garamond" w:eastAsia="Calibri" w:hAnsi="Garamond" w:cs="Times New Roman"/>
        </w:rPr>
        <w:t xml:space="preserve"> and </w:t>
      </w:r>
      <w:proofErr w:type="spellStart"/>
      <w:r w:rsidRPr="003037D2">
        <w:rPr>
          <w:rFonts w:ascii="Garamond" w:eastAsia="Calibri" w:hAnsi="Garamond" w:cs="Times New Roman"/>
        </w:rPr>
        <w:t>playne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paterne</w:t>
      </w:r>
      <w:proofErr w:type="spellEnd"/>
      <w:r w:rsidRPr="003037D2">
        <w:rPr>
          <w:rFonts w:ascii="Garamond" w:eastAsia="Calibri" w:hAnsi="Garamond" w:cs="Times New Roman"/>
        </w:rPr>
        <w:t xml:space="preserve"> set before his face, so </w:t>
      </w:r>
      <w:proofErr w:type="spellStart"/>
      <w:r w:rsidRPr="003037D2">
        <w:rPr>
          <w:rFonts w:ascii="Garamond" w:eastAsia="Calibri" w:hAnsi="Garamond" w:cs="Times New Roman"/>
        </w:rPr>
        <w:t>therby</w:t>
      </w:r>
      <w:proofErr w:type="spellEnd"/>
      <w:r w:rsidRPr="003037D2">
        <w:rPr>
          <w:rFonts w:ascii="Garamond" w:eastAsia="Calibri" w:hAnsi="Garamond" w:cs="Times New Roman"/>
        </w:rPr>
        <w:t xml:space="preserve"> to </w:t>
      </w:r>
      <w:proofErr w:type="spellStart"/>
      <w:r w:rsidRPr="003037D2">
        <w:rPr>
          <w:rFonts w:ascii="Garamond" w:eastAsia="Calibri" w:hAnsi="Garamond" w:cs="Times New Roman"/>
        </w:rPr>
        <w:t>refourm</w:t>
      </w:r>
      <w:proofErr w:type="spellEnd"/>
      <w:r w:rsidRPr="003037D2">
        <w:rPr>
          <w:rFonts w:ascii="Garamond" w:eastAsia="Calibri" w:hAnsi="Garamond" w:cs="Times New Roman"/>
        </w:rPr>
        <w:t xml:space="preserve"> himself as he red </w:t>
      </w:r>
      <w:proofErr w:type="spellStart"/>
      <w:r w:rsidRPr="003037D2">
        <w:rPr>
          <w:rFonts w:ascii="Garamond" w:eastAsia="Calibri" w:hAnsi="Garamond" w:cs="Times New Roman"/>
        </w:rPr>
        <w:t>therin</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292"/>
      </w:r>
    </w:p>
    <w:p w14:paraId="7CB90F3F" w14:textId="77777777" w:rsidR="00162224" w:rsidRPr="003037D2" w:rsidRDefault="00162224" w:rsidP="00667CD5">
      <w:pPr>
        <w:spacing w:after="120" w:line="360" w:lineRule="auto"/>
        <w:rPr>
          <w:rFonts w:ascii="Garamond" w:eastAsia="Calibri" w:hAnsi="Garamond" w:cs="Times New Roman"/>
        </w:rPr>
      </w:pPr>
      <w:r w:rsidRPr="003037D2">
        <w:rPr>
          <w:rFonts w:ascii="Garamond" w:eastAsia="Calibri" w:hAnsi="Garamond" w:cs="Times New Roman"/>
        </w:rPr>
        <w:t xml:space="preserve">In this description, the psalter is presented as animated and dynamic: a mirror for man’s mind through which he can gain self-knowledge through self-reflection. The mirror is reactive: reflecting the reader’s present state of mind. Rather than a hermetically sealed book, unchanging and unresponsive, contained within the pages is a glass that can offer a different image on each opening. Parker repeats this image in his introductory poem ‘On the virtue of the Psalms’: </w:t>
      </w:r>
    </w:p>
    <w:p w14:paraId="628ACC09"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 xml:space="preserve">In other books: where man doth </w:t>
      </w:r>
      <w:proofErr w:type="spellStart"/>
      <w:r w:rsidRPr="003037D2">
        <w:rPr>
          <w:rFonts w:ascii="Garamond" w:eastAsia="Calibri" w:hAnsi="Garamond" w:cs="Times New Roman"/>
        </w:rPr>
        <w:t>looke</w:t>
      </w:r>
      <w:proofErr w:type="spellEnd"/>
      <w:r w:rsidRPr="003037D2">
        <w:rPr>
          <w:rFonts w:ascii="Garamond" w:eastAsia="Calibri" w:hAnsi="Garamond" w:cs="Times New Roman"/>
        </w:rPr>
        <w:t>,</w:t>
      </w:r>
    </w:p>
    <w:p w14:paraId="01C26D16"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 xml:space="preserve">But </w:t>
      </w:r>
      <w:proofErr w:type="gramStart"/>
      <w:r w:rsidRPr="003037D2">
        <w:rPr>
          <w:rFonts w:ascii="Garamond" w:eastAsia="Calibri" w:hAnsi="Garamond" w:cs="Times New Roman"/>
        </w:rPr>
        <w:t>others</w:t>
      </w:r>
      <w:proofErr w:type="gramEnd"/>
      <w:r w:rsidRPr="003037D2">
        <w:rPr>
          <w:rFonts w:ascii="Garamond" w:eastAsia="Calibri" w:hAnsi="Garamond" w:cs="Times New Roman"/>
        </w:rPr>
        <w:t xml:space="preserve"> words </w:t>
      </w:r>
      <w:proofErr w:type="spellStart"/>
      <w:r w:rsidRPr="003037D2">
        <w:rPr>
          <w:rFonts w:ascii="Garamond" w:eastAsia="Calibri" w:hAnsi="Garamond" w:cs="Times New Roman"/>
        </w:rPr>
        <w:t>seeth</w:t>
      </w:r>
      <w:proofErr w:type="spellEnd"/>
      <w:r w:rsidRPr="003037D2">
        <w:rPr>
          <w:rFonts w:ascii="Garamond" w:eastAsia="Calibri" w:hAnsi="Garamond" w:cs="Times New Roman"/>
        </w:rPr>
        <w:t xml:space="preserve"> he: </w:t>
      </w:r>
      <w:r w:rsidRPr="003037D2">
        <w:rPr>
          <w:rFonts w:ascii="Garamond" w:eastAsia="Calibri" w:hAnsi="Garamond" w:cs="Times New Roman"/>
        </w:rPr>
        <w:br/>
        <w:t xml:space="preserve">As proper hath: this only </w:t>
      </w:r>
      <w:proofErr w:type="spellStart"/>
      <w:r w:rsidRPr="003037D2">
        <w:rPr>
          <w:rFonts w:ascii="Garamond" w:eastAsia="Calibri" w:hAnsi="Garamond" w:cs="Times New Roman"/>
        </w:rPr>
        <w:t>booke</w:t>
      </w:r>
      <w:proofErr w:type="spellEnd"/>
      <w:r w:rsidRPr="003037D2">
        <w:rPr>
          <w:rFonts w:ascii="Garamond" w:eastAsia="Calibri" w:hAnsi="Garamond" w:cs="Times New Roman"/>
        </w:rPr>
        <w:t>,</w:t>
      </w:r>
    </w:p>
    <w:p w14:paraId="1ADF831E"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 xml:space="preserve">Most words his </w:t>
      </w:r>
      <w:proofErr w:type="spellStart"/>
      <w:r w:rsidRPr="003037D2">
        <w:rPr>
          <w:rFonts w:ascii="Garamond" w:eastAsia="Calibri" w:hAnsi="Garamond" w:cs="Times New Roman"/>
        </w:rPr>
        <w:t>owne</w:t>
      </w:r>
      <w:proofErr w:type="spellEnd"/>
      <w:r w:rsidRPr="003037D2">
        <w:rPr>
          <w:rFonts w:ascii="Garamond" w:eastAsia="Calibri" w:hAnsi="Garamond" w:cs="Times New Roman"/>
        </w:rPr>
        <w:t xml:space="preserve"> to be. </w:t>
      </w:r>
    </w:p>
    <w:p w14:paraId="0BB5CA21" w14:textId="77777777" w:rsidR="00162224" w:rsidRPr="003037D2" w:rsidRDefault="00162224" w:rsidP="00162224">
      <w:pPr>
        <w:ind w:left="2880"/>
        <w:rPr>
          <w:rFonts w:ascii="Garamond" w:eastAsia="Calibri" w:hAnsi="Garamond" w:cs="Times New Roman"/>
        </w:rPr>
      </w:pPr>
    </w:p>
    <w:p w14:paraId="58180F41"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 xml:space="preserve">It is a </w:t>
      </w:r>
      <w:proofErr w:type="spellStart"/>
      <w:r w:rsidRPr="003037D2">
        <w:rPr>
          <w:rFonts w:ascii="Garamond" w:eastAsia="Calibri" w:hAnsi="Garamond" w:cs="Times New Roman"/>
        </w:rPr>
        <w:t>glasse</w:t>
      </w:r>
      <w:proofErr w:type="spellEnd"/>
      <w:r w:rsidRPr="003037D2">
        <w:rPr>
          <w:rFonts w:ascii="Garamond" w:eastAsia="Calibri" w:hAnsi="Garamond" w:cs="Times New Roman"/>
        </w:rPr>
        <w:t xml:space="preserve">: a </w:t>
      </w:r>
      <w:proofErr w:type="spellStart"/>
      <w:r w:rsidRPr="003037D2">
        <w:rPr>
          <w:rFonts w:ascii="Garamond" w:eastAsia="Calibri" w:hAnsi="Garamond" w:cs="Times New Roman"/>
        </w:rPr>
        <w:t>myrrour</w:t>
      </w:r>
      <w:proofErr w:type="spellEnd"/>
      <w:r w:rsidRPr="003037D2">
        <w:rPr>
          <w:rFonts w:ascii="Garamond" w:eastAsia="Calibri" w:hAnsi="Garamond" w:cs="Times New Roman"/>
        </w:rPr>
        <w:t xml:space="preserve"> bright,</w:t>
      </w:r>
    </w:p>
    <w:p w14:paraId="2E0E2474"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 xml:space="preserve">For </w:t>
      </w:r>
      <w:proofErr w:type="spellStart"/>
      <w:r w:rsidRPr="003037D2">
        <w:rPr>
          <w:rFonts w:ascii="Garamond" w:eastAsia="Calibri" w:hAnsi="Garamond" w:cs="Times New Roman"/>
        </w:rPr>
        <w:t>soule</w:t>
      </w:r>
      <w:proofErr w:type="spellEnd"/>
      <w:r w:rsidRPr="003037D2">
        <w:rPr>
          <w:rFonts w:ascii="Garamond" w:eastAsia="Calibri" w:hAnsi="Garamond" w:cs="Times New Roman"/>
        </w:rPr>
        <w:t xml:space="preserve"> to see his state: </w:t>
      </w:r>
      <w:r w:rsidRPr="003037D2">
        <w:rPr>
          <w:rFonts w:ascii="Garamond" w:eastAsia="Calibri" w:hAnsi="Garamond" w:cs="Times New Roman"/>
        </w:rPr>
        <w:br/>
        <w:t xml:space="preserve">A garden fayre: all fully </w:t>
      </w:r>
      <w:proofErr w:type="spellStart"/>
      <w:r w:rsidRPr="003037D2">
        <w:rPr>
          <w:rFonts w:ascii="Garamond" w:eastAsia="Calibri" w:hAnsi="Garamond" w:cs="Times New Roman"/>
        </w:rPr>
        <w:t>dight</w:t>
      </w:r>
      <w:proofErr w:type="spellEnd"/>
      <w:r w:rsidRPr="003037D2">
        <w:rPr>
          <w:rFonts w:ascii="Garamond" w:eastAsia="Calibri" w:hAnsi="Garamond" w:cs="Times New Roman"/>
        </w:rPr>
        <w:t>,</w:t>
      </w:r>
    </w:p>
    <w:p w14:paraId="6F9948EF"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 xml:space="preserve">With </w:t>
      </w:r>
      <w:proofErr w:type="spellStart"/>
      <w:r w:rsidRPr="003037D2">
        <w:rPr>
          <w:rFonts w:ascii="Garamond" w:eastAsia="Calibri" w:hAnsi="Garamond" w:cs="Times New Roman"/>
        </w:rPr>
        <w:t>herbes</w:t>
      </w:r>
      <w:proofErr w:type="spellEnd"/>
      <w:r w:rsidRPr="003037D2">
        <w:rPr>
          <w:rFonts w:ascii="Garamond" w:eastAsia="Calibri" w:hAnsi="Garamond" w:cs="Times New Roman"/>
        </w:rPr>
        <w:t xml:space="preserve"> most delicate.</w:t>
      </w:r>
      <w:r w:rsidRPr="003037D2">
        <w:rPr>
          <w:rFonts w:ascii="Garamond" w:eastAsia="Calibri" w:hAnsi="Garamond" w:cs="Times New Roman"/>
          <w:vertAlign w:val="superscript"/>
        </w:rPr>
        <w:footnoteReference w:id="293"/>
      </w:r>
      <w:r w:rsidRPr="003037D2">
        <w:rPr>
          <w:rFonts w:ascii="Garamond" w:eastAsia="Calibri" w:hAnsi="Garamond" w:cs="Times New Roman"/>
        </w:rPr>
        <w:t xml:space="preserve"> </w:t>
      </w:r>
    </w:p>
    <w:p w14:paraId="668FEE03" w14:textId="77777777" w:rsidR="00162224" w:rsidRPr="003037D2" w:rsidRDefault="00162224" w:rsidP="00162224">
      <w:pPr>
        <w:spacing w:line="360" w:lineRule="auto"/>
        <w:ind w:left="2880"/>
        <w:rPr>
          <w:rFonts w:ascii="Garamond" w:eastAsia="Calibri" w:hAnsi="Garamond" w:cs="Times New Roman"/>
        </w:rPr>
      </w:pPr>
    </w:p>
    <w:p w14:paraId="3AAAC63A" w14:textId="77777777" w:rsidR="00162224" w:rsidRPr="003037D2" w:rsidRDefault="00162224" w:rsidP="00162224">
      <w:pPr>
        <w:spacing w:after="100" w:afterAutospacing="1" w:line="360" w:lineRule="auto"/>
        <w:rPr>
          <w:rFonts w:ascii="Garamond" w:eastAsia="Calibri" w:hAnsi="Garamond" w:cs="Times New Roman"/>
        </w:rPr>
      </w:pPr>
      <w:r w:rsidRPr="003037D2">
        <w:rPr>
          <w:rFonts w:ascii="Garamond" w:eastAsia="Calibri" w:hAnsi="Garamond" w:cs="Times New Roman"/>
        </w:rPr>
        <w:t xml:space="preserve"> Parker focuses on visual descriptions of the psalms to </w:t>
      </w:r>
      <w:proofErr w:type="spellStart"/>
      <w:r w:rsidRPr="003037D2">
        <w:rPr>
          <w:rFonts w:ascii="Garamond" w:eastAsia="Calibri" w:hAnsi="Garamond" w:cs="Times New Roman"/>
        </w:rPr>
        <w:t>emphasise</w:t>
      </w:r>
      <w:proofErr w:type="spellEnd"/>
      <w:r w:rsidRPr="003037D2">
        <w:rPr>
          <w:rFonts w:ascii="Garamond" w:eastAsia="Calibri" w:hAnsi="Garamond" w:cs="Times New Roman"/>
        </w:rPr>
        <w:t xml:space="preserve"> their didactic power. The psalter </w:t>
      </w:r>
      <w:proofErr w:type="gramStart"/>
      <w:r w:rsidRPr="003037D2">
        <w:rPr>
          <w:rFonts w:ascii="Garamond" w:eastAsia="Calibri" w:hAnsi="Garamond" w:cs="Times New Roman"/>
        </w:rPr>
        <w:t>as a whole acts</w:t>
      </w:r>
      <w:proofErr w:type="gramEnd"/>
      <w:r w:rsidRPr="003037D2">
        <w:rPr>
          <w:rFonts w:ascii="Garamond" w:eastAsia="Calibri" w:hAnsi="Garamond" w:cs="Times New Roman"/>
        </w:rPr>
        <w:t xml:space="preserve"> as a map or guide, giving preordained ‘forms’ which individual readers can use to make sense of their own experiences. This is akin to Calvin’s insistence that the Psalms are an ‘Anatomy of all the </w:t>
      </w:r>
      <w:proofErr w:type="spellStart"/>
      <w:r w:rsidRPr="003037D2">
        <w:rPr>
          <w:rFonts w:ascii="Garamond" w:eastAsia="Calibri" w:hAnsi="Garamond" w:cs="Times New Roman"/>
        </w:rPr>
        <w:t>partes</w:t>
      </w:r>
      <w:proofErr w:type="spellEnd"/>
      <w:r w:rsidRPr="003037D2">
        <w:rPr>
          <w:rFonts w:ascii="Garamond" w:eastAsia="Calibri" w:hAnsi="Garamond" w:cs="Times New Roman"/>
        </w:rPr>
        <w:t xml:space="preserve"> of the Soule’.</w:t>
      </w:r>
      <w:r w:rsidRPr="003037D2">
        <w:rPr>
          <w:rFonts w:ascii="Garamond" w:eastAsia="Calibri" w:hAnsi="Garamond" w:cs="Times New Roman"/>
          <w:vertAlign w:val="superscript"/>
        </w:rPr>
        <w:footnoteReference w:id="294"/>
      </w:r>
      <w:r w:rsidRPr="003037D2">
        <w:rPr>
          <w:rFonts w:ascii="Garamond" w:eastAsia="Calibri" w:hAnsi="Garamond" w:cs="Times New Roman"/>
        </w:rPr>
        <w:t xml:space="preserve"> </w:t>
      </w:r>
    </w:p>
    <w:p w14:paraId="44837071" w14:textId="77777777" w:rsidR="00162224" w:rsidRPr="003037D2" w:rsidRDefault="00162224" w:rsidP="00162224">
      <w:pPr>
        <w:spacing w:line="360" w:lineRule="auto"/>
        <w:rPr>
          <w:rFonts w:ascii="Garamond" w:eastAsia="Calibri" w:hAnsi="Garamond" w:cs="Times New Roman"/>
        </w:rPr>
      </w:pPr>
    </w:p>
    <w:p w14:paraId="017D82EF" w14:textId="77777777"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This model of the mirror as a means for accommodating mankind’s understanding was a motif seen also in the writings of John Calvin. Describing the ‘elegant structure’ of the cosmos as ‘a kind of mirror, in which we may behold God’, focuses attention on the relationship between the world as seen and the world as reality. Calvin often describes how vision can fail, declaring, ‘when we look up to the sun… the </w:t>
      </w:r>
      <w:r w:rsidRPr="003037D2">
        <w:rPr>
          <w:rFonts w:ascii="Garamond" w:eastAsia="Calibri" w:hAnsi="Garamond" w:cs="Times New Roman"/>
        </w:rPr>
        <w:lastRenderedPageBreak/>
        <w:t>sight which did excellently well for the earth is instantly so dazzled and confounded by the refulgence, as to oblige us to confess that or acuteness in discerning terrestrial objects is mere dimness’.</w:t>
      </w:r>
      <w:r w:rsidRPr="003037D2">
        <w:rPr>
          <w:rFonts w:ascii="Garamond" w:eastAsia="Calibri" w:hAnsi="Garamond" w:cs="Times New Roman"/>
          <w:vertAlign w:val="superscript"/>
        </w:rPr>
        <w:footnoteReference w:id="295"/>
      </w:r>
      <w:r w:rsidRPr="003037D2">
        <w:rPr>
          <w:rFonts w:ascii="Garamond" w:eastAsia="Calibri" w:hAnsi="Garamond" w:cs="Times New Roman"/>
        </w:rPr>
        <w:t xml:space="preserve"> The fallibility of vision is directly linked to man’s inability to truly comprehend the perfection of the divine, as the disconnect between how positive qualities manifest in humans and in God results in a failure of language. Calvin declares that ‘His immensity surely ought to deter us from measuring him by our sense while his spiritual nature forbids us to indulge in carnal or earthly speculation concerning him’.</w:t>
      </w:r>
      <w:r w:rsidRPr="003037D2">
        <w:rPr>
          <w:rFonts w:ascii="Garamond" w:eastAsia="Calibri" w:hAnsi="Garamond" w:cs="Times New Roman"/>
          <w:vertAlign w:val="superscript"/>
        </w:rPr>
        <w:footnoteReference w:id="296"/>
      </w:r>
      <w:r w:rsidRPr="003037D2">
        <w:rPr>
          <w:rFonts w:ascii="Garamond" w:eastAsia="Calibri" w:hAnsi="Garamond" w:cs="Times New Roman"/>
        </w:rPr>
        <w:t xml:space="preserve"> He offers a solution to this failure of sight in the form of the spiritual spectacles of the Bible: </w:t>
      </w:r>
    </w:p>
    <w:p w14:paraId="4714C32C" w14:textId="5CCFA9B1" w:rsidR="00162224" w:rsidRPr="003037D2" w:rsidRDefault="00162224" w:rsidP="00F27EB0">
      <w:pPr>
        <w:ind w:left="737" w:right="737"/>
        <w:rPr>
          <w:rFonts w:ascii="Garamond" w:eastAsia="Calibri" w:hAnsi="Garamond" w:cs="Times New Roman"/>
        </w:rPr>
      </w:pPr>
      <w:r w:rsidRPr="003037D2">
        <w:rPr>
          <w:rFonts w:ascii="Garamond" w:eastAsia="Calibri" w:hAnsi="Garamond" w:cs="Times New Roman"/>
        </w:rPr>
        <w:t>Just as old or bleary-eyed men and those with weak vision, if you thrust before them a most beautiful volume, even if they recognize it to be some sort of writing, yet can scarcely construe two words, but with the aid of spectacles will begin to read distinctly; so Scripture, gathering up the otherwise confused knowledge of God in our minds, having dispersed our dullness, clearly shows us the true God.</w:t>
      </w:r>
      <w:r w:rsidRPr="003037D2">
        <w:rPr>
          <w:rFonts w:ascii="Garamond" w:eastAsia="Calibri" w:hAnsi="Garamond" w:cs="Times New Roman"/>
          <w:vertAlign w:val="superscript"/>
        </w:rPr>
        <w:footnoteReference w:id="297"/>
      </w:r>
    </w:p>
    <w:p w14:paraId="25ADDD45" w14:textId="77777777" w:rsidR="00F27EB0" w:rsidRPr="003037D2" w:rsidRDefault="00F27EB0" w:rsidP="00F27EB0">
      <w:pPr>
        <w:ind w:left="737" w:right="737"/>
        <w:rPr>
          <w:rFonts w:ascii="Garamond" w:eastAsia="Calibri" w:hAnsi="Garamond" w:cs="Times New Roman"/>
        </w:rPr>
      </w:pPr>
    </w:p>
    <w:p w14:paraId="0290393E" w14:textId="7528915F" w:rsidR="00162224" w:rsidRDefault="00162224" w:rsidP="00162224">
      <w:pPr>
        <w:spacing w:line="360" w:lineRule="auto"/>
        <w:rPr>
          <w:rFonts w:ascii="Garamond" w:eastAsia="Calibri" w:hAnsi="Garamond" w:cs="Times New Roman"/>
        </w:rPr>
      </w:pPr>
      <w:r w:rsidRPr="003037D2">
        <w:rPr>
          <w:rFonts w:ascii="Garamond" w:eastAsia="Calibri" w:hAnsi="Garamond" w:cs="Times New Roman"/>
        </w:rPr>
        <w:t>However, even when making use of the words of scripture, there is a possibility for failure. Calvin lambasts ‘the Anthropomorphist… who dreamed of a corporeal God, because mouth, ears, eyes, hands, and feet, are often ascribed to him in Scripture’. This biblical reader has taken the words of scripture at purely face value, without discerning that ‘God, in so speaking, lisps with us as nurses do with little children… Such modes of expression… do not so much express what kind of being God is, as accommodate the knowledge him to our feebleness’.</w:t>
      </w:r>
      <w:r w:rsidRPr="003037D2">
        <w:rPr>
          <w:rFonts w:ascii="Garamond" w:eastAsia="Calibri" w:hAnsi="Garamond" w:cs="Times New Roman"/>
          <w:vertAlign w:val="superscript"/>
        </w:rPr>
        <w:footnoteReference w:id="298"/>
      </w:r>
      <w:r w:rsidRPr="003037D2">
        <w:rPr>
          <w:rFonts w:ascii="Garamond" w:eastAsia="Calibri" w:hAnsi="Garamond" w:cs="Times New Roman"/>
        </w:rPr>
        <w:t xml:space="preserve"> It is this accommodation of God to human understanding that can be seen both in the beauty of the natural world, and the word of scripture. As previously discussed with reference to Bakhtin, providing a means of communication with the divine bridges the gap of time between the Bible and the present moment. </w:t>
      </w:r>
    </w:p>
    <w:p w14:paraId="305DCD9E" w14:textId="77777777" w:rsidR="00667CD5" w:rsidRPr="003037D2" w:rsidRDefault="00667CD5" w:rsidP="00162224">
      <w:pPr>
        <w:spacing w:line="360" w:lineRule="auto"/>
        <w:rPr>
          <w:rFonts w:ascii="Garamond" w:eastAsia="Calibri" w:hAnsi="Garamond" w:cs="Times New Roman"/>
        </w:rPr>
      </w:pPr>
    </w:p>
    <w:p w14:paraId="3BD04480" w14:textId="77777777" w:rsidR="00162224" w:rsidRPr="003037D2" w:rsidRDefault="00162224" w:rsidP="00667CD5">
      <w:pPr>
        <w:spacing w:after="120" w:line="360" w:lineRule="auto"/>
        <w:ind w:firstLine="720"/>
        <w:rPr>
          <w:rFonts w:ascii="Garamond" w:eastAsia="Calibri" w:hAnsi="Garamond" w:cs="Times New Roman"/>
        </w:rPr>
      </w:pPr>
      <w:r w:rsidRPr="003037D2">
        <w:rPr>
          <w:rFonts w:ascii="Garamond" w:eastAsia="Calibri" w:hAnsi="Garamond" w:cs="Times New Roman"/>
        </w:rPr>
        <w:t>It has been stated that Parker used a different verse form for each of the 150 psalms. Although this is not the case, he did make use of a diverse array of metrical systems.</w:t>
      </w:r>
      <w:r w:rsidRPr="003037D2">
        <w:rPr>
          <w:rFonts w:ascii="Garamond" w:eastAsia="Calibri" w:hAnsi="Garamond" w:cs="Times New Roman"/>
          <w:vertAlign w:val="superscript"/>
        </w:rPr>
        <w:footnoteReference w:id="299"/>
      </w:r>
      <w:r w:rsidRPr="003037D2">
        <w:rPr>
          <w:rFonts w:ascii="Garamond" w:eastAsia="Calibri" w:hAnsi="Garamond" w:cs="Times New Roman"/>
        </w:rPr>
        <w:t xml:space="preserve"> He declares that this variety makes the psalms universally accessible: </w:t>
      </w:r>
    </w:p>
    <w:p w14:paraId="3FE0B5E5" w14:textId="77777777" w:rsidR="00162224" w:rsidRPr="003037D2" w:rsidRDefault="00162224" w:rsidP="00162224">
      <w:pPr>
        <w:ind w:left="2880"/>
        <w:rPr>
          <w:rFonts w:ascii="Garamond" w:eastAsia="Calibri" w:hAnsi="Garamond" w:cs="Times New Roman"/>
        </w:rPr>
      </w:pPr>
      <w:proofErr w:type="spellStart"/>
      <w:r w:rsidRPr="003037D2">
        <w:rPr>
          <w:rFonts w:ascii="Garamond" w:eastAsia="Calibri" w:hAnsi="Garamond" w:cs="Times New Roman"/>
        </w:rPr>
        <w:lastRenderedPageBreak/>
        <w:t>Herin</w:t>
      </w:r>
      <w:proofErr w:type="spellEnd"/>
      <w:r w:rsidRPr="003037D2">
        <w:rPr>
          <w:rFonts w:ascii="Garamond" w:eastAsia="Calibri" w:hAnsi="Garamond" w:cs="Times New Roman"/>
        </w:rPr>
        <w:t xml:space="preserve"> because: all </w:t>
      </w:r>
      <w:proofErr w:type="spellStart"/>
      <w:r w:rsidRPr="003037D2">
        <w:rPr>
          <w:rFonts w:ascii="Garamond" w:eastAsia="Calibri" w:hAnsi="Garamond" w:cs="Times New Roman"/>
        </w:rPr>
        <w:t>mans</w:t>
      </w:r>
      <w:proofErr w:type="spellEnd"/>
      <w:r w:rsidRPr="003037D2">
        <w:rPr>
          <w:rFonts w:ascii="Garamond" w:eastAsia="Calibri" w:hAnsi="Garamond" w:cs="Times New Roman"/>
        </w:rPr>
        <w:t xml:space="preserve"> delight,</w:t>
      </w:r>
    </w:p>
    <w:p w14:paraId="2AAEF267"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 xml:space="preserve">Bee diverse </w:t>
      </w:r>
      <w:proofErr w:type="spellStart"/>
      <w:r w:rsidRPr="003037D2">
        <w:rPr>
          <w:rFonts w:ascii="Garamond" w:eastAsia="Calibri" w:hAnsi="Garamond" w:cs="Times New Roman"/>
        </w:rPr>
        <w:t>founde</w:t>
      </w:r>
      <w:proofErr w:type="spellEnd"/>
      <w:r w:rsidRPr="003037D2">
        <w:rPr>
          <w:rFonts w:ascii="Garamond" w:eastAsia="Calibri" w:hAnsi="Garamond" w:cs="Times New Roman"/>
        </w:rPr>
        <w:t xml:space="preserve"> in </w:t>
      </w:r>
      <w:proofErr w:type="spellStart"/>
      <w:r w:rsidRPr="003037D2">
        <w:rPr>
          <w:rFonts w:ascii="Garamond" w:eastAsia="Calibri" w:hAnsi="Garamond" w:cs="Times New Roman"/>
        </w:rPr>
        <w:t>mynde</w:t>
      </w:r>
      <w:proofErr w:type="spellEnd"/>
      <w:r w:rsidRPr="003037D2">
        <w:rPr>
          <w:rFonts w:ascii="Garamond" w:eastAsia="Calibri" w:hAnsi="Garamond" w:cs="Times New Roman"/>
        </w:rPr>
        <w:t xml:space="preserve">: </w:t>
      </w:r>
    </w:p>
    <w:p w14:paraId="14961597"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 xml:space="preserve">I </w:t>
      </w:r>
      <w:proofErr w:type="spellStart"/>
      <w:r w:rsidRPr="003037D2">
        <w:rPr>
          <w:rFonts w:ascii="Garamond" w:eastAsia="Calibri" w:hAnsi="Garamond" w:cs="Times New Roman"/>
        </w:rPr>
        <w:t>tourned</w:t>
      </w:r>
      <w:proofErr w:type="spellEnd"/>
      <w:r w:rsidRPr="003037D2">
        <w:rPr>
          <w:rFonts w:ascii="Garamond" w:eastAsia="Calibri" w:hAnsi="Garamond" w:cs="Times New Roman"/>
        </w:rPr>
        <w:t xml:space="preserve"> the </w:t>
      </w:r>
      <w:proofErr w:type="spellStart"/>
      <w:r w:rsidRPr="003037D2">
        <w:rPr>
          <w:rFonts w:ascii="Garamond" w:eastAsia="Calibri" w:hAnsi="Garamond" w:cs="Times New Roman"/>
        </w:rPr>
        <w:t>Psalmes</w:t>
      </w:r>
      <w:proofErr w:type="spellEnd"/>
      <w:r w:rsidRPr="003037D2">
        <w:rPr>
          <w:rFonts w:ascii="Garamond" w:eastAsia="Calibri" w:hAnsi="Garamond" w:cs="Times New Roman"/>
        </w:rPr>
        <w:t xml:space="preserve">: all whole in sight, </w:t>
      </w:r>
    </w:p>
    <w:p w14:paraId="5CC6EFDC"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 xml:space="preserve">In </w:t>
      </w:r>
      <w:proofErr w:type="spellStart"/>
      <w:r w:rsidRPr="003037D2">
        <w:rPr>
          <w:rFonts w:ascii="Garamond" w:eastAsia="Calibri" w:hAnsi="Garamond" w:cs="Times New Roman"/>
        </w:rPr>
        <w:t>rythmes</w:t>
      </w:r>
      <w:proofErr w:type="spellEnd"/>
      <w:r w:rsidRPr="003037D2">
        <w:rPr>
          <w:rFonts w:ascii="Garamond" w:eastAsia="Calibri" w:hAnsi="Garamond" w:cs="Times New Roman"/>
        </w:rPr>
        <w:t xml:space="preserve"> of diverse </w:t>
      </w:r>
      <w:proofErr w:type="spellStart"/>
      <w:r w:rsidRPr="003037D2">
        <w:rPr>
          <w:rFonts w:ascii="Garamond" w:eastAsia="Calibri" w:hAnsi="Garamond" w:cs="Times New Roman"/>
        </w:rPr>
        <w:t>kynde</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300"/>
      </w:r>
    </w:p>
    <w:p w14:paraId="56ECB8FE" w14:textId="77777777" w:rsidR="00162224" w:rsidRPr="003037D2" w:rsidRDefault="00162224" w:rsidP="00162224">
      <w:pPr>
        <w:spacing w:line="360" w:lineRule="auto"/>
        <w:ind w:left="2880"/>
        <w:rPr>
          <w:rFonts w:ascii="Garamond" w:eastAsia="Calibri" w:hAnsi="Garamond" w:cs="Times New Roman"/>
        </w:rPr>
      </w:pPr>
    </w:p>
    <w:p w14:paraId="3A52A1E8" w14:textId="77777777" w:rsidR="00F27EB0"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Different rhythms complement different minds, drawing on a curative model of music as moderating </w:t>
      </w:r>
      <w:proofErr w:type="spellStart"/>
      <w:r w:rsidRPr="003037D2">
        <w:rPr>
          <w:rFonts w:ascii="Garamond" w:eastAsia="Calibri" w:hAnsi="Garamond" w:cs="Times New Roman"/>
        </w:rPr>
        <w:t>humours</w:t>
      </w:r>
      <w:proofErr w:type="spellEnd"/>
      <w:r w:rsidRPr="003037D2">
        <w:rPr>
          <w:rFonts w:ascii="Garamond" w:eastAsia="Calibri" w:hAnsi="Garamond" w:cs="Times New Roman"/>
        </w:rPr>
        <w:t xml:space="preserve"> that was common in the sixteenth and seventeenth centuries.</w:t>
      </w:r>
      <w:r w:rsidRPr="003037D2">
        <w:rPr>
          <w:rFonts w:ascii="Garamond" w:eastAsia="Calibri" w:hAnsi="Garamond" w:cs="Times New Roman"/>
          <w:vertAlign w:val="superscript"/>
        </w:rPr>
        <w:footnoteReference w:id="301"/>
      </w:r>
      <w:r w:rsidRPr="003037D2">
        <w:rPr>
          <w:rFonts w:ascii="Garamond" w:eastAsia="Calibri" w:hAnsi="Garamond" w:cs="Times New Roman"/>
        </w:rPr>
        <w:t xml:space="preserve"> Parker argues that it is the aural transmission of the psalms, and the Bible more generally, which gives them power. He argues that their simple language and the music which accompanies them makes them effective for teaching all men, even those who are ‘children either by age or children by manners’. The ‘</w:t>
      </w:r>
      <w:proofErr w:type="spellStart"/>
      <w:r w:rsidRPr="003037D2">
        <w:rPr>
          <w:rFonts w:ascii="Garamond" w:eastAsia="Calibri" w:hAnsi="Garamond" w:cs="Times New Roman"/>
        </w:rPr>
        <w:t>sweete</w:t>
      </w:r>
      <w:proofErr w:type="spellEnd"/>
      <w:r w:rsidRPr="003037D2">
        <w:rPr>
          <w:rFonts w:ascii="Garamond" w:eastAsia="Calibri" w:hAnsi="Garamond" w:cs="Times New Roman"/>
        </w:rPr>
        <w:t xml:space="preserve"> and harmonious </w:t>
      </w:r>
      <w:proofErr w:type="spellStart"/>
      <w:r w:rsidRPr="003037D2">
        <w:rPr>
          <w:rFonts w:ascii="Garamond" w:eastAsia="Calibri" w:hAnsi="Garamond" w:cs="Times New Roman"/>
        </w:rPr>
        <w:t>songes</w:t>
      </w:r>
      <w:proofErr w:type="spellEnd"/>
      <w:r w:rsidRPr="003037D2">
        <w:rPr>
          <w:rFonts w:ascii="Garamond" w:eastAsia="Calibri" w:hAnsi="Garamond" w:cs="Times New Roman"/>
        </w:rPr>
        <w:t xml:space="preserve">’ are used by minsters in the same way that ‘expert </w:t>
      </w:r>
      <w:proofErr w:type="spellStart"/>
      <w:r w:rsidRPr="003037D2">
        <w:rPr>
          <w:rFonts w:ascii="Garamond" w:eastAsia="Calibri" w:hAnsi="Garamond" w:cs="Times New Roman"/>
        </w:rPr>
        <w:t>Phisitions</w:t>
      </w:r>
      <w:proofErr w:type="spellEnd"/>
      <w:r w:rsidRPr="003037D2">
        <w:rPr>
          <w:rFonts w:ascii="Garamond" w:eastAsia="Calibri" w:hAnsi="Garamond" w:cs="Times New Roman"/>
        </w:rPr>
        <w:t xml:space="preserve">… when they minister their bitter potions to </w:t>
      </w:r>
      <w:proofErr w:type="spellStart"/>
      <w:r w:rsidRPr="003037D2">
        <w:rPr>
          <w:rFonts w:ascii="Garamond" w:eastAsia="Calibri" w:hAnsi="Garamond" w:cs="Times New Roman"/>
        </w:rPr>
        <w:t>sicke</w:t>
      </w:r>
      <w:proofErr w:type="spellEnd"/>
      <w:r w:rsidRPr="003037D2">
        <w:rPr>
          <w:rFonts w:ascii="Garamond" w:eastAsia="Calibri" w:hAnsi="Garamond" w:cs="Times New Roman"/>
        </w:rPr>
        <w:t xml:space="preserve"> children... </w:t>
      </w:r>
      <w:proofErr w:type="spellStart"/>
      <w:r w:rsidRPr="003037D2">
        <w:rPr>
          <w:rFonts w:ascii="Garamond" w:eastAsia="Calibri" w:hAnsi="Garamond" w:cs="Times New Roman"/>
        </w:rPr>
        <w:t>annointe</w:t>
      </w:r>
      <w:proofErr w:type="spellEnd"/>
      <w:r w:rsidRPr="003037D2">
        <w:rPr>
          <w:rFonts w:ascii="Garamond" w:eastAsia="Calibri" w:hAnsi="Garamond" w:cs="Times New Roman"/>
        </w:rPr>
        <w:t xml:space="preserve"> the </w:t>
      </w:r>
      <w:proofErr w:type="spellStart"/>
      <w:r w:rsidRPr="003037D2">
        <w:rPr>
          <w:rFonts w:ascii="Garamond" w:eastAsia="Calibri" w:hAnsi="Garamond" w:cs="Times New Roman"/>
        </w:rPr>
        <w:t>brinkes</w:t>
      </w:r>
      <w:proofErr w:type="spellEnd"/>
      <w:r w:rsidRPr="003037D2">
        <w:rPr>
          <w:rFonts w:ascii="Garamond" w:eastAsia="Calibri" w:hAnsi="Garamond" w:cs="Times New Roman"/>
        </w:rPr>
        <w:t xml:space="preserve"> of the </w:t>
      </w:r>
      <w:proofErr w:type="spellStart"/>
      <w:r w:rsidRPr="003037D2">
        <w:rPr>
          <w:rFonts w:ascii="Garamond" w:eastAsia="Calibri" w:hAnsi="Garamond" w:cs="Times New Roman"/>
        </w:rPr>
        <w:t>cuppes</w:t>
      </w:r>
      <w:proofErr w:type="spellEnd"/>
      <w:r w:rsidRPr="003037D2">
        <w:rPr>
          <w:rFonts w:ascii="Garamond" w:eastAsia="Calibri" w:hAnsi="Garamond" w:cs="Times New Roman"/>
        </w:rPr>
        <w:t xml:space="preserve"> with </w:t>
      </w:r>
      <w:proofErr w:type="spellStart"/>
      <w:r w:rsidRPr="003037D2">
        <w:rPr>
          <w:rFonts w:ascii="Garamond" w:eastAsia="Calibri" w:hAnsi="Garamond" w:cs="Times New Roman"/>
        </w:rPr>
        <w:t>hony</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302"/>
      </w:r>
      <w:r w:rsidRPr="003037D2">
        <w:rPr>
          <w:rFonts w:ascii="Garamond" w:eastAsia="Calibri" w:hAnsi="Garamond" w:cs="Times New Roman"/>
        </w:rPr>
        <w:t xml:space="preserve"> Music makes the message of the Psalms more palatable. This was a common </w:t>
      </w:r>
      <w:proofErr w:type="spellStart"/>
      <w:r w:rsidRPr="003037D2">
        <w:rPr>
          <w:rFonts w:ascii="Garamond" w:eastAsia="Calibri" w:hAnsi="Garamond" w:cs="Times New Roman"/>
        </w:rPr>
        <w:t>defence</w:t>
      </w:r>
      <w:proofErr w:type="spellEnd"/>
      <w:r w:rsidRPr="003037D2">
        <w:rPr>
          <w:rFonts w:ascii="Garamond" w:eastAsia="Calibri" w:hAnsi="Garamond" w:cs="Times New Roman"/>
        </w:rPr>
        <w:t xml:space="preserve"> in writings on the Psalms at the time and church music in general. Humphrey Sydenham attacked the ‘anti-</w:t>
      </w:r>
      <w:proofErr w:type="spellStart"/>
      <w:r w:rsidRPr="003037D2">
        <w:rPr>
          <w:rFonts w:ascii="Garamond" w:eastAsia="Calibri" w:hAnsi="Garamond" w:cs="Times New Roman"/>
        </w:rPr>
        <w:t>harmonicall</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snarlers’</w:t>
      </w:r>
      <w:proofErr w:type="spellEnd"/>
      <w:r w:rsidRPr="003037D2">
        <w:rPr>
          <w:rFonts w:ascii="Garamond" w:eastAsia="Calibri" w:hAnsi="Garamond" w:cs="Times New Roman"/>
        </w:rPr>
        <w:t xml:space="preserve"> who denigrated church music</w:t>
      </w:r>
      <w:r w:rsidR="00F27EB0" w:rsidRPr="003037D2">
        <w:rPr>
          <w:rFonts w:ascii="Garamond" w:eastAsia="Calibri" w:hAnsi="Garamond" w:cs="Times New Roman"/>
        </w:rPr>
        <w:t>:</w:t>
      </w:r>
    </w:p>
    <w:p w14:paraId="330DE814" w14:textId="27327B88" w:rsidR="00F27EB0" w:rsidRPr="003037D2" w:rsidRDefault="00162224" w:rsidP="00F27EB0">
      <w:pPr>
        <w:ind w:left="737" w:right="737"/>
        <w:rPr>
          <w:rFonts w:ascii="Garamond" w:eastAsia="Calibri" w:hAnsi="Garamond" w:cs="Times New Roman"/>
        </w:rPr>
      </w:pPr>
      <w:r w:rsidRPr="003037D2">
        <w:rPr>
          <w:rFonts w:ascii="Garamond" w:eastAsia="Calibri" w:hAnsi="Garamond" w:cs="Times New Roman"/>
        </w:rPr>
        <w:t xml:space="preserve">if they would but wipe off a little those scales which hung upon their eyes, they could not but see the admirable </w:t>
      </w:r>
      <w:proofErr w:type="spellStart"/>
      <w:r w:rsidRPr="003037D2">
        <w:rPr>
          <w:rFonts w:ascii="Garamond" w:eastAsia="Calibri" w:hAnsi="Garamond" w:cs="Times New Roman"/>
        </w:rPr>
        <w:t>vertues</w:t>
      </w:r>
      <w:proofErr w:type="spellEnd"/>
      <w:r w:rsidRPr="003037D2">
        <w:rPr>
          <w:rFonts w:ascii="Garamond" w:eastAsia="Calibri" w:hAnsi="Garamond" w:cs="Times New Roman"/>
        </w:rPr>
        <w:t xml:space="preserve"> and effects which melody hath wrought even in that of man which is most sacred… the Soule is not </w:t>
      </w:r>
      <w:proofErr w:type="spellStart"/>
      <w:r w:rsidRPr="003037D2">
        <w:rPr>
          <w:rFonts w:ascii="Garamond" w:eastAsia="Calibri" w:hAnsi="Garamond" w:cs="Times New Roman"/>
        </w:rPr>
        <w:t>onely</w:t>
      </w:r>
      <w:proofErr w:type="spellEnd"/>
      <w:r w:rsidRPr="003037D2">
        <w:rPr>
          <w:rFonts w:ascii="Garamond" w:eastAsia="Calibri" w:hAnsi="Garamond" w:cs="Times New Roman"/>
        </w:rPr>
        <w:t xml:space="preserve"> naturally </w:t>
      </w:r>
      <w:proofErr w:type="spellStart"/>
      <w:r w:rsidRPr="003037D2">
        <w:rPr>
          <w:rFonts w:ascii="Garamond" w:eastAsia="Calibri" w:hAnsi="Garamond" w:cs="Times New Roman"/>
        </w:rPr>
        <w:t>harmonicall</w:t>
      </w:r>
      <w:proofErr w:type="spellEnd"/>
      <w:r w:rsidRPr="003037D2">
        <w:rPr>
          <w:rFonts w:ascii="Garamond" w:eastAsia="Calibri" w:hAnsi="Garamond" w:cs="Times New Roman"/>
        </w:rPr>
        <w:t xml:space="preserve">, but Harmony it </w:t>
      </w:r>
      <w:proofErr w:type="spellStart"/>
      <w:r w:rsidRPr="003037D2">
        <w:rPr>
          <w:rFonts w:ascii="Garamond" w:eastAsia="Calibri" w:hAnsi="Garamond" w:cs="Times New Roman"/>
        </w:rPr>
        <w:t>selfe</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303"/>
      </w:r>
      <w:r w:rsidRPr="003037D2">
        <w:rPr>
          <w:rFonts w:ascii="Garamond" w:eastAsia="Calibri" w:hAnsi="Garamond" w:cs="Times New Roman"/>
        </w:rPr>
        <w:t xml:space="preserve"> </w:t>
      </w:r>
    </w:p>
    <w:p w14:paraId="56B9E96C" w14:textId="77777777" w:rsidR="00F27EB0" w:rsidRPr="003037D2" w:rsidRDefault="00F27EB0" w:rsidP="00F27EB0">
      <w:pPr>
        <w:ind w:left="737" w:right="737"/>
        <w:rPr>
          <w:rFonts w:ascii="Garamond" w:eastAsia="Calibri" w:hAnsi="Garamond" w:cs="Times New Roman"/>
        </w:rPr>
      </w:pPr>
    </w:p>
    <w:p w14:paraId="5281BB98" w14:textId="49072B1E"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Man’s mind was thought to be ‘musically’ ordered, making music a great </w:t>
      </w:r>
      <w:r w:rsidRPr="003037D2">
        <w:rPr>
          <w:rFonts w:ascii="Garamond" w:eastAsia="Calibri" w:hAnsi="Garamond" w:cs="Times New Roman"/>
          <w:i/>
        </w:rPr>
        <w:t xml:space="preserve">aide memoire. </w:t>
      </w:r>
      <w:r w:rsidRPr="003037D2">
        <w:rPr>
          <w:rFonts w:ascii="Garamond" w:eastAsia="Calibri" w:hAnsi="Garamond" w:cs="Times New Roman"/>
        </w:rPr>
        <w:t xml:space="preserve">As Parker states, ‘the vulgare people, or of rude and </w:t>
      </w:r>
      <w:proofErr w:type="spellStart"/>
      <w:r w:rsidRPr="003037D2">
        <w:rPr>
          <w:rFonts w:ascii="Garamond" w:eastAsia="Calibri" w:hAnsi="Garamond" w:cs="Times New Roman"/>
        </w:rPr>
        <w:t>grosse</w:t>
      </w:r>
      <w:proofErr w:type="spellEnd"/>
      <w:r w:rsidRPr="003037D2">
        <w:rPr>
          <w:rFonts w:ascii="Garamond" w:eastAsia="Calibri" w:hAnsi="Garamond" w:cs="Times New Roman"/>
        </w:rPr>
        <w:t xml:space="preserve"> nature, </w:t>
      </w:r>
      <w:proofErr w:type="spellStart"/>
      <w:r w:rsidRPr="003037D2">
        <w:rPr>
          <w:rFonts w:ascii="Garamond" w:eastAsia="Calibri" w:hAnsi="Garamond" w:cs="Times New Roman"/>
        </w:rPr>
        <w:t>can not</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redely</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beare</w:t>
      </w:r>
      <w:proofErr w:type="spellEnd"/>
      <w:r w:rsidRPr="003037D2">
        <w:rPr>
          <w:rFonts w:ascii="Garamond" w:eastAsia="Calibri" w:hAnsi="Garamond" w:cs="Times New Roman"/>
        </w:rPr>
        <w:t xml:space="preserve"> away and </w:t>
      </w:r>
      <w:proofErr w:type="spellStart"/>
      <w:r w:rsidRPr="003037D2">
        <w:rPr>
          <w:rFonts w:ascii="Garamond" w:eastAsia="Calibri" w:hAnsi="Garamond" w:cs="Times New Roman"/>
        </w:rPr>
        <w:t>kepe</w:t>
      </w:r>
      <w:proofErr w:type="spellEnd"/>
      <w:r w:rsidRPr="003037D2">
        <w:rPr>
          <w:rFonts w:ascii="Garamond" w:eastAsia="Calibri" w:hAnsi="Garamond" w:cs="Times New Roman"/>
        </w:rPr>
        <w:t xml:space="preserve"> in </w:t>
      </w:r>
      <w:proofErr w:type="spellStart"/>
      <w:r w:rsidRPr="003037D2">
        <w:rPr>
          <w:rFonts w:ascii="Garamond" w:eastAsia="Calibri" w:hAnsi="Garamond" w:cs="Times New Roman"/>
        </w:rPr>
        <w:t>mynde</w:t>
      </w:r>
      <w:proofErr w:type="spellEnd"/>
      <w:r w:rsidRPr="003037D2">
        <w:rPr>
          <w:rFonts w:ascii="Garamond" w:eastAsia="Calibri" w:hAnsi="Garamond" w:cs="Times New Roman"/>
        </w:rPr>
        <w:t xml:space="preserve"> the grave precepts of the Apostles or Prophets, where yet the </w:t>
      </w:r>
      <w:proofErr w:type="spellStart"/>
      <w:r w:rsidRPr="003037D2">
        <w:rPr>
          <w:rFonts w:ascii="Garamond" w:eastAsia="Calibri" w:hAnsi="Garamond" w:cs="Times New Roman"/>
        </w:rPr>
        <w:t>devine</w:t>
      </w:r>
      <w:proofErr w:type="spellEnd"/>
      <w:r w:rsidRPr="003037D2">
        <w:rPr>
          <w:rFonts w:ascii="Garamond" w:eastAsia="Calibri" w:hAnsi="Garamond" w:cs="Times New Roman"/>
        </w:rPr>
        <w:t xml:space="preserve"> psalms they </w:t>
      </w:r>
      <w:proofErr w:type="spellStart"/>
      <w:r w:rsidRPr="003037D2">
        <w:rPr>
          <w:rFonts w:ascii="Garamond" w:eastAsia="Calibri" w:hAnsi="Garamond" w:cs="Times New Roman"/>
        </w:rPr>
        <w:t>synge</w:t>
      </w:r>
      <w:proofErr w:type="spellEnd"/>
      <w:r w:rsidRPr="003037D2">
        <w:rPr>
          <w:rFonts w:ascii="Garamond" w:eastAsia="Calibri" w:hAnsi="Garamond" w:cs="Times New Roman"/>
        </w:rPr>
        <w:t xml:space="preserve"> at home… and </w:t>
      </w:r>
      <w:proofErr w:type="spellStart"/>
      <w:r w:rsidRPr="003037D2">
        <w:rPr>
          <w:rFonts w:ascii="Garamond" w:eastAsia="Calibri" w:hAnsi="Garamond" w:cs="Times New Roman"/>
        </w:rPr>
        <w:t>abrode</w:t>
      </w:r>
      <w:proofErr w:type="spellEnd"/>
      <w:r w:rsidRPr="003037D2">
        <w:rPr>
          <w:rFonts w:ascii="Garamond" w:eastAsia="Calibri" w:hAnsi="Garamond" w:cs="Times New Roman"/>
        </w:rPr>
        <w:t xml:space="preserve"> they can </w:t>
      </w:r>
      <w:proofErr w:type="spellStart"/>
      <w:r w:rsidRPr="003037D2">
        <w:rPr>
          <w:rFonts w:ascii="Garamond" w:eastAsia="Calibri" w:hAnsi="Garamond" w:cs="Times New Roman"/>
        </w:rPr>
        <w:t>recorde</w:t>
      </w:r>
      <w:proofErr w:type="spellEnd"/>
      <w:r w:rsidRPr="003037D2">
        <w:rPr>
          <w:rFonts w:ascii="Garamond" w:eastAsia="Calibri" w:hAnsi="Garamond" w:cs="Times New Roman"/>
        </w:rPr>
        <w:t xml:space="preserve"> them’.</w:t>
      </w:r>
      <w:r w:rsidRPr="003037D2">
        <w:rPr>
          <w:rFonts w:ascii="Garamond" w:eastAsia="Calibri" w:hAnsi="Garamond" w:cs="Times New Roman"/>
          <w:vertAlign w:val="superscript"/>
        </w:rPr>
        <w:footnoteReference w:id="304"/>
      </w:r>
      <w:r w:rsidRPr="003037D2">
        <w:rPr>
          <w:rFonts w:ascii="Garamond" w:eastAsia="Calibri" w:hAnsi="Garamond" w:cs="Times New Roman"/>
        </w:rPr>
        <w:t xml:space="preserve"> Parker again focuses on the ability of sung psalms to infiltrate both domestic and public spaces, memorable due to their oral repetition. </w:t>
      </w:r>
    </w:p>
    <w:p w14:paraId="56068F75" w14:textId="77777777" w:rsidR="00162224" w:rsidRPr="003037D2" w:rsidRDefault="00162224" w:rsidP="00162224">
      <w:pPr>
        <w:spacing w:line="360" w:lineRule="auto"/>
        <w:ind w:firstLine="720"/>
        <w:rPr>
          <w:rFonts w:ascii="Garamond" w:eastAsia="Calibri" w:hAnsi="Garamond" w:cs="Times New Roman"/>
        </w:rPr>
      </w:pPr>
    </w:p>
    <w:p w14:paraId="54BA6228" w14:textId="271F471B" w:rsidR="00162224" w:rsidRPr="003037D2" w:rsidRDefault="00162224" w:rsidP="002F1250">
      <w:pPr>
        <w:spacing w:line="360" w:lineRule="auto"/>
        <w:ind w:firstLine="720"/>
        <w:rPr>
          <w:rFonts w:ascii="Garamond" w:eastAsia="Calibri" w:hAnsi="Garamond" w:cs="Times New Roman"/>
        </w:rPr>
      </w:pPr>
      <w:r w:rsidRPr="003037D2">
        <w:rPr>
          <w:rFonts w:ascii="Garamond" w:eastAsia="Calibri" w:hAnsi="Garamond" w:cs="Times New Roman"/>
        </w:rPr>
        <w:t xml:space="preserve">This emphasis on the orality of the psalms perhaps throws further light on Parker’s translation practices. As previously discussed, bringing the psalms into </w:t>
      </w:r>
      <w:r w:rsidRPr="003037D2">
        <w:rPr>
          <w:rFonts w:ascii="Garamond" w:eastAsia="Calibri" w:hAnsi="Garamond" w:cs="Times New Roman"/>
        </w:rPr>
        <w:lastRenderedPageBreak/>
        <w:t xml:space="preserve">everyday use </w:t>
      </w:r>
      <w:proofErr w:type="gramStart"/>
      <w:r w:rsidRPr="003037D2">
        <w:rPr>
          <w:rFonts w:ascii="Garamond" w:eastAsia="Calibri" w:hAnsi="Garamond" w:cs="Times New Roman"/>
        </w:rPr>
        <w:t>was seen as</w:t>
      </w:r>
      <w:proofErr w:type="gramEnd"/>
      <w:r w:rsidRPr="003037D2">
        <w:rPr>
          <w:rFonts w:ascii="Garamond" w:eastAsia="Calibri" w:hAnsi="Garamond" w:cs="Times New Roman"/>
        </w:rPr>
        <w:t xml:space="preserve"> part of a process of </w:t>
      </w:r>
      <w:proofErr w:type="spellStart"/>
      <w:r w:rsidRPr="003037D2">
        <w:rPr>
          <w:rFonts w:ascii="Garamond" w:eastAsia="Calibri" w:hAnsi="Garamond" w:cs="Times New Roman"/>
        </w:rPr>
        <w:t>revitalising</w:t>
      </w:r>
      <w:proofErr w:type="spellEnd"/>
      <w:r w:rsidRPr="003037D2">
        <w:rPr>
          <w:rFonts w:ascii="Garamond" w:eastAsia="Calibri" w:hAnsi="Garamond" w:cs="Times New Roman"/>
        </w:rPr>
        <w:t xml:space="preserve"> the Bible, making it applicable to the contemporary moment. Cicero, an influential model for early modern translators, described his process as such, ‘[I] did not translate… as an interpreter but as an orator, k</w:t>
      </w:r>
      <w:r w:rsidR="002F1250">
        <w:rPr>
          <w:rFonts w:ascii="Garamond" w:eastAsia="Calibri" w:hAnsi="Garamond" w:cs="Times New Roman"/>
        </w:rPr>
        <w:t>eeping the same ideas and… the “</w:t>
      </w:r>
      <w:r w:rsidRPr="003037D2">
        <w:rPr>
          <w:rFonts w:ascii="Garamond" w:eastAsia="Calibri" w:hAnsi="Garamond" w:cs="Times New Roman"/>
        </w:rPr>
        <w:t>figures</w:t>
      </w:r>
      <w:r w:rsidR="002F1250">
        <w:rPr>
          <w:rFonts w:ascii="Garamond" w:eastAsia="Calibri" w:hAnsi="Garamond" w:cs="Times New Roman"/>
        </w:rPr>
        <w:t>”</w:t>
      </w:r>
      <w:r w:rsidRPr="003037D2">
        <w:rPr>
          <w:rFonts w:ascii="Garamond" w:eastAsia="Calibri" w:hAnsi="Garamond" w:cs="Times New Roman"/>
        </w:rPr>
        <w:t xml:space="preserve"> of thought… I did not hold it necessary to render word for word, but I preserved the general style and force of the language’.</w:t>
      </w:r>
      <w:r w:rsidRPr="003037D2">
        <w:rPr>
          <w:rFonts w:ascii="Garamond" w:eastAsia="Calibri" w:hAnsi="Garamond" w:cs="Times New Roman"/>
          <w:vertAlign w:val="superscript"/>
        </w:rPr>
        <w:footnoteReference w:id="305"/>
      </w:r>
      <w:r w:rsidRPr="003037D2">
        <w:rPr>
          <w:rFonts w:ascii="Garamond" w:eastAsia="Calibri" w:hAnsi="Garamond" w:cs="Times New Roman"/>
        </w:rPr>
        <w:t xml:space="preserve">  Parker gave directions to th</w:t>
      </w:r>
      <w:r w:rsidR="002F1250">
        <w:rPr>
          <w:rFonts w:ascii="Garamond" w:eastAsia="Calibri" w:hAnsi="Garamond" w:cs="Times New Roman"/>
        </w:rPr>
        <w:t xml:space="preserve">e translators of </w:t>
      </w:r>
      <w:r w:rsidR="002F1250" w:rsidRPr="002F1250">
        <w:rPr>
          <w:rFonts w:ascii="Garamond" w:eastAsia="Calibri" w:hAnsi="Garamond" w:cs="Times New Roman"/>
          <w:i/>
          <w:iCs/>
        </w:rPr>
        <w:t>T</w:t>
      </w:r>
      <w:r w:rsidRPr="002F1250">
        <w:rPr>
          <w:rFonts w:ascii="Garamond" w:eastAsia="Calibri" w:hAnsi="Garamond" w:cs="Times New Roman"/>
          <w:i/>
          <w:iCs/>
        </w:rPr>
        <w:t>he Bishops’ Bible</w:t>
      </w:r>
      <w:r w:rsidRPr="003037D2">
        <w:rPr>
          <w:rFonts w:ascii="Garamond" w:eastAsia="Calibri" w:hAnsi="Garamond" w:cs="Times New Roman"/>
        </w:rPr>
        <w:t xml:space="preserve"> ‘to note such chapters and places as contain matter of genealogies, or other such places not edifying, with some strike or note, that the reader may </w:t>
      </w:r>
      <w:r w:rsidRPr="003037D2">
        <w:rPr>
          <w:rFonts w:ascii="Garamond" w:eastAsia="Calibri" w:hAnsi="Garamond" w:cs="Times New Roman"/>
          <w:i/>
        </w:rPr>
        <w:t>eschew them in his public reading</w:t>
      </w:r>
      <w:r w:rsidRPr="003037D2">
        <w:rPr>
          <w:rFonts w:ascii="Garamond" w:eastAsia="Calibri" w:hAnsi="Garamond" w:cs="Times New Roman"/>
        </w:rPr>
        <w:t>’.</w:t>
      </w:r>
      <w:r w:rsidRPr="003037D2">
        <w:rPr>
          <w:rFonts w:ascii="Garamond" w:eastAsia="Calibri" w:hAnsi="Garamond" w:cs="Times New Roman"/>
          <w:vertAlign w:val="superscript"/>
        </w:rPr>
        <w:footnoteReference w:id="306"/>
      </w:r>
      <w:r w:rsidRPr="003037D2">
        <w:rPr>
          <w:rFonts w:ascii="Garamond" w:eastAsia="Calibri" w:hAnsi="Garamond" w:cs="Times New Roman"/>
        </w:rPr>
        <w:t xml:space="preserve"> The text is being produced primarily for oral transmission, a tool to be used by a preacher. Indeed, David Norton has argued that Parker saw the translation and explication of the text as the task of a preaching minister, rather than performed solely by the printed text.</w:t>
      </w:r>
      <w:r w:rsidRPr="003037D2">
        <w:rPr>
          <w:rFonts w:ascii="Garamond" w:eastAsia="Calibri" w:hAnsi="Garamond" w:cs="Times New Roman"/>
          <w:vertAlign w:val="superscript"/>
        </w:rPr>
        <w:footnoteReference w:id="307"/>
      </w:r>
      <w:r w:rsidRPr="003037D2">
        <w:rPr>
          <w:rFonts w:ascii="Garamond" w:eastAsia="Calibri" w:hAnsi="Garamond" w:cs="Times New Roman"/>
        </w:rPr>
        <w:t xml:space="preserve"> Throughout his career, Parker </w:t>
      </w:r>
      <w:proofErr w:type="spellStart"/>
      <w:r w:rsidRPr="003037D2">
        <w:rPr>
          <w:rFonts w:ascii="Garamond" w:eastAsia="Calibri" w:hAnsi="Garamond" w:cs="Times New Roman"/>
        </w:rPr>
        <w:t>emphasised</w:t>
      </w:r>
      <w:proofErr w:type="spellEnd"/>
      <w:r w:rsidRPr="003037D2">
        <w:rPr>
          <w:rFonts w:ascii="Garamond" w:eastAsia="Calibri" w:hAnsi="Garamond" w:cs="Times New Roman"/>
        </w:rPr>
        <w:t xml:space="preserve"> the importance of preaching. Following his election as Master of Corpus Christi, Cambridge in December 1544 he reformed the college statutes to encourage students to preach, reducing the emphasis on other priestly duties. In the same year, he began his own illustrious preaching career, on a preaching campaign to attack activities he saw as superstitious. As the Master of the Suffolk college Stoke-by-Claire, he </w:t>
      </w:r>
      <w:proofErr w:type="spellStart"/>
      <w:r w:rsidRPr="003037D2">
        <w:rPr>
          <w:rFonts w:ascii="Garamond" w:eastAsia="Calibri" w:hAnsi="Garamond" w:cs="Times New Roman"/>
        </w:rPr>
        <w:t>revitalised</w:t>
      </w:r>
      <w:proofErr w:type="spellEnd"/>
      <w:r w:rsidRPr="003037D2">
        <w:rPr>
          <w:rFonts w:ascii="Garamond" w:eastAsia="Calibri" w:hAnsi="Garamond" w:cs="Times New Roman"/>
        </w:rPr>
        <w:t xml:space="preserve"> preaching in the institution, installing a biblical lecturer who gave sermons four times a week in both English and Latin.</w:t>
      </w:r>
      <w:r w:rsidRPr="003037D2">
        <w:rPr>
          <w:rFonts w:ascii="Garamond" w:eastAsia="Calibri" w:hAnsi="Garamond" w:cs="Times New Roman"/>
          <w:vertAlign w:val="superscript"/>
        </w:rPr>
        <w:footnoteReference w:id="308"/>
      </w:r>
      <w:r w:rsidRPr="003037D2">
        <w:rPr>
          <w:rFonts w:ascii="Garamond" w:eastAsia="Calibri" w:hAnsi="Garamond" w:cs="Times New Roman"/>
        </w:rPr>
        <w:t xml:space="preserve"> </w:t>
      </w:r>
    </w:p>
    <w:p w14:paraId="0D546C87" w14:textId="77777777" w:rsidR="00162224" w:rsidRPr="003037D2" w:rsidRDefault="00162224" w:rsidP="00162224">
      <w:pPr>
        <w:spacing w:line="360" w:lineRule="auto"/>
        <w:ind w:firstLine="720"/>
        <w:rPr>
          <w:rFonts w:ascii="Garamond" w:eastAsia="Calibri" w:hAnsi="Garamond" w:cs="Times New Roman"/>
        </w:rPr>
      </w:pPr>
    </w:p>
    <w:p w14:paraId="7AD44245" w14:textId="314E791D" w:rsidR="00162224" w:rsidRPr="003037D2" w:rsidRDefault="00162224" w:rsidP="00667CD5">
      <w:pPr>
        <w:spacing w:line="360" w:lineRule="auto"/>
        <w:rPr>
          <w:rFonts w:ascii="Garamond" w:eastAsia="Calibri" w:hAnsi="Garamond" w:cs="Times New Roman"/>
        </w:rPr>
      </w:pPr>
      <w:r w:rsidRPr="003037D2">
        <w:rPr>
          <w:rFonts w:ascii="Garamond" w:eastAsia="Calibri" w:hAnsi="Garamond" w:cs="Times New Roman"/>
        </w:rPr>
        <w:tab/>
        <w:t xml:space="preserve">In a letter to Queen Elizabeth, Parker asked her for his Bible to ‘be </w:t>
      </w:r>
      <w:proofErr w:type="spellStart"/>
      <w:r w:rsidRPr="003037D2">
        <w:rPr>
          <w:rFonts w:ascii="Garamond" w:eastAsia="Calibri" w:hAnsi="Garamond" w:cs="Times New Roman"/>
        </w:rPr>
        <w:t>licenced</w:t>
      </w:r>
      <w:proofErr w:type="spellEnd"/>
      <w:r w:rsidRPr="003037D2">
        <w:rPr>
          <w:rFonts w:ascii="Garamond" w:eastAsia="Calibri" w:hAnsi="Garamond" w:cs="Times New Roman"/>
        </w:rPr>
        <w:t xml:space="preserve"> and only commended in public reading in Churches, to draw to one uniformity’. Parker was a pragmatist, allowing that ‘the Psalters might remain in quires, as they be much multiplied, but where of their own accord they would use this translation’.</w:t>
      </w:r>
      <w:r w:rsidRPr="003037D2">
        <w:rPr>
          <w:rFonts w:ascii="Garamond" w:eastAsia="Calibri" w:hAnsi="Garamond" w:cs="Times New Roman"/>
          <w:vertAlign w:val="superscript"/>
        </w:rPr>
        <w:footnoteReference w:id="309"/>
      </w:r>
      <w:r w:rsidRPr="003037D2">
        <w:rPr>
          <w:rFonts w:ascii="Garamond" w:eastAsia="Calibri" w:hAnsi="Garamond" w:cs="Times New Roman"/>
        </w:rPr>
        <w:t xml:space="preserve"> His vision is for one familiar text to be used all over England, dispelling factional debates over the best Bible to use. Parker sought to silence disputes, </w:t>
      </w:r>
      <w:r w:rsidR="002F1250">
        <w:rPr>
          <w:rFonts w:ascii="Garamond" w:eastAsia="Calibri" w:hAnsi="Garamond" w:cs="Times New Roman"/>
        </w:rPr>
        <w:t xml:space="preserve">instructing the translators of </w:t>
      </w:r>
      <w:r w:rsidR="002F1250" w:rsidRPr="002F1250">
        <w:rPr>
          <w:rFonts w:ascii="Garamond" w:eastAsia="Calibri" w:hAnsi="Garamond" w:cs="Times New Roman"/>
          <w:i/>
          <w:iCs/>
        </w:rPr>
        <w:t>T</w:t>
      </w:r>
      <w:r w:rsidRPr="002F1250">
        <w:rPr>
          <w:rFonts w:ascii="Garamond" w:eastAsia="Calibri" w:hAnsi="Garamond" w:cs="Times New Roman"/>
          <w:i/>
          <w:iCs/>
        </w:rPr>
        <w:t>he Bishop</w:t>
      </w:r>
      <w:r w:rsidR="00667CD5" w:rsidRPr="002F1250">
        <w:rPr>
          <w:rFonts w:ascii="Garamond" w:eastAsia="Calibri" w:hAnsi="Garamond" w:cs="Times New Roman"/>
          <w:i/>
          <w:iCs/>
        </w:rPr>
        <w:t>s</w:t>
      </w:r>
      <w:r w:rsidRPr="002F1250">
        <w:rPr>
          <w:rFonts w:ascii="Garamond" w:eastAsia="Calibri" w:hAnsi="Garamond" w:cs="Times New Roman"/>
          <w:i/>
          <w:iCs/>
        </w:rPr>
        <w:t>’ Bible</w:t>
      </w:r>
      <w:r w:rsidRPr="003037D2">
        <w:rPr>
          <w:rFonts w:ascii="Garamond" w:eastAsia="Calibri" w:hAnsi="Garamond" w:cs="Times New Roman"/>
        </w:rPr>
        <w:t xml:space="preserve"> to ‘make no bitter notes upon any text, or yet to set down any determination in places of controversy’.</w:t>
      </w:r>
      <w:r w:rsidRPr="003037D2">
        <w:rPr>
          <w:rFonts w:ascii="Garamond" w:eastAsia="Calibri" w:hAnsi="Garamond" w:cs="Times New Roman"/>
          <w:vertAlign w:val="superscript"/>
        </w:rPr>
        <w:footnoteReference w:id="310"/>
      </w:r>
      <w:r w:rsidRPr="003037D2">
        <w:rPr>
          <w:rFonts w:ascii="Garamond" w:eastAsia="Calibri" w:hAnsi="Garamond" w:cs="Times New Roman"/>
        </w:rPr>
        <w:t xml:space="preserve"> He had an intense dislike of religious discord. After a trip to London, he wrote to Sir Nicholas Bacon in disgust and wonderment at the scenes of schismatic </w:t>
      </w:r>
      <w:proofErr w:type="spellStart"/>
      <w:r w:rsidRPr="003037D2">
        <w:rPr>
          <w:rFonts w:ascii="Garamond" w:eastAsia="Calibri" w:hAnsi="Garamond" w:cs="Times New Roman"/>
        </w:rPr>
        <w:t>sermonising</w:t>
      </w:r>
      <w:proofErr w:type="spellEnd"/>
      <w:r w:rsidRPr="003037D2">
        <w:rPr>
          <w:rFonts w:ascii="Garamond" w:eastAsia="Calibri" w:hAnsi="Garamond" w:cs="Times New Roman"/>
        </w:rPr>
        <w:t xml:space="preserve"> he saw in the streets, saying, ‘I never dreamed that </w:t>
      </w:r>
      <w:r w:rsidRPr="003037D2">
        <w:rPr>
          <w:rFonts w:ascii="Garamond" w:eastAsia="Calibri" w:hAnsi="Garamond" w:cs="Times New Roman"/>
        </w:rPr>
        <w:lastRenderedPageBreak/>
        <w:t>ministers should be compelled to impugn ministers’.</w:t>
      </w:r>
      <w:r w:rsidRPr="003037D2">
        <w:rPr>
          <w:rFonts w:ascii="Garamond" w:eastAsia="Calibri" w:hAnsi="Garamond" w:cs="Times New Roman"/>
          <w:vertAlign w:val="superscript"/>
        </w:rPr>
        <w:footnoteReference w:id="311"/>
      </w:r>
      <w:r w:rsidRPr="003037D2">
        <w:rPr>
          <w:rFonts w:ascii="Garamond" w:eastAsia="Calibri" w:hAnsi="Garamond" w:cs="Times New Roman"/>
        </w:rPr>
        <w:t xml:space="preserve"> In his letter to the Queen, Parker contrasts his B</w:t>
      </w:r>
      <w:r w:rsidR="002F1250">
        <w:rPr>
          <w:rFonts w:ascii="Garamond" w:eastAsia="Calibri" w:hAnsi="Garamond" w:cs="Times New Roman"/>
        </w:rPr>
        <w:t xml:space="preserve">ible with a veiled allusion to </w:t>
      </w:r>
      <w:r w:rsidR="002F1250" w:rsidRPr="002F1250">
        <w:rPr>
          <w:rFonts w:ascii="Garamond" w:eastAsia="Calibri" w:hAnsi="Garamond" w:cs="Times New Roman"/>
          <w:i/>
          <w:iCs/>
        </w:rPr>
        <w:t>T</w:t>
      </w:r>
      <w:r w:rsidRPr="002F1250">
        <w:rPr>
          <w:rFonts w:ascii="Garamond" w:eastAsia="Calibri" w:hAnsi="Garamond" w:cs="Times New Roman"/>
          <w:i/>
          <w:iCs/>
        </w:rPr>
        <w:t>he Geneva Bible</w:t>
      </w:r>
      <w:r w:rsidRPr="003037D2">
        <w:rPr>
          <w:rFonts w:ascii="Garamond" w:eastAsia="Calibri" w:hAnsi="Garamond" w:cs="Times New Roman"/>
        </w:rPr>
        <w:t xml:space="preserve">. He comments, ‘in certain places be </w:t>
      </w:r>
      <w:proofErr w:type="spellStart"/>
      <w:r w:rsidRPr="003037D2">
        <w:rPr>
          <w:rFonts w:ascii="Garamond" w:eastAsia="Calibri" w:hAnsi="Garamond" w:cs="Times New Roman"/>
        </w:rPr>
        <w:t>publically</w:t>
      </w:r>
      <w:proofErr w:type="spellEnd"/>
      <w:r w:rsidRPr="003037D2">
        <w:rPr>
          <w:rFonts w:ascii="Garamond" w:eastAsia="Calibri" w:hAnsi="Garamond" w:cs="Times New Roman"/>
        </w:rPr>
        <w:t xml:space="preserve"> used some translations which have not been </w:t>
      </w:r>
      <w:proofErr w:type="spellStart"/>
      <w:r w:rsidRPr="003037D2">
        <w:rPr>
          <w:rFonts w:ascii="Garamond" w:eastAsia="Calibri" w:hAnsi="Garamond" w:cs="Times New Roman"/>
        </w:rPr>
        <w:t>laboured</w:t>
      </w:r>
      <w:proofErr w:type="spellEnd"/>
      <w:r w:rsidRPr="003037D2">
        <w:rPr>
          <w:rFonts w:ascii="Garamond" w:eastAsia="Calibri" w:hAnsi="Garamond" w:cs="Times New Roman"/>
        </w:rPr>
        <w:t xml:space="preserve"> in your realm, having </w:t>
      </w:r>
      <w:proofErr w:type="spellStart"/>
      <w:r w:rsidRPr="003037D2">
        <w:rPr>
          <w:rFonts w:ascii="Garamond" w:eastAsia="Calibri" w:hAnsi="Garamond" w:cs="Times New Roman"/>
        </w:rPr>
        <w:t>inspersed</w:t>
      </w:r>
      <w:proofErr w:type="spellEnd"/>
      <w:r w:rsidRPr="003037D2">
        <w:rPr>
          <w:rFonts w:ascii="Garamond" w:eastAsia="Calibri" w:hAnsi="Garamond" w:cs="Times New Roman"/>
        </w:rPr>
        <w:t xml:space="preserve"> </w:t>
      </w:r>
      <w:proofErr w:type="gramStart"/>
      <w:r w:rsidRPr="003037D2">
        <w:rPr>
          <w:rFonts w:ascii="Garamond" w:eastAsia="Calibri" w:hAnsi="Garamond" w:cs="Times New Roman"/>
        </w:rPr>
        <w:t>divers</w:t>
      </w:r>
      <w:proofErr w:type="gramEnd"/>
      <w:r w:rsidRPr="003037D2">
        <w:rPr>
          <w:rFonts w:ascii="Garamond" w:eastAsia="Calibri" w:hAnsi="Garamond" w:cs="Times New Roman"/>
        </w:rPr>
        <w:t xml:space="preserve"> prejudicial notes’.</w:t>
      </w:r>
      <w:r w:rsidRPr="003037D2">
        <w:rPr>
          <w:rFonts w:ascii="Garamond" w:eastAsia="Calibri" w:hAnsi="Garamond" w:cs="Times New Roman"/>
          <w:vertAlign w:val="superscript"/>
        </w:rPr>
        <w:footnoteReference w:id="312"/>
      </w:r>
      <w:r w:rsidRPr="003037D2">
        <w:rPr>
          <w:rFonts w:ascii="Garamond" w:eastAsia="Calibri" w:hAnsi="Garamond" w:cs="Times New Roman"/>
        </w:rPr>
        <w:t xml:space="preserve"> The foreign Bible is one which highlights and stimulates debate and controversy, providing notes and cross-references that added fuel to the fire of religious discord. The psalter is specifically called upon as a response to this antagonism. Parker advises his friends, ‘to beat down these seditious sects… some may chance to say a verse of David’s Psalter… as not caring for their assurances, who abase them so low’.</w:t>
      </w:r>
      <w:r w:rsidRPr="003037D2">
        <w:rPr>
          <w:rFonts w:ascii="Garamond" w:eastAsia="Calibri" w:hAnsi="Garamond" w:cs="Times New Roman"/>
          <w:vertAlign w:val="superscript"/>
        </w:rPr>
        <w:footnoteReference w:id="313"/>
      </w:r>
      <w:r w:rsidRPr="003037D2">
        <w:rPr>
          <w:rFonts w:ascii="Garamond" w:eastAsia="Calibri" w:hAnsi="Garamond" w:cs="Times New Roman"/>
        </w:rPr>
        <w:t xml:space="preserve"> The Psalms are a space in which voices can come together in harmony, rather than compete. </w:t>
      </w:r>
      <w:proofErr w:type="spellStart"/>
      <w:r w:rsidRPr="003037D2">
        <w:rPr>
          <w:rFonts w:ascii="Garamond" w:eastAsia="Calibri" w:hAnsi="Garamond" w:cs="Times New Roman"/>
        </w:rPr>
        <w:t>Zim</w:t>
      </w:r>
      <w:proofErr w:type="spellEnd"/>
      <w:r w:rsidRPr="003037D2">
        <w:rPr>
          <w:rFonts w:ascii="Garamond" w:eastAsia="Calibri" w:hAnsi="Garamond" w:cs="Times New Roman"/>
        </w:rPr>
        <w:t xml:space="preserve"> states that Parker ‘argued that the spiritual power of his psalter to comfort readers was enhanced because he had not felt free to change old, familiar words’.</w:t>
      </w:r>
      <w:r w:rsidRPr="003037D2">
        <w:rPr>
          <w:rFonts w:ascii="Garamond" w:eastAsia="Calibri" w:hAnsi="Garamond" w:cs="Times New Roman"/>
          <w:vertAlign w:val="superscript"/>
        </w:rPr>
        <w:footnoteReference w:id="314"/>
      </w:r>
      <w:r w:rsidRPr="003037D2">
        <w:rPr>
          <w:rFonts w:ascii="Garamond" w:eastAsia="Calibri" w:hAnsi="Garamond" w:cs="Times New Roman"/>
        </w:rPr>
        <w:t xml:space="preserve"> In his introductory poem to the psalter, he declared that he recreated the psalms in ‘</w:t>
      </w:r>
      <w:proofErr w:type="spellStart"/>
      <w:r w:rsidRPr="003037D2">
        <w:rPr>
          <w:rFonts w:ascii="Garamond" w:eastAsia="Calibri" w:hAnsi="Garamond" w:cs="Times New Roman"/>
        </w:rPr>
        <w:t>wordes</w:t>
      </w:r>
      <w:proofErr w:type="spellEnd"/>
      <w:r w:rsidRPr="003037D2">
        <w:rPr>
          <w:rFonts w:ascii="Garamond" w:eastAsia="Calibri" w:hAnsi="Garamond" w:cs="Times New Roman"/>
        </w:rPr>
        <w:t xml:space="preserve"> so </w:t>
      </w:r>
      <w:proofErr w:type="spellStart"/>
      <w:r w:rsidRPr="003037D2">
        <w:rPr>
          <w:rFonts w:ascii="Garamond" w:eastAsia="Calibri" w:hAnsi="Garamond" w:cs="Times New Roman"/>
        </w:rPr>
        <w:t>ofte</w:t>
      </w:r>
      <w:proofErr w:type="spellEnd"/>
      <w:r w:rsidRPr="003037D2">
        <w:rPr>
          <w:rFonts w:ascii="Garamond" w:eastAsia="Calibri" w:hAnsi="Garamond" w:cs="Times New Roman"/>
        </w:rPr>
        <w:t xml:space="preserve"> the same’ because these ‘words be never </w:t>
      </w:r>
      <w:proofErr w:type="spellStart"/>
      <w:r w:rsidRPr="003037D2">
        <w:rPr>
          <w:rFonts w:ascii="Garamond" w:eastAsia="Calibri" w:hAnsi="Garamond" w:cs="Times New Roman"/>
        </w:rPr>
        <w:t>newe</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315"/>
      </w:r>
      <w:r w:rsidRPr="003037D2">
        <w:rPr>
          <w:rFonts w:ascii="Garamond" w:eastAsia="Calibri" w:hAnsi="Garamond" w:cs="Times New Roman"/>
        </w:rPr>
        <w:t xml:space="preserve"> This rehearsing of previously spoken words allows communities to come together, not only communally, but in communion with previous iterations, butting up against their own history. However, recent work on the Psalms has shown how they were intimately connected to religious dissent, often written by those who were persecuted and imprisoned for their views. Indeed, the psalter was as much part of a counter-cultural movement as a tool for bringing people together.</w:t>
      </w:r>
      <w:r w:rsidRPr="003037D2">
        <w:rPr>
          <w:rFonts w:ascii="Garamond" w:eastAsia="Calibri" w:hAnsi="Garamond" w:cs="Times New Roman"/>
          <w:vertAlign w:val="superscript"/>
        </w:rPr>
        <w:footnoteReference w:id="316"/>
      </w:r>
      <w:r w:rsidRPr="003037D2">
        <w:rPr>
          <w:rFonts w:ascii="Garamond" w:eastAsia="Calibri" w:hAnsi="Garamond" w:cs="Times New Roman"/>
        </w:rPr>
        <w:t xml:space="preserve"> Whilst the communal recitation of the psalms, promoted by Parker, creates a link with the historic past, lyric interpretations could present more complex temporal schemes. </w:t>
      </w:r>
    </w:p>
    <w:p w14:paraId="3BFF38FE" w14:textId="77777777" w:rsidR="00162224" w:rsidRPr="003037D2" w:rsidRDefault="00162224" w:rsidP="00162224">
      <w:pPr>
        <w:spacing w:line="360" w:lineRule="auto"/>
        <w:rPr>
          <w:rFonts w:ascii="Garamond" w:eastAsia="Calibri" w:hAnsi="Garamond" w:cs="Times New Roman"/>
        </w:rPr>
      </w:pPr>
    </w:p>
    <w:p w14:paraId="493A3FB7" w14:textId="31202A11" w:rsidR="00162224" w:rsidRDefault="00162224" w:rsidP="00162224">
      <w:pPr>
        <w:spacing w:line="360" w:lineRule="auto"/>
        <w:rPr>
          <w:rFonts w:ascii="Garamond" w:eastAsia="Calibri" w:hAnsi="Garamond" w:cs="Times New Roman"/>
          <w:sz w:val="28"/>
          <w:szCs w:val="28"/>
          <w:u w:val="single"/>
        </w:rPr>
      </w:pPr>
    </w:p>
    <w:p w14:paraId="39FAA325" w14:textId="02593A0E" w:rsidR="00667CD5" w:rsidRDefault="00667CD5" w:rsidP="00162224">
      <w:pPr>
        <w:spacing w:line="360" w:lineRule="auto"/>
        <w:rPr>
          <w:rFonts w:ascii="Garamond" w:eastAsia="Calibri" w:hAnsi="Garamond" w:cs="Times New Roman"/>
          <w:sz w:val="28"/>
          <w:szCs w:val="28"/>
          <w:u w:val="single"/>
        </w:rPr>
      </w:pPr>
    </w:p>
    <w:p w14:paraId="3414E588" w14:textId="0590927D" w:rsidR="00667CD5" w:rsidRDefault="00667CD5" w:rsidP="00162224">
      <w:pPr>
        <w:spacing w:line="360" w:lineRule="auto"/>
        <w:rPr>
          <w:rFonts w:ascii="Garamond" w:eastAsia="Calibri" w:hAnsi="Garamond" w:cs="Times New Roman"/>
          <w:sz w:val="28"/>
          <w:szCs w:val="28"/>
          <w:u w:val="single"/>
        </w:rPr>
      </w:pPr>
    </w:p>
    <w:p w14:paraId="16507D9C" w14:textId="15487578" w:rsidR="00667CD5" w:rsidRDefault="00667CD5" w:rsidP="00162224">
      <w:pPr>
        <w:spacing w:line="360" w:lineRule="auto"/>
        <w:rPr>
          <w:rFonts w:ascii="Garamond" w:eastAsia="Calibri" w:hAnsi="Garamond" w:cs="Times New Roman"/>
          <w:sz w:val="28"/>
          <w:szCs w:val="28"/>
          <w:u w:val="single"/>
        </w:rPr>
      </w:pPr>
    </w:p>
    <w:p w14:paraId="17CF4055" w14:textId="77777777" w:rsidR="00667CD5" w:rsidRPr="003037D2" w:rsidRDefault="00667CD5" w:rsidP="00162224">
      <w:pPr>
        <w:spacing w:line="360" w:lineRule="auto"/>
        <w:rPr>
          <w:rFonts w:ascii="Garamond" w:eastAsia="Calibri" w:hAnsi="Garamond" w:cs="Times New Roman"/>
          <w:sz w:val="28"/>
          <w:szCs w:val="28"/>
          <w:u w:val="single"/>
        </w:rPr>
      </w:pPr>
    </w:p>
    <w:p w14:paraId="5AAB2858" w14:textId="77777777" w:rsidR="00162224" w:rsidRPr="003037D2" w:rsidRDefault="00162224" w:rsidP="00162224">
      <w:pPr>
        <w:keepNext/>
        <w:keepLines/>
        <w:numPr>
          <w:ilvl w:val="0"/>
          <w:numId w:val="30"/>
        </w:numPr>
        <w:spacing w:before="40" w:line="360" w:lineRule="auto"/>
        <w:outlineLvl w:val="1"/>
        <w:rPr>
          <w:rFonts w:ascii="Garamond" w:eastAsia="Times New Roman" w:hAnsi="Garamond" w:cs="Times New Roman"/>
          <w:b/>
          <w:bCs/>
          <w:sz w:val="28"/>
          <w:szCs w:val="28"/>
        </w:rPr>
      </w:pPr>
      <w:bookmarkStart w:id="30" w:name="_Toc3967174"/>
      <w:r w:rsidRPr="003037D2">
        <w:rPr>
          <w:rFonts w:ascii="Garamond" w:eastAsia="Times New Roman" w:hAnsi="Garamond" w:cs="Times New Roman"/>
          <w:b/>
          <w:bCs/>
          <w:sz w:val="28"/>
          <w:szCs w:val="28"/>
        </w:rPr>
        <w:lastRenderedPageBreak/>
        <w:t>Metanoia &amp; Psalm 51</w:t>
      </w:r>
      <w:bookmarkEnd w:id="30"/>
    </w:p>
    <w:p w14:paraId="7337A224" w14:textId="77777777" w:rsidR="00162224" w:rsidRPr="003037D2" w:rsidRDefault="00162224" w:rsidP="00162224">
      <w:pPr>
        <w:spacing w:line="360" w:lineRule="auto"/>
        <w:ind w:firstLine="720"/>
        <w:rPr>
          <w:rFonts w:ascii="Garamond" w:eastAsia="Calibri" w:hAnsi="Garamond" w:cs="Times New Roman"/>
        </w:rPr>
      </w:pPr>
    </w:p>
    <w:p w14:paraId="385427AE" w14:textId="7033C3AD" w:rsidR="00162224" w:rsidRPr="003037D2" w:rsidRDefault="00162224" w:rsidP="00162224">
      <w:pPr>
        <w:spacing w:line="360" w:lineRule="auto"/>
        <w:ind w:firstLine="720"/>
        <w:rPr>
          <w:rFonts w:ascii="Garamond" w:eastAsia="Calibri" w:hAnsi="Garamond" w:cs="Times New Roman"/>
          <w:iCs/>
          <w:shd w:val="clear" w:color="auto" w:fill="FFFFFF"/>
        </w:rPr>
      </w:pPr>
      <w:r w:rsidRPr="003037D2">
        <w:rPr>
          <w:rFonts w:ascii="Garamond" w:eastAsia="Calibri" w:hAnsi="Garamond" w:cs="Times New Roman"/>
        </w:rPr>
        <w:t xml:space="preserve">In </w:t>
      </w:r>
      <w:r w:rsidRPr="003037D2">
        <w:rPr>
          <w:rFonts w:ascii="Garamond" w:eastAsia="Calibri" w:hAnsi="Garamond" w:cs="Times New Roman"/>
          <w:i/>
          <w:iCs/>
        </w:rPr>
        <w:t xml:space="preserve">The Art of English </w:t>
      </w:r>
      <w:proofErr w:type="spellStart"/>
      <w:r w:rsidRPr="003037D2">
        <w:rPr>
          <w:rFonts w:ascii="Garamond" w:eastAsia="Calibri" w:hAnsi="Garamond" w:cs="Times New Roman"/>
          <w:i/>
          <w:iCs/>
        </w:rPr>
        <w:t>Poesie</w:t>
      </w:r>
      <w:proofErr w:type="spellEnd"/>
      <w:r w:rsidR="00F27EB0" w:rsidRPr="003037D2">
        <w:rPr>
          <w:rFonts w:ascii="Garamond" w:eastAsia="Calibri" w:hAnsi="Garamond" w:cs="Times New Roman"/>
          <w:i/>
          <w:iCs/>
        </w:rPr>
        <w:t>,</w:t>
      </w:r>
      <w:r w:rsidRPr="003037D2">
        <w:rPr>
          <w:rFonts w:ascii="Garamond" w:eastAsia="Calibri" w:hAnsi="Garamond" w:cs="Times New Roman"/>
          <w:i/>
          <w:iCs/>
        </w:rPr>
        <w:t xml:space="preserve"> </w:t>
      </w:r>
      <w:r w:rsidRPr="003037D2">
        <w:rPr>
          <w:rFonts w:ascii="Garamond" w:eastAsia="Calibri" w:hAnsi="Garamond" w:cs="Times New Roman"/>
        </w:rPr>
        <w:t xml:space="preserve">George </w:t>
      </w:r>
      <w:proofErr w:type="spellStart"/>
      <w:r w:rsidRPr="003037D2">
        <w:rPr>
          <w:rFonts w:ascii="Garamond" w:eastAsia="Calibri" w:hAnsi="Garamond" w:cs="Times New Roman"/>
        </w:rPr>
        <w:t>Puttenham</w:t>
      </w:r>
      <w:proofErr w:type="spellEnd"/>
      <w:r w:rsidRPr="003037D2">
        <w:rPr>
          <w:rFonts w:ascii="Garamond" w:eastAsia="Calibri" w:hAnsi="Garamond" w:cs="Times New Roman"/>
        </w:rPr>
        <w:t xml:space="preserve"> describes the rhetorical figure of </w:t>
      </w:r>
      <w:r w:rsidRPr="003037D2">
        <w:rPr>
          <w:rFonts w:ascii="Garamond" w:eastAsia="Calibri" w:hAnsi="Garamond" w:cs="Times New Roman"/>
          <w:i/>
          <w:iCs/>
        </w:rPr>
        <w:t xml:space="preserve">metanoia </w:t>
      </w:r>
      <w:r w:rsidRPr="003037D2">
        <w:rPr>
          <w:rFonts w:ascii="Garamond" w:eastAsia="Calibri" w:hAnsi="Garamond" w:cs="Times New Roman"/>
          <w:iCs/>
        </w:rPr>
        <w:t>as</w:t>
      </w:r>
      <w:r w:rsidRPr="003037D2">
        <w:rPr>
          <w:rFonts w:ascii="Garamond" w:eastAsia="Calibri" w:hAnsi="Garamond" w:cs="Times New Roman"/>
        </w:rPr>
        <w:t xml:space="preserve"> ‘the penitent’ or ‘the repentant’, explaining ‘we </w:t>
      </w:r>
      <w:proofErr w:type="spellStart"/>
      <w:r w:rsidRPr="003037D2">
        <w:rPr>
          <w:rFonts w:ascii="Garamond" w:eastAsia="Calibri" w:hAnsi="Garamond" w:cs="Times New Roman"/>
        </w:rPr>
        <w:t>speake</w:t>
      </w:r>
      <w:proofErr w:type="spellEnd"/>
      <w:r w:rsidRPr="003037D2">
        <w:rPr>
          <w:rFonts w:ascii="Garamond" w:eastAsia="Calibri" w:hAnsi="Garamond" w:cs="Times New Roman"/>
        </w:rPr>
        <w:t xml:space="preserve"> and be sorry for it, as if we had not </w:t>
      </w:r>
      <w:proofErr w:type="spellStart"/>
      <w:r w:rsidRPr="003037D2">
        <w:rPr>
          <w:rFonts w:ascii="Garamond" w:eastAsia="Calibri" w:hAnsi="Garamond" w:cs="Times New Roman"/>
        </w:rPr>
        <w:t>wel</w:t>
      </w:r>
      <w:proofErr w:type="spellEnd"/>
      <w:r w:rsidRPr="003037D2">
        <w:rPr>
          <w:rFonts w:ascii="Garamond" w:eastAsia="Calibri" w:hAnsi="Garamond" w:cs="Times New Roman"/>
        </w:rPr>
        <w:t xml:space="preserve"> spoken, so that we </w:t>
      </w:r>
      <w:proofErr w:type="spellStart"/>
      <w:r w:rsidRPr="003037D2">
        <w:rPr>
          <w:rFonts w:ascii="Garamond" w:eastAsia="Calibri" w:hAnsi="Garamond" w:cs="Times New Roman"/>
        </w:rPr>
        <w:t>seeme</w:t>
      </w:r>
      <w:proofErr w:type="spellEnd"/>
      <w:r w:rsidRPr="003037D2">
        <w:rPr>
          <w:rFonts w:ascii="Garamond" w:eastAsia="Calibri" w:hAnsi="Garamond" w:cs="Times New Roman"/>
        </w:rPr>
        <w:t xml:space="preserve"> to call in our word </w:t>
      </w:r>
      <w:proofErr w:type="spellStart"/>
      <w:r w:rsidRPr="003037D2">
        <w:rPr>
          <w:rFonts w:ascii="Garamond" w:eastAsia="Calibri" w:hAnsi="Garamond" w:cs="Times New Roman"/>
        </w:rPr>
        <w:t>againe</w:t>
      </w:r>
      <w:proofErr w:type="spellEnd"/>
      <w:r w:rsidRPr="003037D2">
        <w:rPr>
          <w:rFonts w:ascii="Garamond" w:eastAsia="Calibri" w:hAnsi="Garamond" w:cs="Times New Roman"/>
        </w:rPr>
        <w:t xml:space="preserve">, and to put in another fitter for the purpose’. A word or phrase is declared, only to be immediately reassessed and redefined. </w:t>
      </w:r>
      <w:proofErr w:type="spellStart"/>
      <w:r w:rsidRPr="003037D2">
        <w:rPr>
          <w:rFonts w:ascii="Garamond" w:eastAsia="Calibri" w:hAnsi="Garamond" w:cs="Times New Roman"/>
        </w:rPr>
        <w:t>Puttenham</w:t>
      </w:r>
      <w:proofErr w:type="spellEnd"/>
      <w:r w:rsidRPr="003037D2">
        <w:rPr>
          <w:rFonts w:ascii="Garamond" w:eastAsia="Calibri" w:hAnsi="Garamond" w:cs="Times New Roman"/>
        </w:rPr>
        <w:t xml:space="preserve"> situates his terminology within a classical tradition, as ‘the Greeks call this manner of speech the figure of repentance… the Latins call it the figure of correction’.</w:t>
      </w:r>
      <w:r w:rsidRPr="003037D2">
        <w:rPr>
          <w:rFonts w:ascii="Garamond" w:eastAsia="Calibri" w:hAnsi="Garamond" w:cs="Times New Roman"/>
          <w:vertAlign w:val="superscript"/>
        </w:rPr>
        <w:t xml:space="preserve"> </w:t>
      </w:r>
      <w:r w:rsidRPr="003037D2">
        <w:rPr>
          <w:rFonts w:ascii="Garamond" w:eastAsia="Calibri" w:hAnsi="Garamond" w:cs="Times New Roman"/>
          <w:vertAlign w:val="superscript"/>
        </w:rPr>
        <w:footnoteReference w:id="317"/>
      </w:r>
      <w:r w:rsidRPr="003037D2">
        <w:rPr>
          <w:rFonts w:ascii="Garamond" w:eastAsia="Calibri" w:hAnsi="Garamond" w:cs="Times New Roman"/>
        </w:rPr>
        <w:t xml:space="preserve">  This section examines how Anne Lock and Mary Sidney Herbert respectively make use of this rhetorical figure in their paraphrases of Psalm 51 and why a ‘penitent’ mode of speech is so fitting for this psalm.</w:t>
      </w:r>
      <w:r w:rsidRPr="003037D2">
        <w:rPr>
          <w:rFonts w:ascii="Garamond" w:eastAsia="Calibri" w:hAnsi="Garamond" w:cs="Times New Roman"/>
          <w:vertAlign w:val="superscript"/>
        </w:rPr>
        <w:footnoteReference w:id="318"/>
      </w:r>
      <w:r w:rsidRPr="003037D2">
        <w:rPr>
          <w:rFonts w:ascii="Garamond" w:eastAsia="Calibri" w:hAnsi="Garamond" w:cs="Times New Roman"/>
        </w:rPr>
        <w:t xml:space="preserve"> Both Lock and Sidney</w:t>
      </w:r>
      <w:r w:rsidR="002F1250">
        <w:rPr>
          <w:rFonts w:ascii="Garamond" w:eastAsia="Calibri" w:hAnsi="Garamond" w:cs="Times New Roman"/>
        </w:rPr>
        <w:t xml:space="preserve"> Herbert</w:t>
      </w:r>
      <w:r w:rsidRPr="003037D2">
        <w:rPr>
          <w:rFonts w:ascii="Garamond" w:eastAsia="Calibri" w:hAnsi="Garamond" w:cs="Times New Roman"/>
        </w:rPr>
        <w:t xml:space="preserve">’s iterations ostensibly follow the headnotes provided by </w:t>
      </w:r>
      <w:r w:rsidRPr="003037D2">
        <w:rPr>
          <w:rFonts w:ascii="Garamond" w:eastAsia="Calibri" w:hAnsi="Garamond" w:cs="Times New Roman"/>
          <w:i/>
          <w:iCs/>
        </w:rPr>
        <w:t>The Geneva Bible</w:t>
      </w:r>
      <w:r w:rsidRPr="003037D2">
        <w:rPr>
          <w:rFonts w:ascii="Garamond" w:eastAsia="Calibri" w:hAnsi="Garamond" w:cs="Times New Roman"/>
        </w:rPr>
        <w:t>, which state that</w:t>
      </w:r>
      <w:r w:rsidRPr="003037D2">
        <w:rPr>
          <w:rFonts w:ascii="Garamond" w:eastAsia="Calibri" w:hAnsi="Garamond" w:cs="Times New Roman"/>
          <w:iCs/>
          <w:shd w:val="clear" w:color="auto" w:fill="FFFFFF"/>
        </w:rPr>
        <w:t xml:space="preserve"> the psalm was ‘a memorial’ of David’s ‘natural corruption and iniquity’.</w:t>
      </w:r>
      <w:r w:rsidRPr="003037D2">
        <w:rPr>
          <w:rFonts w:ascii="Garamond" w:eastAsia="Calibri" w:hAnsi="Garamond" w:cs="Times New Roman"/>
          <w:iCs/>
          <w:shd w:val="clear" w:color="auto" w:fill="FFFFFF"/>
          <w:vertAlign w:val="superscript"/>
        </w:rPr>
        <w:footnoteReference w:id="319"/>
      </w:r>
      <w:r w:rsidRPr="003037D2">
        <w:rPr>
          <w:rFonts w:ascii="Garamond" w:eastAsia="Calibri" w:hAnsi="Garamond" w:cs="Times New Roman"/>
          <w:iCs/>
          <w:shd w:val="clear" w:color="auto" w:fill="FFFFFF"/>
        </w:rPr>
        <w:t xml:space="preserve"> Lock and Sidney</w:t>
      </w:r>
      <w:r w:rsidR="002F1250">
        <w:rPr>
          <w:rFonts w:ascii="Garamond" w:eastAsia="Calibri" w:hAnsi="Garamond" w:cs="Times New Roman"/>
          <w:iCs/>
          <w:shd w:val="clear" w:color="auto" w:fill="FFFFFF"/>
        </w:rPr>
        <w:t xml:space="preserve"> Herbert</w:t>
      </w:r>
      <w:r w:rsidRPr="003037D2">
        <w:rPr>
          <w:rFonts w:ascii="Garamond" w:eastAsia="Calibri" w:hAnsi="Garamond" w:cs="Times New Roman"/>
          <w:iCs/>
          <w:shd w:val="clear" w:color="auto" w:fill="FFFFFF"/>
        </w:rPr>
        <w:t xml:space="preserve"> adhere to these directions by creating works that encode their memorial nature within their very form. However, both poems demonstrate how this form of repenting memory could be used as a guide to the future. I consider how Lock and Sidney</w:t>
      </w:r>
      <w:r w:rsidR="002F1250">
        <w:rPr>
          <w:rFonts w:ascii="Garamond" w:eastAsia="Calibri" w:hAnsi="Garamond" w:cs="Times New Roman"/>
          <w:iCs/>
          <w:shd w:val="clear" w:color="auto" w:fill="FFFFFF"/>
        </w:rPr>
        <w:t xml:space="preserve"> Herbert</w:t>
      </w:r>
      <w:r w:rsidRPr="003037D2">
        <w:rPr>
          <w:rFonts w:ascii="Garamond" w:eastAsia="Calibri" w:hAnsi="Garamond" w:cs="Times New Roman"/>
          <w:iCs/>
          <w:shd w:val="clear" w:color="auto" w:fill="FFFFFF"/>
        </w:rPr>
        <w:t xml:space="preserve"> use the rhetorical device and concept of </w:t>
      </w:r>
      <w:r w:rsidRPr="003037D2">
        <w:rPr>
          <w:rFonts w:ascii="Garamond" w:eastAsia="Calibri" w:hAnsi="Garamond" w:cs="Times New Roman"/>
          <w:i/>
          <w:shd w:val="clear" w:color="auto" w:fill="FFFFFF"/>
        </w:rPr>
        <w:t xml:space="preserve">metanoia </w:t>
      </w:r>
      <w:r w:rsidRPr="003037D2">
        <w:rPr>
          <w:rFonts w:ascii="Garamond" w:eastAsia="Calibri" w:hAnsi="Garamond" w:cs="Times New Roman"/>
          <w:iCs/>
          <w:shd w:val="clear" w:color="auto" w:fill="FFFFFF"/>
        </w:rPr>
        <w:t>to illuminate how backward-looking penance could offer hope of future salvation</w:t>
      </w:r>
      <w:r w:rsidRPr="003037D2">
        <w:rPr>
          <w:rFonts w:ascii="Garamond" w:eastAsia="Calibri" w:hAnsi="Garamond" w:cs="Times New Roman"/>
          <w:i/>
          <w:shd w:val="clear" w:color="auto" w:fill="FFFFFF"/>
        </w:rPr>
        <w:t xml:space="preserve">. </w:t>
      </w:r>
      <w:r w:rsidRPr="003037D2">
        <w:rPr>
          <w:rFonts w:ascii="Garamond" w:eastAsia="Calibri" w:hAnsi="Garamond" w:cs="Times New Roman"/>
          <w:shd w:val="clear" w:color="auto" w:fill="FFFFFF"/>
        </w:rPr>
        <w:t>I draw on William Perkins and the Pseudo-</w:t>
      </w:r>
      <w:proofErr w:type="spellStart"/>
      <w:r w:rsidRPr="003037D2">
        <w:rPr>
          <w:rFonts w:ascii="Garamond" w:eastAsia="Calibri" w:hAnsi="Garamond" w:cs="Times New Roman"/>
          <w:shd w:val="clear" w:color="auto" w:fill="FFFFFF"/>
        </w:rPr>
        <w:t>Dionyisus’s</w:t>
      </w:r>
      <w:proofErr w:type="spellEnd"/>
      <w:r w:rsidRPr="003037D2">
        <w:rPr>
          <w:rFonts w:ascii="Garamond" w:eastAsia="Calibri" w:hAnsi="Garamond" w:cs="Times New Roman"/>
          <w:shd w:val="clear" w:color="auto" w:fill="FFFFFF"/>
        </w:rPr>
        <w:t xml:space="preserve"> writings to demonstrate how a wandering, non-linear path could be one of salvation.</w:t>
      </w:r>
      <w:r w:rsidRPr="003037D2">
        <w:rPr>
          <w:rFonts w:ascii="Garamond" w:eastAsia="Calibri" w:hAnsi="Garamond" w:cs="Times New Roman"/>
          <w:i/>
          <w:shd w:val="clear" w:color="auto" w:fill="FFFFFF"/>
        </w:rPr>
        <w:t xml:space="preserve"> </w:t>
      </w:r>
      <w:r w:rsidRPr="003037D2">
        <w:rPr>
          <w:rFonts w:ascii="Garamond" w:eastAsia="Calibri" w:hAnsi="Garamond" w:cs="Times New Roman"/>
          <w:iCs/>
          <w:shd w:val="clear" w:color="auto" w:fill="FFFFFF"/>
        </w:rPr>
        <w:t xml:space="preserve">Whilst Parker’s </w:t>
      </w:r>
      <w:proofErr w:type="spellStart"/>
      <w:r w:rsidRPr="003037D2">
        <w:rPr>
          <w:rFonts w:ascii="Garamond" w:eastAsia="Calibri" w:hAnsi="Garamond" w:cs="Times New Roman"/>
          <w:iCs/>
          <w:shd w:val="clear" w:color="auto" w:fill="FFFFFF"/>
        </w:rPr>
        <w:t>historicising</w:t>
      </w:r>
      <w:proofErr w:type="spellEnd"/>
      <w:r w:rsidRPr="003037D2">
        <w:rPr>
          <w:rFonts w:ascii="Garamond" w:eastAsia="Calibri" w:hAnsi="Garamond" w:cs="Times New Roman"/>
          <w:iCs/>
          <w:shd w:val="clear" w:color="auto" w:fill="FFFFFF"/>
        </w:rPr>
        <w:t xml:space="preserve"> mission attempted to overleap the gap between the biblical past and the present, Lock and Sidney</w:t>
      </w:r>
      <w:r w:rsidR="002F1250">
        <w:rPr>
          <w:rFonts w:ascii="Garamond" w:eastAsia="Calibri" w:hAnsi="Garamond" w:cs="Times New Roman"/>
          <w:iCs/>
          <w:shd w:val="clear" w:color="auto" w:fill="FFFFFF"/>
        </w:rPr>
        <w:t xml:space="preserve"> </w:t>
      </w:r>
      <w:proofErr w:type="spellStart"/>
      <w:r w:rsidR="002F1250">
        <w:rPr>
          <w:rFonts w:ascii="Garamond" w:eastAsia="Calibri" w:hAnsi="Garamond" w:cs="Times New Roman"/>
          <w:iCs/>
          <w:shd w:val="clear" w:color="auto" w:fill="FFFFFF"/>
        </w:rPr>
        <w:t>Herbert’s</w:t>
      </w:r>
      <w:r w:rsidRPr="003037D2">
        <w:rPr>
          <w:rFonts w:ascii="Garamond" w:eastAsia="Calibri" w:hAnsi="Garamond" w:cs="Times New Roman"/>
          <w:iCs/>
          <w:shd w:val="clear" w:color="auto" w:fill="FFFFFF"/>
        </w:rPr>
        <w:t>’s</w:t>
      </w:r>
      <w:proofErr w:type="spellEnd"/>
      <w:r w:rsidRPr="003037D2">
        <w:rPr>
          <w:rFonts w:ascii="Garamond" w:eastAsia="Calibri" w:hAnsi="Garamond" w:cs="Times New Roman"/>
          <w:iCs/>
          <w:shd w:val="clear" w:color="auto" w:fill="FFFFFF"/>
        </w:rPr>
        <w:t xml:space="preserve"> explorations of the role of memory in devotion present a more complex understanding of how time and timing can be </w:t>
      </w:r>
      <w:proofErr w:type="spellStart"/>
      <w:r w:rsidRPr="003037D2">
        <w:rPr>
          <w:rFonts w:ascii="Garamond" w:eastAsia="Calibri" w:hAnsi="Garamond" w:cs="Times New Roman"/>
          <w:iCs/>
          <w:shd w:val="clear" w:color="auto" w:fill="FFFFFF"/>
        </w:rPr>
        <w:t>sacralised</w:t>
      </w:r>
      <w:proofErr w:type="spellEnd"/>
      <w:r w:rsidRPr="003037D2">
        <w:rPr>
          <w:rFonts w:ascii="Garamond" w:eastAsia="Calibri" w:hAnsi="Garamond" w:cs="Times New Roman"/>
          <w:iCs/>
          <w:shd w:val="clear" w:color="auto" w:fill="FFFFFF"/>
        </w:rPr>
        <w:t>.</w:t>
      </w:r>
    </w:p>
    <w:p w14:paraId="0F830792" w14:textId="77777777" w:rsidR="00162224" w:rsidRPr="003037D2" w:rsidRDefault="00162224" w:rsidP="00162224">
      <w:pPr>
        <w:spacing w:line="360" w:lineRule="auto"/>
        <w:ind w:firstLine="720"/>
        <w:rPr>
          <w:rFonts w:ascii="Garamond" w:eastAsia="Calibri" w:hAnsi="Garamond" w:cs="Times New Roman"/>
          <w:iCs/>
          <w:shd w:val="clear" w:color="auto" w:fill="FFFFFF"/>
        </w:rPr>
      </w:pPr>
    </w:p>
    <w:p w14:paraId="30C618D9" w14:textId="28A98948" w:rsidR="00162224" w:rsidRPr="003037D2" w:rsidRDefault="00162224" w:rsidP="00162224">
      <w:pPr>
        <w:spacing w:before="120" w:line="360" w:lineRule="auto"/>
        <w:ind w:firstLine="720"/>
        <w:rPr>
          <w:rFonts w:ascii="Garamond" w:eastAsia="Calibri" w:hAnsi="Garamond" w:cs="Times New Roman"/>
        </w:rPr>
      </w:pPr>
      <w:r w:rsidRPr="003037D2">
        <w:rPr>
          <w:rFonts w:ascii="Garamond" w:eastAsia="Calibri" w:hAnsi="Garamond" w:cs="Times New Roman"/>
        </w:rPr>
        <w:t xml:space="preserve">Following the Reformation, poets and theologians alike had to come to terms with a new way of considering the doctrine of penance. </w:t>
      </w:r>
      <w:proofErr w:type="spellStart"/>
      <w:r w:rsidRPr="003037D2">
        <w:rPr>
          <w:rFonts w:ascii="Garamond" w:eastAsia="Calibri" w:hAnsi="Garamond" w:cs="Times New Roman"/>
        </w:rPr>
        <w:t>Institutionalised</w:t>
      </w:r>
      <w:proofErr w:type="spellEnd"/>
      <w:r w:rsidRPr="003037D2">
        <w:rPr>
          <w:rFonts w:ascii="Garamond" w:eastAsia="Calibri" w:hAnsi="Garamond" w:cs="Times New Roman"/>
        </w:rPr>
        <w:t xml:space="preserve"> penance, aligned with indulgences from clergy, had been attacked by the reformers. In his ‘Sermon on the Sacrament of Penance’ Luther described the various ways people seek </w:t>
      </w:r>
      <w:r w:rsidRPr="003037D2">
        <w:rPr>
          <w:rFonts w:ascii="Garamond" w:eastAsia="Calibri" w:hAnsi="Garamond" w:cs="Times New Roman"/>
        </w:rPr>
        <w:lastRenderedPageBreak/>
        <w:t>to arrive at ‘forgiveness of guilt and… [calm] the heart in the face of its sins’. He noted ‘some wear themselves out with many good works, even too much fasting… thinking that by the power of works [they can] do away with their sins and soothe their heart’.</w:t>
      </w:r>
      <w:r w:rsidRPr="003037D2">
        <w:rPr>
          <w:rFonts w:ascii="Garamond" w:eastAsia="Calibri" w:hAnsi="Garamond" w:cs="Times New Roman"/>
          <w:vertAlign w:val="superscript"/>
        </w:rPr>
        <w:footnoteReference w:id="320"/>
      </w:r>
      <w:r w:rsidRPr="003037D2">
        <w:rPr>
          <w:rFonts w:ascii="Garamond" w:eastAsia="Calibri" w:hAnsi="Garamond" w:cs="Times New Roman"/>
        </w:rPr>
        <w:t xml:space="preserve"> Penance was seen as an unnecessary act, one which presumptively imagined human control over one’s eventual fate. The debate over its legitimacy played out in Biblical translations. </w:t>
      </w:r>
      <w:r w:rsidRPr="003037D2">
        <w:rPr>
          <w:rFonts w:ascii="Garamond" w:eastAsia="Calibri" w:hAnsi="Garamond" w:cs="Times New Roman"/>
          <w:lang w:eastAsia="en-GB"/>
        </w:rPr>
        <w:t xml:space="preserve">The Greek term </w:t>
      </w:r>
      <w:r w:rsidRPr="003037D2">
        <w:rPr>
          <w:rFonts w:ascii="Garamond" w:eastAsia="Calibri" w:hAnsi="Garamond" w:cs="Times New Roman"/>
          <w:i/>
          <w:lang w:eastAsia="en-GB"/>
        </w:rPr>
        <w:t xml:space="preserve">metanoia </w:t>
      </w:r>
      <w:r w:rsidRPr="003037D2">
        <w:rPr>
          <w:rFonts w:ascii="Garamond" w:eastAsia="Calibri" w:hAnsi="Garamond" w:cs="Times New Roman"/>
          <w:lang w:eastAsia="en-GB"/>
        </w:rPr>
        <w:t xml:space="preserve">appears often in the New Testament, most notably in Jesus’ first sermon in Matthew 4.17, in which he calls on his followers to </w:t>
      </w:r>
      <w:r w:rsidRPr="003037D2">
        <w:rPr>
          <w:rFonts w:ascii="Garamond" w:eastAsia="Calibri" w:hAnsi="Garamond" w:cs="Times New Roman"/>
          <w:color w:val="252525"/>
          <w:shd w:val="clear" w:color="auto" w:fill="FFFFFF"/>
        </w:rPr>
        <w:t>‘</w:t>
      </w:r>
      <w:proofErr w:type="spellStart"/>
      <w:r w:rsidRPr="003037D2">
        <w:rPr>
          <w:rFonts w:ascii="Garamond" w:eastAsia="Calibri" w:hAnsi="Garamond" w:cs="Times New Roman"/>
          <w:i/>
          <w:iCs/>
          <w:color w:val="252525"/>
          <w:shd w:val="clear" w:color="auto" w:fill="FFFFFF"/>
        </w:rPr>
        <w:t>metanoeō</w:t>
      </w:r>
      <w:proofErr w:type="spellEnd"/>
      <w:r w:rsidRPr="003037D2">
        <w:rPr>
          <w:rFonts w:ascii="Garamond" w:eastAsia="Calibri" w:hAnsi="Garamond" w:cs="Times New Roman"/>
          <w:color w:val="252525"/>
          <w:shd w:val="clear" w:color="auto" w:fill="FFFFFF"/>
        </w:rPr>
        <w:t>: for the kingdom of heaven is at hand’</w:t>
      </w:r>
      <w:r w:rsidRPr="003037D2">
        <w:rPr>
          <w:rFonts w:ascii="Garamond" w:eastAsia="Calibri" w:hAnsi="Garamond" w:cs="Times New Roman"/>
          <w:lang w:eastAsia="en-GB"/>
        </w:rPr>
        <w:t>.</w:t>
      </w:r>
      <w:r w:rsidRPr="003037D2">
        <w:rPr>
          <w:rFonts w:ascii="Garamond" w:eastAsia="Calibri" w:hAnsi="Garamond" w:cs="Times New Roman"/>
          <w:vertAlign w:val="superscript"/>
          <w:lang w:eastAsia="en-GB"/>
        </w:rPr>
        <w:footnoteReference w:id="321"/>
      </w:r>
      <w:r w:rsidRPr="003037D2">
        <w:rPr>
          <w:rFonts w:ascii="Garamond" w:eastAsia="Calibri" w:hAnsi="Garamond" w:cs="Times New Roman"/>
          <w:lang w:eastAsia="en-GB"/>
        </w:rPr>
        <w:t xml:space="preserve"> Exactly what this direction meant was an area of great debate in the sixteenth century. The term had been translated by the Catholic church into </w:t>
      </w:r>
      <w:r w:rsidRPr="003037D2">
        <w:rPr>
          <w:rFonts w:ascii="Garamond" w:eastAsia="Calibri" w:hAnsi="Garamond" w:cs="Times New Roman"/>
          <w:color w:val="252525"/>
          <w:shd w:val="clear" w:color="auto" w:fill="FFFFFF"/>
        </w:rPr>
        <w:t xml:space="preserve">Latin as </w:t>
      </w:r>
      <w:proofErr w:type="spellStart"/>
      <w:r w:rsidRPr="003037D2">
        <w:rPr>
          <w:rFonts w:ascii="Garamond" w:eastAsia="Calibri" w:hAnsi="Garamond" w:cs="Times New Roman"/>
          <w:i/>
          <w:iCs/>
          <w:color w:val="252525"/>
          <w:shd w:val="clear" w:color="auto" w:fill="FFFFFF"/>
        </w:rPr>
        <w:t>poenitentiam</w:t>
      </w:r>
      <w:proofErr w:type="spellEnd"/>
      <w:r w:rsidRPr="003037D2">
        <w:rPr>
          <w:rFonts w:ascii="Garamond" w:eastAsia="Calibri" w:hAnsi="Garamond" w:cs="Times New Roman"/>
          <w:i/>
          <w:iCs/>
          <w:color w:val="252525"/>
          <w:shd w:val="clear" w:color="auto" w:fill="FFFFFF"/>
        </w:rPr>
        <w:t xml:space="preserve"> </w:t>
      </w:r>
      <w:proofErr w:type="spellStart"/>
      <w:r w:rsidRPr="003037D2">
        <w:rPr>
          <w:rFonts w:ascii="Garamond" w:eastAsia="Calibri" w:hAnsi="Garamond" w:cs="Times New Roman"/>
          <w:i/>
          <w:iCs/>
          <w:color w:val="252525"/>
          <w:shd w:val="clear" w:color="auto" w:fill="FFFFFF"/>
        </w:rPr>
        <w:t>agite</w:t>
      </w:r>
      <w:proofErr w:type="spellEnd"/>
      <w:r w:rsidRPr="003037D2">
        <w:rPr>
          <w:rFonts w:ascii="Garamond" w:eastAsia="Calibri" w:hAnsi="Garamond" w:cs="Times New Roman"/>
          <w:color w:val="252525"/>
          <w:shd w:val="clear" w:color="auto" w:fill="FFFFFF"/>
        </w:rPr>
        <w:t>,</w:t>
      </w:r>
      <w:r w:rsidRPr="003037D2">
        <w:rPr>
          <w:rFonts w:ascii="Garamond" w:eastAsia="Calibri" w:hAnsi="Garamond" w:cs="Times New Roman"/>
          <w:i/>
          <w:iCs/>
          <w:shd w:val="clear" w:color="auto" w:fill="FFFFFF"/>
        </w:rPr>
        <w:t xml:space="preserve"> </w:t>
      </w:r>
      <w:r w:rsidRPr="003037D2">
        <w:rPr>
          <w:rFonts w:ascii="Garamond" w:eastAsia="Calibri" w:hAnsi="Garamond" w:cs="Times New Roman"/>
          <w:iCs/>
          <w:shd w:val="clear" w:color="auto" w:fill="FFFFFF"/>
        </w:rPr>
        <w:t xml:space="preserve">or repentance. Both Luther and Calvin contested this translation, and in doing so opened up ‘a crevasse’ beneath the ‘entire edifice’ of the pastoral </w:t>
      </w:r>
      <w:proofErr w:type="spellStart"/>
      <w:r w:rsidRPr="003037D2">
        <w:rPr>
          <w:rFonts w:ascii="Garamond" w:eastAsia="Calibri" w:hAnsi="Garamond" w:cs="Times New Roman"/>
          <w:iCs/>
          <w:shd w:val="clear" w:color="auto" w:fill="FFFFFF"/>
        </w:rPr>
        <w:t>programme</w:t>
      </w:r>
      <w:proofErr w:type="spellEnd"/>
      <w:r w:rsidRPr="003037D2">
        <w:rPr>
          <w:rFonts w:ascii="Garamond" w:eastAsia="Calibri" w:hAnsi="Garamond" w:cs="Times New Roman"/>
          <w:iCs/>
          <w:shd w:val="clear" w:color="auto" w:fill="FFFFFF"/>
        </w:rPr>
        <w:t xml:space="preserve"> of penitence, in James Simpson’s words.</w:t>
      </w:r>
      <w:r w:rsidRPr="003037D2">
        <w:rPr>
          <w:rFonts w:ascii="Garamond" w:eastAsia="Calibri" w:hAnsi="Garamond" w:cs="Times New Roman"/>
          <w:iCs/>
          <w:shd w:val="clear" w:color="auto" w:fill="FFFFFF"/>
          <w:vertAlign w:val="superscript"/>
        </w:rPr>
        <w:footnoteReference w:id="322"/>
      </w:r>
      <w:r w:rsidRPr="003037D2">
        <w:rPr>
          <w:rFonts w:ascii="Garamond" w:eastAsia="Calibri" w:hAnsi="Garamond" w:cs="Times New Roman"/>
          <w:iCs/>
          <w:shd w:val="clear" w:color="auto" w:fill="FFFFFF"/>
        </w:rPr>
        <w:t xml:space="preserve"> Luther asserted that rather than suggesting repentance, this term pointed to conversion as the meaning of the Greek is literally ‘to change one’s mind’.</w:t>
      </w:r>
      <w:r w:rsidRPr="003037D2">
        <w:rPr>
          <w:rFonts w:ascii="Garamond" w:eastAsia="Calibri" w:hAnsi="Garamond" w:cs="Times New Roman"/>
          <w:iCs/>
          <w:shd w:val="clear" w:color="auto" w:fill="FFFFFF"/>
          <w:vertAlign w:val="superscript"/>
        </w:rPr>
        <w:footnoteReference w:id="323"/>
      </w:r>
      <w:r w:rsidRPr="003037D2">
        <w:rPr>
          <w:rFonts w:ascii="Garamond" w:eastAsia="Calibri" w:hAnsi="Garamond" w:cs="Times New Roman"/>
          <w:iCs/>
          <w:shd w:val="clear" w:color="auto" w:fill="FFFFFF"/>
        </w:rPr>
        <w:t xml:space="preserve"> Calvin agreed, adding further nuance to the debate by pointing out that the very term ‘repentance’ is derived from the Hebrew for conversion</w:t>
      </w:r>
      <w:r w:rsidRPr="003037D2">
        <w:rPr>
          <w:rFonts w:ascii="Garamond" w:eastAsia="Calibri" w:hAnsi="Garamond" w:cs="Times New Roman"/>
          <w:iCs/>
        </w:rPr>
        <w:t>.</w:t>
      </w:r>
      <w:r w:rsidRPr="003037D2">
        <w:rPr>
          <w:rFonts w:ascii="Garamond" w:eastAsia="Calibri" w:hAnsi="Garamond" w:cs="Times New Roman"/>
          <w:iCs/>
          <w:vertAlign w:val="superscript"/>
        </w:rPr>
        <w:footnoteReference w:id="324"/>
      </w:r>
      <w:r w:rsidRPr="003037D2">
        <w:rPr>
          <w:rFonts w:ascii="Garamond" w:eastAsia="Calibri" w:hAnsi="Garamond" w:cs="Times New Roman"/>
          <w:iCs/>
        </w:rPr>
        <w:t xml:space="preserve"> </w:t>
      </w:r>
      <w:r w:rsidRPr="003037D2">
        <w:rPr>
          <w:rFonts w:ascii="Garamond" w:eastAsia="Calibri" w:hAnsi="Garamond" w:cs="Times New Roman"/>
        </w:rPr>
        <w:t>In England, Coverdale avoided the conflict, diplomatically choosing ‘amend’ over either repentance or conversion in his biblical translations.</w:t>
      </w:r>
      <w:r w:rsidRPr="003037D2">
        <w:rPr>
          <w:rFonts w:ascii="Garamond" w:eastAsia="Calibri" w:hAnsi="Garamond" w:cs="Times New Roman"/>
          <w:vertAlign w:val="superscript"/>
        </w:rPr>
        <w:footnoteReference w:id="325"/>
      </w:r>
      <w:r w:rsidRPr="003037D2">
        <w:rPr>
          <w:rFonts w:ascii="Garamond" w:eastAsia="Calibri" w:hAnsi="Garamond" w:cs="Times New Roman"/>
          <w:vertAlign w:val="superscript"/>
        </w:rPr>
        <w:t xml:space="preserve"> </w:t>
      </w:r>
      <w:r w:rsidRPr="003037D2">
        <w:rPr>
          <w:rFonts w:ascii="Garamond" w:eastAsia="Calibri" w:hAnsi="Garamond" w:cs="Times New Roman"/>
        </w:rPr>
        <w:t xml:space="preserve"> </w:t>
      </w:r>
      <w:r w:rsidRPr="003037D2">
        <w:rPr>
          <w:rFonts w:ascii="Garamond" w:eastAsia="Calibri" w:hAnsi="Garamond" w:cs="Times New Roman"/>
          <w:iCs/>
          <w:shd w:val="clear" w:color="auto" w:fill="FFFFFF"/>
        </w:rPr>
        <w:t xml:space="preserve">In </w:t>
      </w:r>
      <w:r w:rsidRPr="003037D2">
        <w:rPr>
          <w:rFonts w:ascii="Garamond" w:eastAsia="Calibri" w:hAnsi="Garamond" w:cs="Times New Roman"/>
          <w:i/>
          <w:shd w:val="clear" w:color="auto" w:fill="FFFFFF"/>
        </w:rPr>
        <w:t>The Geneva Bible</w:t>
      </w:r>
      <w:r w:rsidRPr="003037D2">
        <w:rPr>
          <w:rFonts w:ascii="Garamond" w:eastAsia="Calibri" w:hAnsi="Garamond" w:cs="Times New Roman"/>
          <w:iCs/>
          <w:shd w:val="clear" w:color="auto" w:fill="FFFFFF"/>
        </w:rPr>
        <w:t xml:space="preserve"> the term was politically translated as ‘amend’. </w:t>
      </w:r>
      <w:r w:rsidRPr="003037D2">
        <w:rPr>
          <w:rFonts w:ascii="Garamond" w:eastAsia="Calibri" w:hAnsi="Garamond" w:cs="Times New Roman"/>
        </w:rPr>
        <w:t xml:space="preserve">The term ‘penance’ continued to be used, with Parker declaring that in ‘this book [of Psalms] is there a form set out unto us, how to do penance’. </w:t>
      </w:r>
    </w:p>
    <w:p w14:paraId="3AB40823" w14:textId="77777777" w:rsidR="00162224" w:rsidRPr="003037D2" w:rsidRDefault="00162224" w:rsidP="00162224">
      <w:pPr>
        <w:spacing w:before="120" w:line="360" w:lineRule="auto"/>
        <w:ind w:firstLine="720"/>
        <w:rPr>
          <w:rFonts w:ascii="Garamond" w:eastAsia="Calibri" w:hAnsi="Garamond" w:cs="Times New Roman"/>
        </w:rPr>
      </w:pPr>
    </w:p>
    <w:p w14:paraId="27A8EF3F" w14:textId="77777777" w:rsidR="00162224" w:rsidRPr="003037D2" w:rsidRDefault="00162224" w:rsidP="00162224">
      <w:pPr>
        <w:tabs>
          <w:tab w:val="left" w:pos="720"/>
          <w:tab w:val="left" w:pos="8200"/>
        </w:tabs>
        <w:spacing w:line="360" w:lineRule="auto"/>
        <w:rPr>
          <w:rFonts w:ascii="Garamond" w:eastAsia="Calibri" w:hAnsi="Garamond" w:cs="Times New Roman"/>
        </w:rPr>
      </w:pPr>
      <w:r w:rsidRPr="003037D2">
        <w:rPr>
          <w:rFonts w:ascii="Garamond" w:eastAsia="Calibri" w:hAnsi="Garamond" w:cs="Times New Roman"/>
        </w:rPr>
        <w:tab/>
        <w:t>The Penitential Psalms, numbers 6, 32, 38, 51, 102, 130, and 143 in the modern scheme, were at the heart of this debate. In the medieval church they were often prescribed by priests to be recited as ‘a work of satisfaction for specific sins’, with each of the seven psalms corresponding to one of the cardinal sins.</w:t>
      </w:r>
      <w:r w:rsidRPr="003037D2">
        <w:rPr>
          <w:rFonts w:ascii="Garamond" w:eastAsia="Calibri" w:hAnsi="Garamond" w:cs="Times New Roman"/>
          <w:vertAlign w:val="superscript"/>
        </w:rPr>
        <w:footnoteReference w:id="326"/>
      </w:r>
      <w:r w:rsidRPr="003037D2">
        <w:rPr>
          <w:rFonts w:ascii="Garamond" w:eastAsia="Calibri" w:hAnsi="Garamond" w:cs="Times New Roman"/>
        </w:rPr>
        <w:t xml:space="preserve"> Parishioners only confessed to their priest once a year, and so they commonly turned to the Penitential </w:t>
      </w:r>
      <w:r w:rsidRPr="003037D2">
        <w:rPr>
          <w:rFonts w:ascii="Garamond" w:eastAsia="Calibri" w:hAnsi="Garamond" w:cs="Times New Roman"/>
        </w:rPr>
        <w:lastRenderedPageBreak/>
        <w:t>Psalms privately in order to ‘deal with their everyday transgressions’.</w:t>
      </w:r>
      <w:r w:rsidRPr="003037D2">
        <w:rPr>
          <w:rFonts w:ascii="Garamond" w:eastAsia="Calibri" w:hAnsi="Garamond" w:cs="Times New Roman"/>
          <w:vertAlign w:val="superscript"/>
        </w:rPr>
        <w:footnoteReference w:id="327"/>
      </w:r>
      <w:r w:rsidRPr="003037D2">
        <w:rPr>
          <w:rFonts w:ascii="Garamond" w:eastAsia="Calibri" w:hAnsi="Garamond" w:cs="Times New Roman"/>
        </w:rPr>
        <w:t xml:space="preserve">  Despite this Catholic legacy, the psalms became a crucial part of the Protestant mission. Clare Costley </w:t>
      </w:r>
      <w:proofErr w:type="spellStart"/>
      <w:r w:rsidRPr="003037D2">
        <w:rPr>
          <w:rFonts w:ascii="Garamond" w:eastAsia="Calibri" w:hAnsi="Garamond" w:cs="Times New Roman"/>
        </w:rPr>
        <w:t>King’oo</w:t>
      </w:r>
      <w:proofErr w:type="spellEnd"/>
      <w:r w:rsidRPr="003037D2">
        <w:rPr>
          <w:rFonts w:ascii="Garamond" w:eastAsia="Calibri" w:hAnsi="Garamond" w:cs="Times New Roman"/>
        </w:rPr>
        <w:t xml:space="preserve"> has examined how Luther’s commentary on the Penitential Psalms redefined both the theory and practice of penance.</w:t>
      </w:r>
      <w:r w:rsidRPr="003037D2">
        <w:rPr>
          <w:rFonts w:ascii="Garamond" w:eastAsia="Calibri" w:hAnsi="Garamond" w:cs="Times New Roman"/>
          <w:vertAlign w:val="superscript"/>
        </w:rPr>
        <w:footnoteReference w:id="328"/>
      </w:r>
      <w:r w:rsidRPr="003037D2">
        <w:rPr>
          <w:rFonts w:ascii="Garamond" w:eastAsia="Calibri" w:hAnsi="Garamond" w:cs="Times New Roman"/>
        </w:rPr>
        <w:t xml:space="preserve"> The psalms offered a plethora of ways in which to address oneself to God and to explore different emotional states. It was this flexibility that made them so endlessly appealing to early modern readers and writers. Psalms existed at the juncture of the public and private: they are both an expression to an external God which could occur communally as part of a church congregation, and a deeply meditated voice of inwardness.</w:t>
      </w:r>
    </w:p>
    <w:p w14:paraId="16EF1723" w14:textId="77777777" w:rsidR="00162224" w:rsidRPr="003037D2" w:rsidRDefault="00162224" w:rsidP="00162224">
      <w:pPr>
        <w:tabs>
          <w:tab w:val="left" w:pos="720"/>
          <w:tab w:val="left" w:pos="8200"/>
        </w:tabs>
        <w:spacing w:line="360" w:lineRule="auto"/>
        <w:rPr>
          <w:rFonts w:ascii="Garamond" w:eastAsia="Calibri" w:hAnsi="Garamond" w:cs="Times New Roman"/>
        </w:rPr>
      </w:pPr>
    </w:p>
    <w:p w14:paraId="6D57459F" w14:textId="38E19287" w:rsidR="00162224" w:rsidRPr="003037D2" w:rsidRDefault="00162224" w:rsidP="002F1250">
      <w:pPr>
        <w:spacing w:line="360" w:lineRule="auto"/>
        <w:ind w:firstLine="567"/>
        <w:rPr>
          <w:rFonts w:ascii="Garamond" w:eastAsia="Calibri" w:hAnsi="Garamond" w:cs="Times New Roman"/>
        </w:rPr>
      </w:pPr>
      <w:r w:rsidRPr="003037D2">
        <w:rPr>
          <w:rFonts w:ascii="Garamond" w:eastAsia="Calibri" w:hAnsi="Garamond" w:cs="Times New Roman"/>
        </w:rPr>
        <w:t xml:space="preserve">The psalms were apocryphally believed to be the work of King David, and Psalm 51 was believed to mark a particularly dramatic point in his life. David had committed adultery with Bathsheba, seducing her after he saw her bathing. When she fell pregnant, he arranged for her husband, Uriah, to die in battle, commanding in a letter, ‘Put ye Uriah in the forefront of the strength of the battle… that he may be smitten and die’ (2 Samuel, 11:15). After allowing Bathsheba time to mourn, David married her, but (unsurprisingly) ‘the thing that David had done displeased the Lord’ (2 Samuel 11:27). The headnotes in </w:t>
      </w:r>
      <w:r w:rsidR="002F1250" w:rsidRPr="002F1250">
        <w:rPr>
          <w:rFonts w:ascii="Garamond" w:eastAsia="Calibri" w:hAnsi="Garamond" w:cs="Times New Roman"/>
          <w:i/>
          <w:iCs/>
        </w:rPr>
        <w:t>T</w:t>
      </w:r>
      <w:r w:rsidRPr="002F1250">
        <w:rPr>
          <w:rFonts w:ascii="Garamond" w:eastAsia="Calibri" w:hAnsi="Garamond" w:cs="Times New Roman"/>
          <w:i/>
          <w:iCs/>
        </w:rPr>
        <w:t>he Geneva Bible</w:t>
      </w:r>
      <w:r w:rsidRPr="003037D2">
        <w:rPr>
          <w:rFonts w:ascii="Garamond" w:eastAsia="Calibri" w:hAnsi="Garamond" w:cs="Times New Roman"/>
        </w:rPr>
        <w:t xml:space="preserve"> explain the circumstances that lead to the writing of Psalm 51:</w:t>
      </w:r>
    </w:p>
    <w:p w14:paraId="4816CF89" w14:textId="0B011CE2" w:rsidR="00162224" w:rsidRDefault="00162224" w:rsidP="00162224">
      <w:pPr>
        <w:ind w:left="737" w:right="737"/>
        <w:rPr>
          <w:rFonts w:ascii="Garamond" w:eastAsia="Calibri" w:hAnsi="Garamond" w:cs="Times New Roman"/>
        </w:rPr>
      </w:pPr>
      <w:r w:rsidRPr="003037D2">
        <w:rPr>
          <w:rFonts w:ascii="Garamond" w:eastAsia="Calibri" w:hAnsi="Garamond" w:cs="Times New Roman"/>
        </w:rPr>
        <w:t xml:space="preserve">When David was rebuked by the Prophet Nathan for his great offenses, he did not only acknowledge the same to God, with protestation of his natural corruption &amp; iniquity, but also left a memorial thereof to his prosperity. </w:t>
      </w:r>
      <w:proofErr w:type="gramStart"/>
      <w:r w:rsidRPr="003037D2">
        <w:rPr>
          <w:rFonts w:ascii="Garamond" w:eastAsia="Calibri" w:hAnsi="Garamond" w:cs="Times New Roman"/>
        </w:rPr>
        <w:t>Therefore</w:t>
      </w:r>
      <w:proofErr w:type="gramEnd"/>
      <w:r w:rsidRPr="003037D2">
        <w:rPr>
          <w:rFonts w:ascii="Garamond" w:eastAsia="Calibri" w:hAnsi="Garamond" w:cs="Times New Roman"/>
        </w:rPr>
        <w:t xml:space="preserve"> he desired God to forgive his </w:t>
      </w:r>
      <w:proofErr w:type="spellStart"/>
      <w:r w:rsidRPr="003037D2">
        <w:rPr>
          <w:rFonts w:ascii="Garamond" w:eastAsia="Calibri" w:hAnsi="Garamond" w:cs="Times New Roman"/>
        </w:rPr>
        <w:t>sinnes</w:t>
      </w:r>
      <w:proofErr w:type="spellEnd"/>
      <w:r w:rsidRPr="003037D2">
        <w:rPr>
          <w:rFonts w:ascii="Garamond" w:eastAsia="Calibri" w:hAnsi="Garamond" w:cs="Times New Roman"/>
        </w:rPr>
        <w:t xml:space="preserve">. And to renew in him his </w:t>
      </w:r>
      <w:proofErr w:type="spellStart"/>
      <w:r w:rsidRPr="003037D2">
        <w:rPr>
          <w:rFonts w:ascii="Garamond" w:eastAsia="Calibri" w:hAnsi="Garamond" w:cs="Times New Roman"/>
        </w:rPr>
        <w:t>holie</w:t>
      </w:r>
      <w:proofErr w:type="spellEnd"/>
      <w:r w:rsidRPr="003037D2">
        <w:rPr>
          <w:rFonts w:ascii="Garamond" w:eastAsia="Calibri" w:hAnsi="Garamond" w:cs="Times New Roman"/>
        </w:rPr>
        <w:t xml:space="preserve"> Spirit…</w:t>
      </w:r>
      <w:r w:rsidRPr="003037D2">
        <w:rPr>
          <w:rFonts w:ascii="Garamond" w:eastAsia="Calibri" w:hAnsi="Garamond" w:cs="Times New Roman"/>
          <w:vertAlign w:val="superscript"/>
        </w:rPr>
        <w:footnoteReference w:id="329"/>
      </w:r>
      <w:r w:rsidRPr="003037D2">
        <w:rPr>
          <w:rFonts w:ascii="Garamond" w:eastAsia="Calibri" w:hAnsi="Garamond" w:cs="Times New Roman"/>
        </w:rPr>
        <w:t xml:space="preserve"> </w:t>
      </w:r>
    </w:p>
    <w:p w14:paraId="44BDBEED" w14:textId="77777777" w:rsidR="00667CD5" w:rsidRPr="003037D2" w:rsidRDefault="00667CD5" w:rsidP="00162224">
      <w:pPr>
        <w:ind w:left="737" w:right="737"/>
        <w:rPr>
          <w:rFonts w:ascii="Garamond" w:eastAsia="Calibri" w:hAnsi="Garamond" w:cs="Times New Roman"/>
        </w:rPr>
      </w:pPr>
    </w:p>
    <w:p w14:paraId="2E248E77" w14:textId="77777777" w:rsidR="00162224" w:rsidRPr="003037D2" w:rsidRDefault="00162224" w:rsidP="00162224">
      <w:pPr>
        <w:tabs>
          <w:tab w:val="left" w:pos="720"/>
          <w:tab w:val="left" w:pos="8200"/>
        </w:tabs>
        <w:spacing w:line="360" w:lineRule="auto"/>
        <w:rPr>
          <w:rFonts w:ascii="Garamond" w:eastAsia="Calibri" w:hAnsi="Garamond" w:cs="Times New Roman"/>
        </w:rPr>
      </w:pPr>
      <w:r w:rsidRPr="003037D2">
        <w:rPr>
          <w:rFonts w:ascii="Garamond" w:eastAsia="Calibri" w:hAnsi="Garamond" w:cs="Times New Roman"/>
        </w:rPr>
        <w:t xml:space="preserve">Psalm 51 therefore commemorates both a specific ‘offense’ and constitutes a meditation on original sin, ‘natural corruption’. The headnote </w:t>
      </w:r>
      <w:proofErr w:type="spellStart"/>
      <w:r w:rsidRPr="003037D2">
        <w:rPr>
          <w:rFonts w:ascii="Garamond" w:eastAsia="Calibri" w:hAnsi="Garamond" w:cs="Times New Roman"/>
        </w:rPr>
        <w:t>emphasises</w:t>
      </w:r>
      <w:proofErr w:type="spellEnd"/>
      <w:r w:rsidRPr="003037D2">
        <w:rPr>
          <w:rFonts w:ascii="Garamond" w:eastAsia="Calibri" w:hAnsi="Garamond" w:cs="Times New Roman"/>
        </w:rPr>
        <w:t xml:space="preserve"> the lasting nature of the psalm – it is a ‘memorial’, a concrete aid to memory for the reader and sinner. In the Elizabethan era, the term ‘protestation’ had a complex meaning. It could signify a formal affirmation of a fact in response to another’s accusation, or have a more specific legal application, namely a condition put in place to protect the rights of a party in a lawsuit, or an appeal that this condition should be </w:t>
      </w:r>
      <w:proofErr w:type="spellStart"/>
      <w:r w:rsidRPr="003037D2">
        <w:rPr>
          <w:rFonts w:ascii="Garamond" w:eastAsia="Calibri" w:hAnsi="Garamond" w:cs="Times New Roman"/>
        </w:rPr>
        <w:t>recognised</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330"/>
      </w:r>
      <w:r w:rsidRPr="003037D2">
        <w:rPr>
          <w:rFonts w:ascii="Garamond" w:eastAsia="Calibri" w:hAnsi="Garamond" w:cs="Times New Roman"/>
        </w:rPr>
        <w:t xml:space="preserve"> </w:t>
      </w:r>
      <w:r w:rsidRPr="003037D2">
        <w:rPr>
          <w:rFonts w:ascii="Garamond" w:eastAsia="Calibri" w:hAnsi="Garamond" w:cs="Times New Roman"/>
          <w:vertAlign w:val="superscript"/>
        </w:rPr>
        <w:t xml:space="preserve"> </w:t>
      </w:r>
      <w:r w:rsidRPr="003037D2">
        <w:rPr>
          <w:rFonts w:ascii="Garamond" w:eastAsia="Calibri" w:hAnsi="Garamond" w:cs="Times New Roman"/>
        </w:rPr>
        <w:t xml:space="preserve">To offer a ‘protestation’ of ‘natural corruption’ therefore is an act of special pleading; Psalm 51 </w:t>
      </w:r>
      <w:r w:rsidRPr="003037D2">
        <w:rPr>
          <w:rFonts w:ascii="Garamond" w:eastAsia="Calibri" w:hAnsi="Garamond" w:cs="Times New Roman"/>
        </w:rPr>
        <w:lastRenderedPageBreak/>
        <w:t xml:space="preserve">offers a space in which to attempt to explain one’s innate failings to God, however effective that may be. In John Florio’s 1603 translation of Montaigne’s </w:t>
      </w:r>
      <w:proofErr w:type="spellStart"/>
      <w:r w:rsidRPr="003037D2">
        <w:rPr>
          <w:rFonts w:ascii="Garamond" w:eastAsia="Calibri" w:hAnsi="Garamond" w:cs="Times New Roman"/>
          <w:i/>
          <w:iCs/>
        </w:rPr>
        <w:t>Essais</w:t>
      </w:r>
      <w:proofErr w:type="spellEnd"/>
      <w:r w:rsidRPr="003037D2">
        <w:rPr>
          <w:rFonts w:ascii="Garamond" w:eastAsia="Calibri" w:hAnsi="Garamond" w:cs="Times New Roman"/>
          <w:i/>
          <w:iCs/>
        </w:rPr>
        <w:t xml:space="preserve"> </w:t>
      </w:r>
      <w:r w:rsidRPr="003037D2">
        <w:rPr>
          <w:rFonts w:ascii="Garamond" w:eastAsia="Calibri" w:hAnsi="Garamond" w:cs="Times New Roman"/>
        </w:rPr>
        <w:t>(1580), the 2</w:t>
      </w:r>
      <w:r w:rsidRPr="003037D2">
        <w:rPr>
          <w:rFonts w:ascii="Garamond" w:eastAsia="Calibri" w:hAnsi="Garamond" w:cs="Times New Roman"/>
          <w:vertAlign w:val="superscript"/>
        </w:rPr>
        <w:t>nd</w:t>
      </w:r>
      <w:r w:rsidRPr="003037D2">
        <w:rPr>
          <w:rFonts w:ascii="Garamond" w:eastAsia="Calibri" w:hAnsi="Garamond" w:cs="Times New Roman"/>
        </w:rPr>
        <w:t xml:space="preserve"> chapter of Book 3 is entitled ‘Of Repenting’. Montaigne argues that sorrow and terror are an intrinsic part of repentance, indeed necessary to ensure that such acts of piety are sincere: </w:t>
      </w:r>
    </w:p>
    <w:p w14:paraId="2C1A7C53" w14:textId="01661F68" w:rsidR="00162224" w:rsidRPr="003037D2" w:rsidRDefault="00162224" w:rsidP="00162224">
      <w:pPr>
        <w:tabs>
          <w:tab w:val="left" w:pos="720"/>
          <w:tab w:val="left" w:pos="8200"/>
        </w:tabs>
        <w:ind w:left="737" w:right="737"/>
        <w:rPr>
          <w:rFonts w:ascii="Garamond" w:eastAsia="Calibri" w:hAnsi="Garamond" w:cs="Times New Roman"/>
        </w:rPr>
      </w:pPr>
      <w:r w:rsidRPr="003037D2">
        <w:rPr>
          <w:rFonts w:ascii="Garamond" w:eastAsia="Calibri" w:hAnsi="Garamond" w:cs="Times New Roman"/>
        </w:rPr>
        <w:t xml:space="preserve">I </w:t>
      </w:r>
      <w:proofErr w:type="spellStart"/>
      <w:r w:rsidRPr="003037D2">
        <w:rPr>
          <w:rFonts w:ascii="Garamond" w:eastAsia="Calibri" w:hAnsi="Garamond" w:cs="Times New Roman"/>
        </w:rPr>
        <w:t>finde</w:t>
      </w:r>
      <w:proofErr w:type="spellEnd"/>
      <w:r w:rsidRPr="003037D2">
        <w:rPr>
          <w:rFonts w:ascii="Garamond" w:eastAsia="Calibri" w:hAnsi="Garamond" w:cs="Times New Roman"/>
        </w:rPr>
        <w:t xml:space="preserve"> no </w:t>
      </w:r>
      <w:proofErr w:type="spellStart"/>
      <w:r w:rsidRPr="003037D2">
        <w:rPr>
          <w:rFonts w:ascii="Garamond" w:eastAsia="Calibri" w:hAnsi="Garamond" w:cs="Times New Roman"/>
        </w:rPr>
        <w:t>humour</w:t>
      </w:r>
      <w:proofErr w:type="spellEnd"/>
      <w:r w:rsidRPr="003037D2">
        <w:rPr>
          <w:rFonts w:ascii="Garamond" w:eastAsia="Calibri" w:hAnsi="Garamond" w:cs="Times New Roman"/>
        </w:rPr>
        <w:t xml:space="preserve"> so </w:t>
      </w:r>
      <w:proofErr w:type="spellStart"/>
      <w:r w:rsidRPr="003037D2">
        <w:rPr>
          <w:rFonts w:ascii="Garamond" w:eastAsia="Calibri" w:hAnsi="Garamond" w:cs="Times New Roman"/>
        </w:rPr>
        <w:t>easie</w:t>
      </w:r>
      <w:proofErr w:type="spellEnd"/>
      <w:r w:rsidRPr="003037D2">
        <w:rPr>
          <w:rFonts w:ascii="Garamond" w:eastAsia="Calibri" w:hAnsi="Garamond" w:cs="Times New Roman"/>
        </w:rPr>
        <w:t xml:space="preserve"> to be counterfeited as Devotion… For my part, I may in </w:t>
      </w:r>
      <w:proofErr w:type="spellStart"/>
      <w:r w:rsidRPr="003037D2">
        <w:rPr>
          <w:rFonts w:ascii="Garamond" w:eastAsia="Calibri" w:hAnsi="Garamond" w:cs="Times New Roman"/>
        </w:rPr>
        <w:t>generall</w:t>
      </w:r>
      <w:proofErr w:type="spellEnd"/>
      <w:r w:rsidRPr="003037D2">
        <w:rPr>
          <w:rFonts w:ascii="Garamond" w:eastAsia="Calibri" w:hAnsi="Garamond" w:cs="Times New Roman"/>
        </w:rPr>
        <w:t xml:space="preserve"> wish to be other than I am… I may beseech God to grant me an undefiled reformation, and excuse my </w:t>
      </w:r>
      <w:proofErr w:type="spellStart"/>
      <w:r w:rsidRPr="003037D2">
        <w:rPr>
          <w:rFonts w:ascii="Garamond" w:eastAsia="Calibri" w:hAnsi="Garamond" w:cs="Times New Roman"/>
        </w:rPr>
        <w:t>naturall</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weaknesse</w:t>
      </w:r>
      <w:proofErr w:type="spellEnd"/>
      <w:r w:rsidRPr="003037D2">
        <w:rPr>
          <w:rFonts w:ascii="Garamond" w:eastAsia="Calibri" w:hAnsi="Garamond" w:cs="Times New Roman"/>
        </w:rPr>
        <w:t xml:space="preserve">: but </w:t>
      </w:r>
      <w:proofErr w:type="spellStart"/>
      <w:r w:rsidRPr="003037D2">
        <w:rPr>
          <w:rFonts w:ascii="Garamond" w:eastAsia="Calibri" w:hAnsi="Garamond" w:cs="Times New Roman"/>
        </w:rPr>
        <w:t>meeseemth</w:t>
      </w:r>
      <w:proofErr w:type="spellEnd"/>
      <w:r w:rsidRPr="003037D2">
        <w:rPr>
          <w:rFonts w:ascii="Garamond" w:eastAsia="Calibri" w:hAnsi="Garamond" w:cs="Times New Roman"/>
        </w:rPr>
        <w:t xml:space="preserve"> I ought not to </w:t>
      </w:r>
      <w:proofErr w:type="spellStart"/>
      <w:r w:rsidRPr="003037D2">
        <w:rPr>
          <w:rFonts w:ascii="Garamond" w:eastAsia="Calibri" w:hAnsi="Garamond" w:cs="Times New Roman"/>
        </w:rPr>
        <w:t>tearme</w:t>
      </w:r>
      <w:proofErr w:type="spellEnd"/>
      <w:r w:rsidRPr="003037D2">
        <w:rPr>
          <w:rFonts w:ascii="Garamond" w:eastAsia="Calibri" w:hAnsi="Garamond" w:cs="Times New Roman"/>
        </w:rPr>
        <w:t xml:space="preserve"> this repentance, no more </w:t>
      </w:r>
      <w:proofErr w:type="spellStart"/>
      <w:r w:rsidRPr="003037D2">
        <w:rPr>
          <w:rFonts w:ascii="Garamond" w:eastAsia="Calibri" w:hAnsi="Garamond" w:cs="Times New Roman"/>
        </w:rPr>
        <w:t>then</w:t>
      </w:r>
      <w:proofErr w:type="spellEnd"/>
      <w:r w:rsidRPr="003037D2">
        <w:rPr>
          <w:rFonts w:ascii="Garamond" w:eastAsia="Calibri" w:hAnsi="Garamond" w:cs="Times New Roman"/>
        </w:rPr>
        <w:t xml:space="preserve"> the displeasure of being neither Angell nor Cato… Repentance doth not properly concern what is not in our power; sorrow doth… It is not a spot, but a whole dye that </w:t>
      </w:r>
      <w:proofErr w:type="spellStart"/>
      <w:r w:rsidRPr="003037D2">
        <w:rPr>
          <w:rFonts w:ascii="Garamond" w:eastAsia="Calibri" w:hAnsi="Garamond" w:cs="Times New Roman"/>
        </w:rPr>
        <w:t>staynes</w:t>
      </w:r>
      <w:proofErr w:type="spellEnd"/>
      <w:r w:rsidRPr="003037D2">
        <w:rPr>
          <w:rFonts w:ascii="Garamond" w:eastAsia="Calibri" w:hAnsi="Garamond" w:cs="Times New Roman"/>
        </w:rPr>
        <w:t xml:space="preserve"> me. I acknowledge no repentance, this is </w:t>
      </w:r>
      <w:proofErr w:type="spellStart"/>
      <w:r w:rsidRPr="003037D2">
        <w:rPr>
          <w:rFonts w:ascii="Garamond" w:eastAsia="Calibri" w:hAnsi="Garamond" w:cs="Times New Roman"/>
        </w:rPr>
        <w:t>superficiall</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meane</w:t>
      </w:r>
      <w:proofErr w:type="spellEnd"/>
      <w:r w:rsidRPr="003037D2">
        <w:rPr>
          <w:rFonts w:ascii="Garamond" w:eastAsia="Calibri" w:hAnsi="Garamond" w:cs="Times New Roman"/>
        </w:rPr>
        <w:t xml:space="preserve">, and ceremonious. It must touch me on all sides before I can </w:t>
      </w:r>
      <w:proofErr w:type="spellStart"/>
      <w:r w:rsidRPr="003037D2">
        <w:rPr>
          <w:rFonts w:ascii="Garamond" w:eastAsia="Calibri" w:hAnsi="Garamond" w:cs="Times New Roman"/>
        </w:rPr>
        <w:t>terme</w:t>
      </w:r>
      <w:proofErr w:type="spellEnd"/>
      <w:r w:rsidRPr="003037D2">
        <w:rPr>
          <w:rFonts w:ascii="Garamond" w:eastAsia="Calibri" w:hAnsi="Garamond" w:cs="Times New Roman"/>
        </w:rPr>
        <w:t xml:space="preserve"> </w:t>
      </w:r>
      <w:proofErr w:type="gramStart"/>
      <w:r w:rsidRPr="003037D2">
        <w:rPr>
          <w:rFonts w:ascii="Garamond" w:eastAsia="Calibri" w:hAnsi="Garamond" w:cs="Times New Roman"/>
        </w:rPr>
        <w:t>it</w:t>
      </w:r>
      <w:proofErr w:type="gramEnd"/>
      <w:r w:rsidRPr="003037D2">
        <w:rPr>
          <w:rFonts w:ascii="Garamond" w:eastAsia="Calibri" w:hAnsi="Garamond" w:cs="Times New Roman"/>
        </w:rPr>
        <w:t xml:space="preserve"> repentance. It must pinch my </w:t>
      </w:r>
      <w:proofErr w:type="spellStart"/>
      <w:proofErr w:type="gramStart"/>
      <w:r w:rsidRPr="003037D2">
        <w:rPr>
          <w:rFonts w:ascii="Garamond" w:eastAsia="Calibri" w:hAnsi="Garamond" w:cs="Times New Roman"/>
        </w:rPr>
        <w:t>entrailes</w:t>
      </w:r>
      <w:proofErr w:type="spellEnd"/>
      <w:r w:rsidRPr="003037D2">
        <w:rPr>
          <w:rFonts w:ascii="Garamond" w:eastAsia="Calibri" w:hAnsi="Garamond" w:cs="Times New Roman"/>
        </w:rPr>
        <w:t>, and</w:t>
      </w:r>
      <w:proofErr w:type="gramEnd"/>
      <w:r w:rsidRPr="003037D2">
        <w:rPr>
          <w:rFonts w:ascii="Garamond" w:eastAsia="Calibri" w:hAnsi="Garamond" w:cs="Times New Roman"/>
        </w:rPr>
        <w:t xml:space="preserve"> afflict them as </w:t>
      </w:r>
      <w:proofErr w:type="spellStart"/>
      <w:r w:rsidRPr="003037D2">
        <w:rPr>
          <w:rFonts w:ascii="Garamond" w:eastAsia="Calibri" w:hAnsi="Garamond" w:cs="Times New Roman"/>
        </w:rPr>
        <w:t>deepely</w:t>
      </w:r>
      <w:proofErr w:type="spellEnd"/>
      <w:r w:rsidRPr="003037D2">
        <w:rPr>
          <w:rFonts w:ascii="Garamond" w:eastAsia="Calibri" w:hAnsi="Garamond" w:cs="Times New Roman"/>
        </w:rPr>
        <w:t xml:space="preserve"> and thorou</w:t>
      </w:r>
      <w:r w:rsidR="002F1250">
        <w:rPr>
          <w:rFonts w:ascii="Garamond" w:eastAsia="Calibri" w:hAnsi="Garamond" w:cs="Times New Roman"/>
        </w:rPr>
        <w:t xml:space="preserve">ghly as God himself beholds </w:t>
      </w:r>
      <w:proofErr w:type="spellStart"/>
      <w:r w:rsidR="002F1250">
        <w:rPr>
          <w:rFonts w:ascii="Garamond" w:eastAsia="Calibri" w:hAnsi="Garamond" w:cs="Times New Roman"/>
        </w:rPr>
        <w:t>mee</w:t>
      </w:r>
      <w:proofErr w:type="spellEnd"/>
      <w:r w:rsidR="002F1250">
        <w:rPr>
          <w:rFonts w:ascii="Garamond" w:eastAsia="Calibri" w:hAnsi="Garamond" w:cs="Times New Roman"/>
        </w:rPr>
        <w:t>.</w:t>
      </w:r>
      <w:r w:rsidRPr="003037D2">
        <w:rPr>
          <w:rFonts w:ascii="Garamond" w:eastAsia="Calibri" w:hAnsi="Garamond" w:cs="Times New Roman"/>
          <w:vertAlign w:val="superscript"/>
        </w:rPr>
        <w:footnoteReference w:id="331"/>
      </w:r>
    </w:p>
    <w:p w14:paraId="0F205206" w14:textId="77777777" w:rsidR="00162224" w:rsidRPr="003037D2" w:rsidRDefault="00162224" w:rsidP="00162224">
      <w:pPr>
        <w:tabs>
          <w:tab w:val="left" w:pos="720"/>
          <w:tab w:val="left" w:pos="8200"/>
        </w:tabs>
        <w:spacing w:line="360" w:lineRule="auto"/>
        <w:ind w:left="737" w:right="737"/>
        <w:rPr>
          <w:rFonts w:ascii="Garamond" w:eastAsia="Calibri" w:hAnsi="Garamond" w:cs="Times New Roman"/>
        </w:rPr>
      </w:pPr>
    </w:p>
    <w:p w14:paraId="65F769CC" w14:textId="77777777" w:rsidR="00162224" w:rsidRPr="003037D2" w:rsidRDefault="00162224" w:rsidP="00162224">
      <w:pPr>
        <w:spacing w:line="360" w:lineRule="auto"/>
        <w:rPr>
          <w:rFonts w:ascii="Garamond" w:eastAsia="Calibri" w:hAnsi="Garamond" w:cs="Times New Roman"/>
          <w:iCs/>
        </w:rPr>
      </w:pPr>
      <w:r w:rsidRPr="003037D2">
        <w:rPr>
          <w:rFonts w:ascii="Garamond" w:eastAsia="Calibri" w:hAnsi="Garamond" w:cs="Times New Roman"/>
        </w:rPr>
        <w:t xml:space="preserve">The language used is that of the </w:t>
      </w:r>
      <w:r w:rsidRPr="003037D2">
        <w:rPr>
          <w:rFonts w:ascii="Garamond" w:eastAsia="Calibri" w:hAnsi="Garamond" w:cs="Times New Roman"/>
          <w:i/>
          <w:iCs/>
        </w:rPr>
        <w:t xml:space="preserve">Miserere </w:t>
      </w:r>
      <w:proofErr w:type="spellStart"/>
      <w:r w:rsidRPr="003037D2">
        <w:rPr>
          <w:rFonts w:ascii="Garamond" w:eastAsia="Calibri" w:hAnsi="Garamond" w:cs="Times New Roman"/>
          <w:i/>
          <w:iCs/>
        </w:rPr>
        <w:t>mei</w:t>
      </w:r>
      <w:proofErr w:type="spellEnd"/>
      <w:r w:rsidRPr="003037D2">
        <w:rPr>
          <w:rFonts w:ascii="Garamond" w:eastAsia="Calibri" w:hAnsi="Garamond" w:cs="Times New Roman"/>
          <w:i/>
          <w:iCs/>
        </w:rPr>
        <w:t xml:space="preserve">, </w:t>
      </w:r>
      <w:proofErr w:type="spellStart"/>
      <w:r w:rsidRPr="003037D2">
        <w:rPr>
          <w:rFonts w:ascii="Garamond" w:eastAsia="Calibri" w:hAnsi="Garamond" w:cs="Times New Roman"/>
          <w:i/>
          <w:iCs/>
        </w:rPr>
        <w:t>deus</w:t>
      </w:r>
      <w:proofErr w:type="spellEnd"/>
      <w:r w:rsidRPr="003037D2">
        <w:rPr>
          <w:rFonts w:ascii="Garamond" w:eastAsia="Calibri" w:hAnsi="Garamond" w:cs="Times New Roman"/>
          <w:i/>
          <w:iCs/>
        </w:rPr>
        <w:t xml:space="preserve">, </w:t>
      </w:r>
      <w:r w:rsidRPr="003037D2">
        <w:rPr>
          <w:rFonts w:ascii="Garamond" w:eastAsia="Calibri" w:hAnsi="Garamond" w:cs="Times New Roman"/>
        </w:rPr>
        <w:t xml:space="preserve">particularly in the focus on guilt and sorrow as seated in the entrails. Montaigne expresses how all-consuming repentance must be, as the sin which it indicates is total, ‘dye’ rather than a simple ‘spot’. It was this focus upon original </w:t>
      </w:r>
      <w:proofErr w:type="gramStart"/>
      <w:r w:rsidRPr="003037D2">
        <w:rPr>
          <w:rFonts w:ascii="Garamond" w:eastAsia="Calibri" w:hAnsi="Garamond" w:cs="Times New Roman"/>
        </w:rPr>
        <w:t>sin, and</w:t>
      </w:r>
      <w:proofErr w:type="gramEnd"/>
      <w:r w:rsidRPr="003037D2">
        <w:rPr>
          <w:rFonts w:ascii="Garamond" w:eastAsia="Calibri" w:hAnsi="Garamond" w:cs="Times New Roman"/>
        </w:rPr>
        <w:t xml:space="preserve"> stemming from that a stress on the importance of faith over works, that made Psalm 51 such a key text for Reformers.</w:t>
      </w:r>
      <w:r w:rsidRPr="003037D2">
        <w:rPr>
          <w:rFonts w:ascii="Garamond" w:eastAsia="Calibri" w:hAnsi="Garamond" w:cs="Times New Roman"/>
          <w:vertAlign w:val="superscript"/>
        </w:rPr>
        <w:footnoteReference w:id="332"/>
      </w:r>
      <w:r w:rsidRPr="003037D2">
        <w:rPr>
          <w:rFonts w:ascii="Garamond" w:eastAsia="Calibri" w:hAnsi="Garamond" w:cs="Times New Roman"/>
        </w:rPr>
        <w:t xml:space="preserve"> Foxe’s </w:t>
      </w:r>
      <w:proofErr w:type="spellStart"/>
      <w:r w:rsidRPr="003037D2">
        <w:rPr>
          <w:rFonts w:ascii="Garamond" w:eastAsia="Calibri" w:hAnsi="Garamond" w:cs="Times New Roman"/>
          <w:i/>
        </w:rPr>
        <w:t>Actes</w:t>
      </w:r>
      <w:proofErr w:type="spellEnd"/>
      <w:r w:rsidRPr="003037D2">
        <w:rPr>
          <w:rFonts w:ascii="Garamond" w:eastAsia="Calibri" w:hAnsi="Garamond" w:cs="Times New Roman"/>
          <w:i/>
        </w:rPr>
        <w:t xml:space="preserve"> and Monuments</w:t>
      </w:r>
      <w:r w:rsidRPr="003037D2">
        <w:rPr>
          <w:rFonts w:ascii="Garamond" w:eastAsia="Calibri" w:hAnsi="Garamond" w:cs="Times New Roman"/>
        </w:rPr>
        <w:t xml:space="preserve"> gives many examples of Protestant martyrs reciting it before being executed. Lady Jane Grey is said to have refused the benedictions of a priest at her execution, instead asking the assembled crowds to join her in reciting the </w:t>
      </w:r>
      <w:r w:rsidRPr="003037D2">
        <w:rPr>
          <w:rFonts w:ascii="Garamond" w:eastAsia="Calibri" w:hAnsi="Garamond" w:cs="Times New Roman"/>
          <w:i/>
        </w:rPr>
        <w:t xml:space="preserve">miserere </w:t>
      </w:r>
      <w:proofErr w:type="spellStart"/>
      <w:r w:rsidRPr="003037D2">
        <w:rPr>
          <w:rFonts w:ascii="Garamond" w:eastAsia="Calibri" w:hAnsi="Garamond" w:cs="Times New Roman"/>
          <w:i/>
        </w:rPr>
        <w:t>mei</w:t>
      </w:r>
      <w:proofErr w:type="spellEnd"/>
      <w:r w:rsidRPr="003037D2">
        <w:rPr>
          <w:rFonts w:ascii="Garamond" w:eastAsia="Calibri" w:hAnsi="Garamond" w:cs="Times New Roman"/>
          <w:i/>
        </w:rPr>
        <w:t xml:space="preserve">, </w:t>
      </w:r>
      <w:proofErr w:type="spellStart"/>
      <w:r w:rsidRPr="003037D2">
        <w:rPr>
          <w:rFonts w:ascii="Garamond" w:eastAsia="Calibri" w:hAnsi="Garamond" w:cs="Times New Roman"/>
          <w:i/>
        </w:rPr>
        <w:t>deus</w:t>
      </w:r>
      <w:proofErr w:type="spellEnd"/>
      <w:r w:rsidRPr="003037D2">
        <w:rPr>
          <w:rFonts w:ascii="Garamond" w:eastAsia="Calibri" w:hAnsi="Garamond" w:cs="Times New Roman"/>
          <w:iCs/>
        </w:rPr>
        <w:t>.</w:t>
      </w:r>
      <w:r w:rsidRPr="003037D2">
        <w:rPr>
          <w:rFonts w:ascii="Garamond" w:eastAsia="Calibri" w:hAnsi="Garamond" w:cs="Times New Roman"/>
          <w:iCs/>
          <w:vertAlign w:val="superscript"/>
        </w:rPr>
        <w:footnoteReference w:id="333"/>
      </w:r>
      <w:r w:rsidRPr="003037D2">
        <w:rPr>
          <w:rFonts w:ascii="Garamond" w:eastAsia="Calibri" w:hAnsi="Garamond" w:cs="Times New Roman"/>
          <w:iCs/>
        </w:rPr>
        <w:t xml:space="preserve"> The psalm had a well-known place in recent Protestant history, intimately connected with times of extremis. </w:t>
      </w:r>
    </w:p>
    <w:p w14:paraId="5FA2AB19" w14:textId="77777777" w:rsidR="00162224" w:rsidRPr="003037D2" w:rsidRDefault="00162224" w:rsidP="00162224">
      <w:pPr>
        <w:spacing w:line="360" w:lineRule="auto"/>
        <w:rPr>
          <w:rFonts w:ascii="Garamond" w:eastAsia="Calibri" w:hAnsi="Garamond" w:cs="Times New Roman"/>
          <w:i/>
        </w:rPr>
      </w:pPr>
    </w:p>
    <w:p w14:paraId="7E8ABED0" w14:textId="77777777" w:rsidR="00162224" w:rsidRPr="003037D2" w:rsidRDefault="00162224" w:rsidP="00162224">
      <w:pPr>
        <w:keepNext/>
        <w:keepLines/>
        <w:numPr>
          <w:ilvl w:val="0"/>
          <w:numId w:val="26"/>
        </w:numPr>
        <w:spacing w:before="40" w:line="360" w:lineRule="auto"/>
        <w:outlineLvl w:val="2"/>
        <w:rPr>
          <w:rFonts w:ascii="Garamond" w:eastAsia="Times New Roman" w:hAnsi="Garamond" w:cs="Times New Roman"/>
        </w:rPr>
      </w:pPr>
      <w:bookmarkStart w:id="34" w:name="_Toc3967175"/>
      <w:r w:rsidRPr="003037D2">
        <w:rPr>
          <w:rFonts w:ascii="Garamond" w:eastAsia="Times New Roman" w:hAnsi="Garamond" w:cs="Times New Roman"/>
        </w:rPr>
        <w:t>Anne Lock</w:t>
      </w:r>
      <w:bookmarkEnd w:id="34"/>
      <w:r w:rsidRPr="003037D2">
        <w:rPr>
          <w:rFonts w:ascii="Garamond" w:eastAsia="Times New Roman" w:hAnsi="Garamond" w:cs="Times New Roman"/>
        </w:rPr>
        <w:t xml:space="preserve"> </w:t>
      </w:r>
    </w:p>
    <w:p w14:paraId="2BC71E83" w14:textId="77777777" w:rsidR="00162224" w:rsidRPr="003037D2" w:rsidRDefault="00162224" w:rsidP="00162224">
      <w:pPr>
        <w:spacing w:line="360" w:lineRule="auto"/>
        <w:rPr>
          <w:rFonts w:ascii="Garamond" w:eastAsia="Calibri" w:hAnsi="Garamond" w:cs="Times New Roman"/>
        </w:rPr>
      </w:pPr>
    </w:p>
    <w:p w14:paraId="10EA3F44" w14:textId="72B86E8A" w:rsidR="00162224" w:rsidRPr="003037D2" w:rsidRDefault="00162224" w:rsidP="00162224">
      <w:pPr>
        <w:spacing w:line="360" w:lineRule="auto"/>
        <w:ind w:firstLine="720"/>
        <w:rPr>
          <w:rFonts w:ascii="Garamond" w:eastAsia="Calibri" w:hAnsi="Garamond" w:cs="Times New Roman"/>
          <w:i/>
        </w:rPr>
      </w:pPr>
      <w:r w:rsidRPr="003037D2">
        <w:rPr>
          <w:rFonts w:ascii="Garamond" w:eastAsia="Calibri" w:hAnsi="Garamond" w:cs="Times New Roman"/>
        </w:rPr>
        <w:t>Psalm 51 and the debates surrounding penance would have been well known to Lock as she had grown up in a devoutly Protestant mercantile family.</w:t>
      </w:r>
      <w:r w:rsidRPr="003037D2">
        <w:rPr>
          <w:rFonts w:ascii="Garamond" w:eastAsia="Calibri" w:hAnsi="Garamond" w:cs="Times New Roman"/>
          <w:vertAlign w:val="superscript"/>
        </w:rPr>
        <w:t xml:space="preserve"> </w:t>
      </w:r>
      <w:r w:rsidRPr="003037D2">
        <w:rPr>
          <w:rFonts w:ascii="Garamond" w:eastAsia="Calibri" w:hAnsi="Garamond" w:cs="Times New Roman"/>
          <w:vertAlign w:val="superscript"/>
        </w:rPr>
        <w:footnoteReference w:id="334"/>
      </w:r>
      <w:r w:rsidRPr="003037D2">
        <w:rPr>
          <w:rFonts w:ascii="Garamond" w:eastAsia="Calibri" w:hAnsi="Garamond" w:cs="Times New Roman"/>
        </w:rPr>
        <w:t xml:space="preserve"> Her father, Stephen Vaughan, had close connections to Tyndale, meeting with him on various </w:t>
      </w:r>
      <w:r w:rsidRPr="003037D2">
        <w:rPr>
          <w:rFonts w:ascii="Garamond" w:eastAsia="Calibri" w:hAnsi="Garamond" w:cs="Times New Roman"/>
        </w:rPr>
        <w:lastRenderedPageBreak/>
        <w:t>occasions during his exile and writing letters to Henry VIII in support of his works.</w:t>
      </w:r>
      <w:r w:rsidRPr="003037D2">
        <w:rPr>
          <w:rFonts w:ascii="Garamond" w:eastAsia="Calibri" w:hAnsi="Garamond" w:cs="Times New Roman"/>
          <w:vertAlign w:val="superscript"/>
        </w:rPr>
        <w:footnoteReference w:id="335"/>
      </w:r>
      <w:r w:rsidRPr="003037D2">
        <w:rPr>
          <w:rFonts w:ascii="Garamond" w:eastAsia="Calibri" w:hAnsi="Garamond" w:cs="Times New Roman"/>
        </w:rPr>
        <w:t xml:space="preserve"> Following Lock’s marriage to the mercer Henry Lock she was brought into the company of the Scottish reformer John Knox, who became a close friend and correspondent, lodging with the Loc</w:t>
      </w:r>
      <w:r w:rsidR="00805301" w:rsidRPr="003037D2">
        <w:rPr>
          <w:rFonts w:ascii="Garamond" w:eastAsia="Calibri" w:hAnsi="Garamond" w:cs="Times New Roman"/>
        </w:rPr>
        <w:t>k</w:t>
      </w:r>
      <w:r w:rsidRPr="003037D2">
        <w:rPr>
          <w:rFonts w:ascii="Garamond" w:eastAsia="Calibri" w:hAnsi="Garamond" w:cs="Times New Roman"/>
        </w:rPr>
        <w:t>s several times in the 1550s. When Knox fled to Geneva in the wake of a spate of executions, fearing for his life after attacking Mary in print, he wrote to Lock. He encouraged her to ‘</w:t>
      </w:r>
      <w:proofErr w:type="spellStart"/>
      <w:r w:rsidRPr="003037D2">
        <w:rPr>
          <w:rFonts w:ascii="Garamond" w:eastAsia="Calibri" w:hAnsi="Garamond" w:cs="Times New Roman"/>
        </w:rPr>
        <w:t>leif</w:t>
      </w:r>
      <w:proofErr w:type="spellEnd"/>
      <w:r w:rsidRPr="003037D2">
        <w:rPr>
          <w:rFonts w:ascii="Garamond" w:eastAsia="Calibri" w:hAnsi="Garamond" w:cs="Times New Roman"/>
        </w:rPr>
        <w:t xml:space="preserve"> [her] native country’ and join him in the ‘the </w:t>
      </w:r>
      <w:proofErr w:type="spellStart"/>
      <w:r w:rsidRPr="003037D2">
        <w:rPr>
          <w:rFonts w:ascii="Garamond" w:eastAsia="Calibri" w:hAnsi="Garamond" w:cs="Times New Roman"/>
        </w:rPr>
        <w:t>maist</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perfyt</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schoole</w:t>
      </w:r>
      <w:proofErr w:type="spellEnd"/>
      <w:r w:rsidRPr="003037D2">
        <w:rPr>
          <w:rFonts w:ascii="Garamond" w:eastAsia="Calibri" w:hAnsi="Garamond" w:cs="Times New Roman"/>
        </w:rPr>
        <w:t xml:space="preserve"> of </w:t>
      </w:r>
      <w:proofErr w:type="spellStart"/>
      <w:r w:rsidRPr="003037D2">
        <w:rPr>
          <w:rFonts w:ascii="Garamond" w:eastAsia="Calibri" w:hAnsi="Garamond" w:cs="Times New Roman"/>
        </w:rPr>
        <w:t>Chryst</w:t>
      </w:r>
      <w:proofErr w:type="spellEnd"/>
      <w:r w:rsidRPr="003037D2">
        <w:rPr>
          <w:rFonts w:ascii="Garamond" w:eastAsia="Calibri" w:hAnsi="Garamond" w:cs="Times New Roman"/>
        </w:rPr>
        <w:t xml:space="preserve"> that ever was in the </w:t>
      </w:r>
      <w:proofErr w:type="spellStart"/>
      <w:r w:rsidRPr="003037D2">
        <w:rPr>
          <w:rFonts w:ascii="Garamond" w:eastAsia="Calibri" w:hAnsi="Garamond" w:cs="Times New Roman"/>
        </w:rPr>
        <w:t>erth</w:t>
      </w:r>
      <w:proofErr w:type="spellEnd"/>
      <w:r w:rsidRPr="003037D2">
        <w:rPr>
          <w:rFonts w:ascii="Garamond" w:eastAsia="Calibri" w:hAnsi="Garamond" w:cs="Times New Roman"/>
        </w:rPr>
        <w:t xml:space="preserve"> since the </w:t>
      </w:r>
      <w:proofErr w:type="spellStart"/>
      <w:r w:rsidRPr="003037D2">
        <w:rPr>
          <w:rFonts w:ascii="Garamond" w:eastAsia="Calibri" w:hAnsi="Garamond" w:cs="Times New Roman"/>
        </w:rPr>
        <w:t>dayis</w:t>
      </w:r>
      <w:proofErr w:type="spellEnd"/>
      <w:r w:rsidRPr="003037D2">
        <w:rPr>
          <w:rFonts w:ascii="Garamond" w:eastAsia="Calibri" w:hAnsi="Garamond" w:cs="Times New Roman"/>
        </w:rPr>
        <w:t xml:space="preserve"> of the </w:t>
      </w:r>
      <w:proofErr w:type="spellStart"/>
      <w:r w:rsidRPr="003037D2">
        <w:rPr>
          <w:rFonts w:ascii="Garamond" w:eastAsia="Calibri" w:hAnsi="Garamond" w:cs="Times New Roman"/>
        </w:rPr>
        <w:t>Apostillis</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336"/>
      </w:r>
      <w:r w:rsidRPr="003037D2">
        <w:rPr>
          <w:rFonts w:ascii="Garamond" w:eastAsia="Calibri" w:hAnsi="Garamond" w:cs="Times New Roman"/>
        </w:rPr>
        <w:t xml:space="preserve"> He feared for both her physical safety and her moral state in a country filled with ‘proud, obstinate, and abominable idolaters’.</w:t>
      </w:r>
      <w:r w:rsidRPr="003037D2">
        <w:rPr>
          <w:rFonts w:ascii="Garamond" w:eastAsia="Calibri" w:hAnsi="Garamond" w:cs="Times New Roman"/>
          <w:vertAlign w:val="superscript"/>
        </w:rPr>
        <w:t xml:space="preserve"> </w:t>
      </w:r>
      <w:r w:rsidRPr="003037D2">
        <w:rPr>
          <w:rFonts w:ascii="Garamond" w:eastAsia="Calibri" w:hAnsi="Garamond" w:cs="Times New Roman"/>
          <w:vertAlign w:val="superscript"/>
        </w:rPr>
        <w:footnoteReference w:id="337"/>
      </w:r>
      <w:r w:rsidRPr="003037D2">
        <w:rPr>
          <w:rFonts w:ascii="Garamond" w:eastAsia="Calibri" w:hAnsi="Garamond" w:cs="Times New Roman"/>
        </w:rPr>
        <w:t xml:space="preserve"> Lock heeded his </w:t>
      </w:r>
      <w:proofErr w:type="gramStart"/>
      <w:r w:rsidRPr="003037D2">
        <w:rPr>
          <w:rFonts w:ascii="Garamond" w:eastAsia="Calibri" w:hAnsi="Garamond" w:cs="Times New Roman"/>
        </w:rPr>
        <w:t>advice, and</w:t>
      </w:r>
      <w:proofErr w:type="gramEnd"/>
      <w:r w:rsidRPr="003037D2">
        <w:rPr>
          <w:rFonts w:ascii="Garamond" w:eastAsia="Calibri" w:hAnsi="Garamond" w:cs="Times New Roman"/>
        </w:rPr>
        <w:t xml:space="preserve"> arrived in Geneva on 8</w:t>
      </w:r>
      <w:r w:rsidRPr="003037D2">
        <w:rPr>
          <w:rFonts w:ascii="Garamond" w:eastAsia="Calibri" w:hAnsi="Garamond" w:cs="Times New Roman"/>
          <w:vertAlign w:val="superscript"/>
        </w:rPr>
        <w:t>th</w:t>
      </w:r>
      <w:r w:rsidRPr="003037D2">
        <w:rPr>
          <w:rFonts w:ascii="Garamond" w:eastAsia="Calibri" w:hAnsi="Garamond" w:cs="Times New Roman"/>
        </w:rPr>
        <w:t xml:space="preserve"> May 1557 with her two children, having left her husband behind in London. Lock’s journey to Geneva was an ordeal in itself, and her infant daughter died four days after they arrived in Switzerland.</w:t>
      </w:r>
      <w:r w:rsidRPr="003037D2">
        <w:rPr>
          <w:rFonts w:ascii="Garamond" w:eastAsia="Calibri" w:hAnsi="Garamond" w:cs="Times New Roman"/>
          <w:vertAlign w:val="superscript"/>
        </w:rPr>
        <w:footnoteReference w:id="338"/>
      </w:r>
      <w:r w:rsidRPr="003037D2">
        <w:rPr>
          <w:rFonts w:ascii="Garamond" w:eastAsia="Calibri" w:hAnsi="Garamond" w:cs="Times New Roman"/>
        </w:rPr>
        <w:t xml:space="preserve"> Lock would stay in Geneva for two years, becoming closely involved in Calvin’s mission during her time there.</w:t>
      </w:r>
      <w:r w:rsidRPr="003037D2">
        <w:rPr>
          <w:rFonts w:ascii="Garamond" w:eastAsia="Calibri" w:hAnsi="Garamond" w:cs="Times New Roman"/>
          <w:vertAlign w:val="superscript"/>
        </w:rPr>
        <w:footnoteReference w:id="339"/>
      </w:r>
      <w:r w:rsidRPr="003037D2">
        <w:rPr>
          <w:rFonts w:ascii="Garamond" w:eastAsia="Calibri" w:hAnsi="Garamond" w:cs="Times New Roman"/>
        </w:rPr>
        <w:t xml:space="preserve"> She had been taught from a young age by tutors proficient in Latin, Greek, and French, and now used these skills to work on a series of translations.</w:t>
      </w:r>
      <w:r w:rsidRPr="003037D2">
        <w:rPr>
          <w:rFonts w:ascii="Garamond" w:eastAsia="Calibri" w:hAnsi="Garamond" w:cs="Times New Roman"/>
          <w:vertAlign w:val="superscript"/>
        </w:rPr>
        <w:footnoteReference w:id="340"/>
      </w:r>
      <w:r w:rsidRPr="003037D2">
        <w:rPr>
          <w:rFonts w:ascii="Garamond" w:eastAsia="Calibri" w:hAnsi="Garamond" w:cs="Times New Roman"/>
        </w:rPr>
        <w:t xml:space="preserve"> Many of Lock’s achievements have gone largely unrecognized by literary historians; she produced the first English translations of Calvin’s sermons and the first sonnet sequence published in English, feats that would likely have earned a man a more prominent place in the canon.</w:t>
      </w:r>
      <w:r w:rsidRPr="003037D2">
        <w:rPr>
          <w:rFonts w:ascii="Garamond" w:eastAsia="Calibri" w:hAnsi="Garamond" w:cs="Times New Roman"/>
          <w:vertAlign w:val="superscript"/>
        </w:rPr>
        <w:footnoteReference w:id="341"/>
      </w:r>
      <w:r w:rsidRPr="003037D2">
        <w:rPr>
          <w:rFonts w:ascii="Garamond" w:eastAsia="Calibri" w:hAnsi="Garamond" w:cs="Times New Roman"/>
        </w:rPr>
        <w:t xml:space="preserve"> Despite Lock’s marginal position in criticism today, her religious connections and position within the London mercantile class made her a powerful character in </w:t>
      </w:r>
      <w:r w:rsidRPr="003037D2">
        <w:rPr>
          <w:rFonts w:ascii="Garamond" w:eastAsia="Calibri" w:hAnsi="Garamond" w:cs="Times New Roman"/>
        </w:rPr>
        <w:lastRenderedPageBreak/>
        <w:t>Elizabethan England.</w:t>
      </w:r>
      <w:r w:rsidRPr="003037D2">
        <w:rPr>
          <w:rFonts w:ascii="Garamond" w:eastAsia="Calibri" w:hAnsi="Garamond" w:cs="Times New Roman"/>
          <w:vertAlign w:val="superscript"/>
        </w:rPr>
        <w:footnoteReference w:id="342"/>
      </w:r>
      <w:r w:rsidRPr="003037D2">
        <w:rPr>
          <w:rFonts w:ascii="Garamond" w:eastAsia="Calibri" w:hAnsi="Garamond" w:cs="Times New Roman"/>
        </w:rPr>
        <w:t xml:space="preserve"> Lock merits greater attention as an author, as her writings both reflected and shaped contemporary Protestant concerns. </w:t>
      </w:r>
      <w:r w:rsidRPr="003037D2">
        <w:rPr>
          <w:rFonts w:ascii="Garamond" w:eastAsia="Calibri" w:hAnsi="Garamond" w:cs="Times New Roman"/>
          <w:i/>
        </w:rPr>
        <w:t xml:space="preserve"> </w:t>
      </w:r>
    </w:p>
    <w:p w14:paraId="0589C59C" w14:textId="77777777" w:rsidR="00162224" w:rsidRPr="003037D2" w:rsidRDefault="00162224" w:rsidP="00162224">
      <w:pPr>
        <w:spacing w:line="360" w:lineRule="auto"/>
        <w:ind w:firstLine="720"/>
        <w:rPr>
          <w:rFonts w:ascii="Garamond" w:eastAsia="Calibri" w:hAnsi="Garamond" w:cs="Times New Roman"/>
        </w:rPr>
      </w:pPr>
    </w:p>
    <w:p w14:paraId="116EA41A" w14:textId="77777777"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Lock’s sonnet sequence, ‘A Meditation of a Penitent Sinner: Written in Manner of a Paraphrase upon the 51. Psalm of David’ links together twenty-six sonnets.</w:t>
      </w:r>
      <w:r w:rsidRPr="003037D2">
        <w:rPr>
          <w:rFonts w:ascii="Garamond" w:eastAsia="Calibri" w:hAnsi="Garamond" w:cs="Times New Roman"/>
          <w:vertAlign w:val="superscript"/>
        </w:rPr>
        <w:footnoteReference w:id="343"/>
      </w:r>
      <w:r w:rsidRPr="003037D2">
        <w:rPr>
          <w:rFonts w:ascii="Garamond" w:eastAsia="Calibri" w:hAnsi="Garamond" w:cs="Times New Roman"/>
        </w:rPr>
        <w:t xml:space="preserve"> Five introductory sonnets act as a ‘preface’ introducing the ‘passioned </w:t>
      </w:r>
      <w:proofErr w:type="spellStart"/>
      <w:r w:rsidRPr="003037D2">
        <w:rPr>
          <w:rFonts w:ascii="Garamond" w:eastAsia="Calibri" w:hAnsi="Garamond" w:cs="Times New Roman"/>
        </w:rPr>
        <w:t>minde</w:t>
      </w:r>
      <w:proofErr w:type="spellEnd"/>
      <w:r w:rsidRPr="003037D2">
        <w:rPr>
          <w:rFonts w:ascii="Garamond" w:eastAsia="Calibri" w:hAnsi="Garamond" w:cs="Times New Roman"/>
        </w:rPr>
        <w:t xml:space="preserve"> of the penitent sinner’. The main body of the meditation consists of twenty-one sonnets, each of which is printed alongside a line of a prose translation of Psalm 51. Susan </w:t>
      </w:r>
      <w:proofErr w:type="spellStart"/>
      <w:r w:rsidRPr="003037D2">
        <w:rPr>
          <w:rFonts w:ascii="Garamond" w:eastAsia="Calibri" w:hAnsi="Garamond" w:cs="Times New Roman"/>
        </w:rPr>
        <w:t>Felch</w:t>
      </w:r>
      <w:proofErr w:type="spellEnd"/>
      <w:r w:rsidRPr="003037D2">
        <w:rPr>
          <w:rFonts w:ascii="Garamond" w:eastAsia="Calibri" w:hAnsi="Garamond" w:cs="Times New Roman"/>
        </w:rPr>
        <w:t xml:space="preserve"> has demonstrated that this marginal psalm has no exact match in any other extant translations, although nearly every phrase has a counterpoint in an English translation printed before 1560.</w:t>
      </w:r>
      <w:r w:rsidRPr="003037D2">
        <w:rPr>
          <w:rFonts w:ascii="Garamond" w:eastAsia="Calibri" w:hAnsi="Garamond" w:cs="Times New Roman"/>
          <w:vertAlign w:val="superscript"/>
        </w:rPr>
        <w:footnoteReference w:id="344"/>
      </w:r>
      <w:r w:rsidRPr="003037D2">
        <w:rPr>
          <w:rFonts w:ascii="Garamond" w:eastAsia="Calibri" w:hAnsi="Garamond" w:cs="Times New Roman"/>
        </w:rPr>
        <w:t xml:space="preserve"> </w:t>
      </w:r>
      <w:proofErr w:type="spellStart"/>
      <w:r w:rsidRPr="003037D2">
        <w:rPr>
          <w:rFonts w:ascii="Garamond" w:eastAsia="Calibri" w:hAnsi="Garamond" w:cs="Times New Roman"/>
        </w:rPr>
        <w:t>Kel</w:t>
      </w:r>
      <w:proofErr w:type="spellEnd"/>
      <w:r w:rsidRPr="003037D2">
        <w:rPr>
          <w:rFonts w:ascii="Garamond" w:eastAsia="Calibri" w:hAnsi="Garamond" w:cs="Times New Roman"/>
        </w:rPr>
        <w:t xml:space="preserve"> Morin Parsons describes Lock’s marginal notes as ‘</w:t>
      </w:r>
      <w:proofErr w:type="spellStart"/>
      <w:r w:rsidRPr="003037D2">
        <w:rPr>
          <w:rFonts w:ascii="Garamond" w:eastAsia="Calibri" w:hAnsi="Garamond" w:cs="Times New Roman"/>
        </w:rPr>
        <w:t>psalmic</w:t>
      </w:r>
      <w:proofErr w:type="spellEnd"/>
      <w:r w:rsidRPr="003037D2">
        <w:rPr>
          <w:rFonts w:ascii="Garamond" w:eastAsia="Calibri" w:hAnsi="Garamond" w:cs="Times New Roman"/>
        </w:rPr>
        <w:t xml:space="preserve"> </w:t>
      </w:r>
      <w:proofErr w:type="gramStart"/>
      <w:r w:rsidRPr="003037D2">
        <w:rPr>
          <w:rFonts w:ascii="Garamond" w:eastAsia="Calibri" w:hAnsi="Garamond" w:cs="Times New Roman"/>
        </w:rPr>
        <w:t>glosses’</w:t>
      </w:r>
      <w:proofErr w:type="gramEnd"/>
      <w:r w:rsidRPr="003037D2">
        <w:rPr>
          <w:rFonts w:ascii="Garamond" w:eastAsia="Calibri" w:hAnsi="Garamond" w:cs="Times New Roman"/>
        </w:rPr>
        <w:t>. However, it is more accurate to treat the sonnets themselves as a gloss to the psalm.</w:t>
      </w:r>
      <w:r w:rsidRPr="003037D2">
        <w:rPr>
          <w:rFonts w:ascii="Garamond" w:eastAsia="Calibri" w:hAnsi="Garamond" w:cs="Times New Roman"/>
          <w:vertAlign w:val="superscript"/>
        </w:rPr>
        <w:footnoteReference w:id="345"/>
      </w:r>
      <w:r w:rsidRPr="003037D2">
        <w:rPr>
          <w:rFonts w:ascii="Garamond" w:eastAsia="Calibri" w:hAnsi="Garamond" w:cs="Times New Roman"/>
        </w:rPr>
        <w:t xml:space="preserve"> They expand on the psalm, riffing around key terms in the verses, as seen in the first sonnet of the main sequence. </w:t>
      </w:r>
    </w:p>
    <w:tbl>
      <w:tblPr>
        <w:tblW w:w="4972" w:type="pct"/>
        <w:tblCellSpacing w:w="15" w:type="dxa"/>
        <w:tblInd w:w="1102" w:type="dxa"/>
        <w:tblCellMar>
          <w:top w:w="90" w:type="dxa"/>
          <w:left w:w="90" w:type="dxa"/>
          <w:bottom w:w="90" w:type="dxa"/>
          <w:right w:w="90" w:type="dxa"/>
        </w:tblCellMar>
        <w:tblLook w:val="04A0" w:firstRow="1" w:lastRow="0" w:firstColumn="1" w:lastColumn="0" w:noHBand="0" w:noVBand="1"/>
      </w:tblPr>
      <w:tblGrid>
        <w:gridCol w:w="1415"/>
        <w:gridCol w:w="6714"/>
      </w:tblGrid>
      <w:tr w:rsidR="00162224" w:rsidRPr="003037D2" w14:paraId="5681C281" w14:textId="77777777" w:rsidTr="00162224">
        <w:trPr>
          <w:trHeight w:val="3805"/>
          <w:tblCellSpacing w:w="15" w:type="dxa"/>
        </w:trPr>
        <w:tc>
          <w:tcPr>
            <w:tcW w:w="852" w:type="pct"/>
            <w:hideMark/>
          </w:tcPr>
          <w:p w14:paraId="5C9A3649" w14:textId="77777777" w:rsidR="00162224" w:rsidRPr="003037D2" w:rsidRDefault="00162224" w:rsidP="00162224">
            <w:pPr>
              <w:rPr>
                <w:rFonts w:ascii="Garamond" w:eastAsia="Times New Roman" w:hAnsi="Garamond" w:cs="Times New Roman"/>
              </w:rPr>
            </w:pPr>
            <w:r w:rsidRPr="003037D2">
              <w:rPr>
                <w:rFonts w:ascii="Garamond" w:eastAsia="Times New Roman" w:hAnsi="Garamond" w:cs="Times New Roman"/>
                <w:i/>
                <w:iCs/>
              </w:rPr>
              <w:t xml:space="preserve">Have </w:t>
            </w:r>
            <w:proofErr w:type="spellStart"/>
            <w:r w:rsidRPr="003037D2">
              <w:rPr>
                <w:rFonts w:ascii="Garamond" w:eastAsia="Times New Roman" w:hAnsi="Garamond" w:cs="Times New Roman"/>
                <w:i/>
                <w:iCs/>
              </w:rPr>
              <w:t>mercie</w:t>
            </w:r>
            <w:proofErr w:type="spellEnd"/>
            <w:r w:rsidRPr="003037D2">
              <w:rPr>
                <w:rFonts w:ascii="Garamond" w:eastAsia="Times New Roman" w:hAnsi="Garamond" w:cs="Times New Roman"/>
                <w:i/>
                <w:iCs/>
              </w:rPr>
              <w:t xml:space="preserve"> upon me (o God) after thy great </w:t>
            </w:r>
            <w:proofErr w:type="spellStart"/>
            <w:r w:rsidRPr="003037D2">
              <w:rPr>
                <w:rFonts w:ascii="Garamond" w:eastAsia="Times New Roman" w:hAnsi="Garamond" w:cs="Times New Roman"/>
                <w:i/>
                <w:iCs/>
              </w:rPr>
              <w:t>mercie</w:t>
            </w:r>
            <w:proofErr w:type="spellEnd"/>
            <w:r w:rsidRPr="003037D2">
              <w:rPr>
                <w:rFonts w:ascii="Garamond" w:eastAsia="Times New Roman" w:hAnsi="Garamond" w:cs="Times New Roman"/>
              </w:rPr>
              <w:t xml:space="preserve"> </w:t>
            </w:r>
          </w:p>
        </w:tc>
        <w:tc>
          <w:tcPr>
            <w:tcW w:w="0" w:type="auto"/>
            <w:hideMark/>
          </w:tcPr>
          <w:p w14:paraId="022907DB" w14:textId="77777777" w:rsidR="00162224" w:rsidRDefault="00162224" w:rsidP="00162224">
            <w:pPr>
              <w:rPr>
                <w:rFonts w:ascii="Garamond" w:eastAsia="Times New Roman" w:hAnsi="Garamond" w:cs="Times New Roman"/>
              </w:rPr>
            </w:pPr>
            <w:r w:rsidRPr="003037D2">
              <w:rPr>
                <w:rFonts w:ascii="Garamond" w:eastAsia="Times New Roman" w:hAnsi="Garamond" w:cs="Times New Roman"/>
              </w:rPr>
              <w:t>Have mercy, God, for thy great mercies sake.</w:t>
            </w:r>
            <w:r w:rsidRPr="003037D2">
              <w:rPr>
                <w:rFonts w:ascii="Garamond" w:eastAsia="Times New Roman" w:hAnsi="Garamond" w:cs="Times New Roman"/>
              </w:rPr>
              <w:br/>
              <w:t>O God: my God, unto my shame I say,</w:t>
            </w:r>
            <w:r w:rsidRPr="003037D2">
              <w:rPr>
                <w:rFonts w:ascii="Garamond" w:eastAsia="Times New Roman" w:hAnsi="Garamond" w:cs="Times New Roman"/>
              </w:rPr>
              <w:br/>
            </w:r>
            <w:proofErr w:type="spellStart"/>
            <w:r w:rsidRPr="003037D2">
              <w:rPr>
                <w:rFonts w:ascii="Garamond" w:eastAsia="Times New Roman" w:hAnsi="Garamond" w:cs="Times New Roman"/>
              </w:rPr>
              <w:t>Beynge</w:t>
            </w:r>
            <w:proofErr w:type="spellEnd"/>
            <w:r w:rsidRPr="003037D2">
              <w:rPr>
                <w:rFonts w:ascii="Garamond" w:eastAsia="Times New Roman" w:hAnsi="Garamond" w:cs="Times New Roman"/>
              </w:rPr>
              <w:t xml:space="preserve"> fled from thee, so as I </w:t>
            </w:r>
            <w:proofErr w:type="spellStart"/>
            <w:r w:rsidRPr="003037D2">
              <w:rPr>
                <w:rFonts w:ascii="Garamond" w:eastAsia="Times New Roman" w:hAnsi="Garamond" w:cs="Times New Roman"/>
              </w:rPr>
              <w:t>dred</w:t>
            </w:r>
            <w:proofErr w:type="spellEnd"/>
            <w:r w:rsidRPr="003037D2">
              <w:rPr>
                <w:rFonts w:ascii="Garamond" w:eastAsia="Times New Roman" w:hAnsi="Garamond" w:cs="Times New Roman"/>
              </w:rPr>
              <w:t xml:space="preserve"> to take</w:t>
            </w:r>
            <w:r w:rsidRPr="003037D2">
              <w:rPr>
                <w:rFonts w:ascii="Garamond" w:eastAsia="Times New Roman" w:hAnsi="Garamond" w:cs="Times New Roman"/>
              </w:rPr>
              <w:br/>
              <w:t xml:space="preserve">Thy name in wretched mouth, and </w:t>
            </w:r>
            <w:proofErr w:type="spellStart"/>
            <w:r w:rsidRPr="003037D2">
              <w:rPr>
                <w:rFonts w:ascii="Garamond" w:eastAsia="Times New Roman" w:hAnsi="Garamond" w:cs="Times New Roman"/>
              </w:rPr>
              <w:t>feare</w:t>
            </w:r>
            <w:proofErr w:type="spellEnd"/>
            <w:r w:rsidRPr="003037D2">
              <w:rPr>
                <w:rFonts w:ascii="Garamond" w:eastAsia="Times New Roman" w:hAnsi="Garamond" w:cs="Times New Roman"/>
              </w:rPr>
              <w:t xml:space="preserve"> to pray</w:t>
            </w:r>
            <w:r w:rsidRPr="003037D2">
              <w:rPr>
                <w:rFonts w:ascii="Garamond" w:eastAsia="Times New Roman" w:hAnsi="Garamond" w:cs="Times New Roman"/>
              </w:rPr>
              <w:br/>
              <w:t xml:space="preserve">Or aske the mercy that I have </w:t>
            </w:r>
            <w:proofErr w:type="spellStart"/>
            <w:r w:rsidRPr="003037D2">
              <w:rPr>
                <w:rFonts w:ascii="Garamond" w:eastAsia="Times New Roman" w:hAnsi="Garamond" w:cs="Times New Roman"/>
              </w:rPr>
              <w:t>abusde</w:t>
            </w:r>
            <w:proofErr w:type="spellEnd"/>
            <w:r w:rsidRPr="003037D2">
              <w:rPr>
                <w:rFonts w:ascii="Garamond" w:eastAsia="Times New Roman" w:hAnsi="Garamond" w:cs="Times New Roman"/>
              </w:rPr>
              <w:t>.</w:t>
            </w:r>
            <w:r w:rsidRPr="003037D2">
              <w:rPr>
                <w:rFonts w:ascii="Garamond" w:eastAsia="Times New Roman" w:hAnsi="Garamond" w:cs="Times New Roman"/>
              </w:rPr>
              <w:br/>
              <w:t>But, God of mercy, let me come to thee:</w:t>
            </w:r>
            <w:r w:rsidRPr="003037D2">
              <w:rPr>
                <w:rFonts w:ascii="Garamond" w:eastAsia="Times New Roman" w:hAnsi="Garamond" w:cs="Times New Roman"/>
              </w:rPr>
              <w:br/>
              <w:t xml:space="preserve">Not for justice, that justly am </w:t>
            </w:r>
            <w:proofErr w:type="spellStart"/>
            <w:r w:rsidRPr="003037D2">
              <w:rPr>
                <w:rFonts w:ascii="Garamond" w:eastAsia="Times New Roman" w:hAnsi="Garamond" w:cs="Times New Roman"/>
              </w:rPr>
              <w:t>accusde</w:t>
            </w:r>
            <w:proofErr w:type="spellEnd"/>
            <w:r w:rsidRPr="003037D2">
              <w:rPr>
                <w:rFonts w:ascii="Garamond" w:eastAsia="Times New Roman" w:hAnsi="Garamond" w:cs="Times New Roman"/>
              </w:rPr>
              <w:t>:</w:t>
            </w:r>
            <w:r w:rsidRPr="003037D2">
              <w:rPr>
                <w:rFonts w:ascii="Garamond" w:eastAsia="Times New Roman" w:hAnsi="Garamond" w:cs="Times New Roman"/>
              </w:rPr>
              <w:br/>
              <w:t xml:space="preserve">Which </w:t>
            </w:r>
            <w:proofErr w:type="spellStart"/>
            <w:r w:rsidRPr="003037D2">
              <w:rPr>
                <w:rFonts w:ascii="Garamond" w:eastAsia="Times New Roman" w:hAnsi="Garamond" w:cs="Times New Roman"/>
              </w:rPr>
              <w:t>selfe</w:t>
            </w:r>
            <w:proofErr w:type="spellEnd"/>
            <w:r w:rsidRPr="003037D2">
              <w:rPr>
                <w:rFonts w:ascii="Garamond" w:eastAsia="Times New Roman" w:hAnsi="Garamond" w:cs="Times New Roman"/>
              </w:rPr>
              <w:t xml:space="preserve"> word Justice so </w:t>
            </w:r>
            <w:proofErr w:type="spellStart"/>
            <w:r w:rsidRPr="003037D2">
              <w:rPr>
                <w:rFonts w:ascii="Garamond" w:eastAsia="Times New Roman" w:hAnsi="Garamond" w:cs="Times New Roman"/>
              </w:rPr>
              <w:t>amaseth</w:t>
            </w:r>
            <w:proofErr w:type="spellEnd"/>
            <w:r w:rsidRPr="003037D2">
              <w:rPr>
                <w:rFonts w:ascii="Garamond" w:eastAsia="Times New Roman" w:hAnsi="Garamond" w:cs="Times New Roman"/>
              </w:rPr>
              <w:t xml:space="preserve"> me,</w:t>
            </w:r>
            <w:r w:rsidRPr="003037D2">
              <w:rPr>
                <w:rFonts w:ascii="Garamond" w:eastAsia="Times New Roman" w:hAnsi="Garamond" w:cs="Times New Roman"/>
              </w:rPr>
              <w:br/>
              <w:t xml:space="preserve">That scarce I dare thy mercy sound </w:t>
            </w:r>
            <w:proofErr w:type="spellStart"/>
            <w:r w:rsidRPr="003037D2">
              <w:rPr>
                <w:rFonts w:ascii="Garamond" w:eastAsia="Times New Roman" w:hAnsi="Garamond" w:cs="Times New Roman"/>
              </w:rPr>
              <w:t>againe</w:t>
            </w:r>
            <w:proofErr w:type="spellEnd"/>
            <w:r w:rsidRPr="003037D2">
              <w:rPr>
                <w:rFonts w:ascii="Garamond" w:eastAsia="Times New Roman" w:hAnsi="Garamond" w:cs="Times New Roman"/>
              </w:rPr>
              <w:t>.</w:t>
            </w:r>
            <w:r w:rsidRPr="003037D2">
              <w:rPr>
                <w:rFonts w:ascii="Garamond" w:eastAsia="Times New Roman" w:hAnsi="Garamond" w:cs="Times New Roman"/>
              </w:rPr>
              <w:br/>
              <w:t xml:space="preserve">But </w:t>
            </w:r>
            <w:proofErr w:type="spellStart"/>
            <w:r w:rsidRPr="003037D2">
              <w:rPr>
                <w:rFonts w:ascii="Garamond" w:eastAsia="Times New Roman" w:hAnsi="Garamond" w:cs="Times New Roman"/>
              </w:rPr>
              <w:t>mercie</w:t>
            </w:r>
            <w:proofErr w:type="spellEnd"/>
            <w:r w:rsidRPr="003037D2">
              <w:rPr>
                <w:rFonts w:ascii="Garamond" w:eastAsia="Times New Roman" w:hAnsi="Garamond" w:cs="Times New Roman"/>
              </w:rPr>
              <w:t>, Lord, yet suffer me to crave.</w:t>
            </w:r>
            <w:r w:rsidRPr="003037D2">
              <w:rPr>
                <w:rFonts w:ascii="Garamond" w:eastAsia="Times New Roman" w:hAnsi="Garamond" w:cs="Times New Roman"/>
              </w:rPr>
              <w:br/>
            </w:r>
            <w:proofErr w:type="spellStart"/>
            <w:r w:rsidRPr="003037D2">
              <w:rPr>
                <w:rFonts w:ascii="Garamond" w:eastAsia="Times New Roman" w:hAnsi="Garamond" w:cs="Times New Roman"/>
              </w:rPr>
              <w:t>Mercie</w:t>
            </w:r>
            <w:proofErr w:type="spellEnd"/>
            <w:r w:rsidRPr="003037D2">
              <w:rPr>
                <w:rFonts w:ascii="Garamond" w:eastAsia="Times New Roman" w:hAnsi="Garamond" w:cs="Times New Roman"/>
              </w:rPr>
              <w:t xml:space="preserve"> is thine: Let me not </w:t>
            </w:r>
            <w:proofErr w:type="spellStart"/>
            <w:r w:rsidRPr="003037D2">
              <w:rPr>
                <w:rFonts w:ascii="Garamond" w:eastAsia="Times New Roman" w:hAnsi="Garamond" w:cs="Times New Roman"/>
              </w:rPr>
              <w:t>crye</w:t>
            </w:r>
            <w:proofErr w:type="spellEnd"/>
            <w:r w:rsidRPr="003037D2">
              <w:rPr>
                <w:rFonts w:ascii="Garamond" w:eastAsia="Times New Roman" w:hAnsi="Garamond" w:cs="Times New Roman"/>
              </w:rPr>
              <w:t xml:space="preserve"> in </w:t>
            </w:r>
            <w:proofErr w:type="spellStart"/>
            <w:r w:rsidRPr="003037D2">
              <w:rPr>
                <w:rFonts w:ascii="Garamond" w:eastAsia="Times New Roman" w:hAnsi="Garamond" w:cs="Times New Roman"/>
              </w:rPr>
              <w:t>vaine</w:t>
            </w:r>
            <w:proofErr w:type="spellEnd"/>
            <w:r w:rsidRPr="003037D2">
              <w:rPr>
                <w:rFonts w:ascii="Garamond" w:eastAsia="Times New Roman" w:hAnsi="Garamond" w:cs="Times New Roman"/>
              </w:rPr>
              <w:t>,</w:t>
            </w:r>
            <w:r w:rsidRPr="003037D2">
              <w:rPr>
                <w:rFonts w:ascii="Garamond" w:eastAsia="Times New Roman" w:hAnsi="Garamond" w:cs="Times New Roman"/>
              </w:rPr>
              <w:br/>
              <w:t xml:space="preserve">Thy great </w:t>
            </w:r>
            <w:proofErr w:type="spellStart"/>
            <w:r w:rsidRPr="003037D2">
              <w:rPr>
                <w:rFonts w:ascii="Garamond" w:eastAsia="Times New Roman" w:hAnsi="Garamond" w:cs="Times New Roman"/>
              </w:rPr>
              <w:t>mercie</w:t>
            </w:r>
            <w:proofErr w:type="spellEnd"/>
            <w:r w:rsidRPr="003037D2">
              <w:rPr>
                <w:rFonts w:ascii="Garamond" w:eastAsia="Times New Roman" w:hAnsi="Garamond" w:cs="Times New Roman"/>
              </w:rPr>
              <w:t xml:space="preserve"> for my great fault to have.</w:t>
            </w:r>
            <w:r w:rsidRPr="003037D2">
              <w:rPr>
                <w:rFonts w:ascii="Garamond" w:eastAsia="Times New Roman" w:hAnsi="Garamond" w:cs="Times New Roman"/>
              </w:rPr>
              <w:br/>
              <w:t xml:space="preserve">Have </w:t>
            </w:r>
            <w:proofErr w:type="spellStart"/>
            <w:r w:rsidRPr="003037D2">
              <w:rPr>
                <w:rFonts w:ascii="Garamond" w:eastAsia="Times New Roman" w:hAnsi="Garamond" w:cs="Times New Roman"/>
              </w:rPr>
              <w:t>mercie</w:t>
            </w:r>
            <w:proofErr w:type="spellEnd"/>
            <w:r w:rsidRPr="003037D2">
              <w:rPr>
                <w:rFonts w:ascii="Garamond" w:eastAsia="Times New Roman" w:hAnsi="Garamond" w:cs="Times New Roman"/>
              </w:rPr>
              <w:t xml:space="preserve">, God, </w:t>
            </w:r>
            <w:proofErr w:type="spellStart"/>
            <w:r w:rsidRPr="003037D2">
              <w:rPr>
                <w:rFonts w:ascii="Garamond" w:eastAsia="Times New Roman" w:hAnsi="Garamond" w:cs="Times New Roman"/>
              </w:rPr>
              <w:t>pitie</w:t>
            </w:r>
            <w:proofErr w:type="spellEnd"/>
            <w:r w:rsidRPr="003037D2">
              <w:rPr>
                <w:rFonts w:ascii="Garamond" w:eastAsia="Times New Roman" w:hAnsi="Garamond" w:cs="Times New Roman"/>
              </w:rPr>
              <w:t xml:space="preserve"> my penitence</w:t>
            </w:r>
            <w:r w:rsidRPr="003037D2">
              <w:rPr>
                <w:rFonts w:ascii="Garamond" w:eastAsia="Times New Roman" w:hAnsi="Garamond" w:cs="Times New Roman"/>
              </w:rPr>
              <w:br/>
              <w:t xml:space="preserve">With greater </w:t>
            </w:r>
            <w:proofErr w:type="spellStart"/>
            <w:r w:rsidRPr="003037D2">
              <w:rPr>
                <w:rFonts w:ascii="Garamond" w:eastAsia="Times New Roman" w:hAnsi="Garamond" w:cs="Times New Roman"/>
              </w:rPr>
              <w:t>mercie</w:t>
            </w:r>
            <w:proofErr w:type="spellEnd"/>
            <w:r w:rsidRPr="003037D2">
              <w:rPr>
                <w:rFonts w:ascii="Garamond" w:eastAsia="Times New Roman" w:hAnsi="Garamond" w:cs="Times New Roman"/>
              </w:rPr>
              <w:t xml:space="preserve"> than my great offence.</w:t>
            </w:r>
            <w:r w:rsidRPr="003037D2">
              <w:rPr>
                <w:rFonts w:ascii="Garamond" w:eastAsia="Times New Roman" w:hAnsi="Garamond" w:cs="Times New Roman"/>
                <w:vertAlign w:val="superscript"/>
              </w:rPr>
              <w:footnoteReference w:id="346"/>
            </w:r>
            <w:r w:rsidRPr="003037D2">
              <w:rPr>
                <w:rFonts w:ascii="Garamond" w:eastAsia="Times New Roman" w:hAnsi="Garamond" w:cs="Times New Roman"/>
              </w:rPr>
              <w:t xml:space="preserve"> </w:t>
            </w:r>
          </w:p>
          <w:p w14:paraId="23217B3E" w14:textId="1C805426" w:rsidR="00667CD5" w:rsidRPr="003037D2" w:rsidRDefault="00667CD5" w:rsidP="00162224">
            <w:pPr>
              <w:rPr>
                <w:rFonts w:ascii="Garamond" w:eastAsia="Times New Roman" w:hAnsi="Garamond" w:cs="Times New Roman"/>
              </w:rPr>
            </w:pPr>
          </w:p>
        </w:tc>
      </w:tr>
    </w:tbl>
    <w:p w14:paraId="4B0FA58E" w14:textId="1C8647CE"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The emphasis is on the speech act: implicit within the biblical verse but expanded upon in Lock’s paraphrase. The psalmist’s mouth is explicitly focused upon as they proclaim their unworthiness to even speak God’s name, whilst uttering it five times over. The rhetorical turns of </w:t>
      </w:r>
      <w:r w:rsidRPr="003037D2">
        <w:rPr>
          <w:rFonts w:ascii="Garamond" w:eastAsia="Calibri" w:hAnsi="Garamond" w:cs="Times New Roman"/>
          <w:i/>
        </w:rPr>
        <w:t xml:space="preserve">metanoia </w:t>
      </w:r>
      <w:r w:rsidRPr="003037D2">
        <w:rPr>
          <w:rFonts w:ascii="Garamond" w:eastAsia="Calibri" w:hAnsi="Garamond" w:cs="Times New Roman"/>
        </w:rPr>
        <w:t>can be observed</w:t>
      </w:r>
      <w:r w:rsidR="000B19D1" w:rsidRPr="003037D2">
        <w:rPr>
          <w:rFonts w:ascii="Garamond" w:eastAsia="Calibri" w:hAnsi="Garamond" w:cs="Times New Roman"/>
        </w:rPr>
        <w:t>, with t</w:t>
      </w:r>
      <w:r w:rsidRPr="003037D2">
        <w:rPr>
          <w:rFonts w:ascii="Garamond" w:eastAsia="Calibri" w:hAnsi="Garamond" w:cs="Times New Roman"/>
        </w:rPr>
        <w:t xml:space="preserve">wo lines </w:t>
      </w:r>
      <w:r w:rsidR="000B19D1" w:rsidRPr="003037D2">
        <w:rPr>
          <w:rFonts w:ascii="Garamond" w:eastAsia="Calibri" w:hAnsi="Garamond" w:cs="Times New Roman"/>
        </w:rPr>
        <w:t>opening</w:t>
      </w:r>
      <w:r w:rsidRPr="003037D2">
        <w:rPr>
          <w:rFonts w:ascii="Garamond" w:eastAsia="Calibri" w:hAnsi="Garamond" w:cs="Times New Roman"/>
        </w:rPr>
        <w:t xml:space="preserve"> with</w:t>
      </w:r>
      <w:r w:rsidR="000B19D1" w:rsidRPr="003037D2">
        <w:rPr>
          <w:rFonts w:ascii="Garamond" w:eastAsia="Calibri" w:hAnsi="Garamond" w:cs="Times New Roman"/>
        </w:rPr>
        <w:t xml:space="preserve"> the </w:t>
      </w:r>
      <w:r w:rsidR="000B19D1" w:rsidRPr="003037D2">
        <w:rPr>
          <w:rFonts w:ascii="Garamond" w:eastAsia="Calibri" w:hAnsi="Garamond" w:cs="Times New Roman"/>
        </w:rPr>
        <w:lastRenderedPageBreak/>
        <w:t>conjunction</w:t>
      </w:r>
      <w:r w:rsidRPr="003037D2">
        <w:rPr>
          <w:rFonts w:ascii="Garamond" w:eastAsia="Calibri" w:hAnsi="Garamond" w:cs="Times New Roman"/>
        </w:rPr>
        <w:t xml:space="preserve"> ‘but’</w:t>
      </w:r>
      <w:r w:rsidR="000B19D1" w:rsidRPr="003037D2">
        <w:rPr>
          <w:rFonts w:ascii="Garamond" w:eastAsia="Calibri" w:hAnsi="Garamond" w:cs="Times New Roman"/>
        </w:rPr>
        <w:t xml:space="preserve">. Sonnets are often read to see how they fit into </w:t>
      </w:r>
      <w:proofErr w:type="spellStart"/>
      <w:r w:rsidR="000B19D1" w:rsidRPr="003037D2">
        <w:rPr>
          <w:rFonts w:ascii="Garamond" w:eastAsia="Calibri" w:hAnsi="Garamond" w:cs="Times New Roman"/>
        </w:rPr>
        <w:t>rigidily</w:t>
      </w:r>
      <w:proofErr w:type="spellEnd"/>
      <w:r w:rsidR="000B19D1" w:rsidRPr="003037D2">
        <w:rPr>
          <w:rFonts w:ascii="Garamond" w:eastAsia="Calibri" w:hAnsi="Garamond" w:cs="Times New Roman"/>
        </w:rPr>
        <w:t xml:space="preserve"> defined forms, </w:t>
      </w:r>
      <w:r w:rsidR="00E012F6" w:rsidRPr="003037D2">
        <w:rPr>
          <w:rFonts w:ascii="Garamond" w:eastAsia="Calibri" w:hAnsi="Garamond" w:cs="Times New Roman"/>
        </w:rPr>
        <w:t xml:space="preserve">claimed as </w:t>
      </w:r>
      <w:r w:rsidR="000B19D1" w:rsidRPr="003037D2">
        <w:rPr>
          <w:rFonts w:ascii="Garamond" w:eastAsia="Calibri" w:hAnsi="Garamond" w:cs="Times New Roman"/>
        </w:rPr>
        <w:t>‘</w:t>
      </w:r>
      <w:proofErr w:type="spellStart"/>
      <w:r w:rsidR="000B19D1" w:rsidRPr="003037D2">
        <w:rPr>
          <w:rFonts w:ascii="Garamond" w:eastAsia="Calibri" w:hAnsi="Garamond" w:cs="Times New Roman"/>
        </w:rPr>
        <w:t>Shakesperean</w:t>
      </w:r>
      <w:proofErr w:type="spellEnd"/>
      <w:r w:rsidR="000B19D1" w:rsidRPr="003037D2">
        <w:rPr>
          <w:rFonts w:ascii="Garamond" w:eastAsia="Calibri" w:hAnsi="Garamond" w:cs="Times New Roman"/>
        </w:rPr>
        <w:t xml:space="preserve">’ </w:t>
      </w:r>
      <w:r w:rsidR="00E012F6" w:rsidRPr="003037D2">
        <w:rPr>
          <w:rFonts w:ascii="Garamond" w:eastAsia="Calibri" w:hAnsi="Garamond" w:cs="Times New Roman"/>
        </w:rPr>
        <w:t>or</w:t>
      </w:r>
      <w:r w:rsidR="000B19D1" w:rsidRPr="003037D2">
        <w:rPr>
          <w:rFonts w:ascii="Garamond" w:eastAsia="Calibri" w:hAnsi="Garamond" w:cs="Times New Roman"/>
        </w:rPr>
        <w:t xml:space="preserve"> ‘Petrarchan’. These forms are often largely theoretical, reflecting more a critical desire for order than actual poetic practices. These models would teach us to expect just a single turn at </w:t>
      </w:r>
      <w:r w:rsidR="00E012F6" w:rsidRPr="003037D2">
        <w:rPr>
          <w:rFonts w:ascii="Garamond" w:eastAsia="Calibri" w:hAnsi="Garamond" w:cs="Times New Roman"/>
        </w:rPr>
        <w:t xml:space="preserve">a predetermined </w:t>
      </w:r>
      <w:proofErr w:type="spellStart"/>
      <w:r w:rsidR="000B19D1" w:rsidRPr="003037D2">
        <w:rPr>
          <w:rFonts w:ascii="Garamond" w:eastAsia="Calibri" w:hAnsi="Garamond" w:cs="Times New Roman"/>
        </w:rPr>
        <w:t>volta</w:t>
      </w:r>
      <w:proofErr w:type="spellEnd"/>
      <w:r w:rsidR="000B19D1" w:rsidRPr="003037D2">
        <w:rPr>
          <w:rFonts w:ascii="Garamond" w:eastAsia="Calibri" w:hAnsi="Garamond" w:cs="Times New Roman"/>
        </w:rPr>
        <w:t>. At the time when Lock was writing, the sonnet was yet to harden into such forms.</w:t>
      </w:r>
      <w:r w:rsidR="00E012F6" w:rsidRPr="003037D2">
        <w:rPr>
          <w:rFonts w:ascii="Garamond" w:eastAsia="Calibri" w:hAnsi="Garamond" w:cs="Times New Roman"/>
        </w:rPr>
        <w:t xml:space="preserve"> Her sonnet can turn back multiple times, with the repeated use of ‘but’ giving the sense of the wandering progression of thought. </w:t>
      </w:r>
      <w:r w:rsidRPr="003037D2">
        <w:rPr>
          <w:rFonts w:ascii="Garamond" w:eastAsia="Calibri" w:hAnsi="Garamond" w:cs="Times New Roman"/>
        </w:rPr>
        <w:t xml:space="preserve">The speaker </w:t>
      </w:r>
      <w:proofErr w:type="spellStart"/>
      <w:r w:rsidRPr="003037D2">
        <w:rPr>
          <w:rFonts w:ascii="Garamond" w:eastAsia="Calibri" w:hAnsi="Garamond" w:cs="Times New Roman"/>
        </w:rPr>
        <w:t>emphasises</w:t>
      </w:r>
      <w:proofErr w:type="spellEnd"/>
      <w:r w:rsidRPr="003037D2">
        <w:rPr>
          <w:rFonts w:ascii="Garamond" w:eastAsia="Calibri" w:hAnsi="Garamond" w:cs="Times New Roman"/>
        </w:rPr>
        <w:t xml:space="preserve"> their intimate relationship with ‘my God’, only to immediately assert their distance, ‘</w:t>
      </w:r>
      <w:proofErr w:type="spellStart"/>
      <w:r w:rsidRPr="003037D2">
        <w:rPr>
          <w:rFonts w:ascii="Garamond" w:eastAsia="Calibri" w:hAnsi="Garamond" w:cs="Times New Roman"/>
        </w:rPr>
        <w:t>beynge</w:t>
      </w:r>
      <w:proofErr w:type="spellEnd"/>
      <w:r w:rsidRPr="003037D2">
        <w:rPr>
          <w:rFonts w:ascii="Garamond" w:eastAsia="Calibri" w:hAnsi="Garamond" w:cs="Times New Roman"/>
        </w:rPr>
        <w:t xml:space="preserve"> fled from thee’. After asserting that they cannot ask for justice, they then return repeatedly to that word. Whilst stating that they can ‘scarce… dare’ to ‘mercy sound </w:t>
      </w:r>
      <w:proofErr w:type="spellStart"/>
      <w:r w:rsidRPr="003037D2">
        <w:rPr>
          <w:rFonts w:ascii="Garamond" w:eastAsia="Calibri" w:hAnsi="Garamond" w:cs="Times New Roman"/>
        </w:rPr>
        <w:t>againe</w:t>
      </w:r>
      <w:proofErr w:type="spellEnd"/>
      <w:r w:rsidRPr="003037D2">
        <w:rPr>
          <w:rFonts w:ascii="Garamond" w:eastAsia="Calibri" w:hAnsi="Garamond" w:cs="Times New Roman"/>
        </w:rPr>
        <w:t xml:space="preserve">’ they then repeat it in every remaining line of the sonnet. </w:t>
      </w:r>
    </w:p>
    <w:p w14:paraId="324F187F" w14:textId="77777777" w:rsidR="00162224" w:rsidRPr="003037D2" w:rsidRDefault="00162224" w:rsidP="00162224">
      <w:pPr>
        <w:spacing w:line="360" w:lineRule="auto"/>
        <w:rPr>
          <w:rFonts w:ascii="Garamond" w:eastAsia="Calibri" w:hAnsi="Garamond" w:cs="Times New Roman"/>
        </w:rPr>
      </w:pPr>
    </w:p>
    <w:p w14:paraId="1F6B86CC" w14:textId="77777777"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Lock’s ‘Meditation’ is notable for the vivid, visceral way in which it conjures up the experience of the ‘penitent sinner’. In the prefatory sonnets, the reader sees with the speaker’s ‘dimmed and </w:t>
      </w:r>
      <w:proofErr w:type="spellStart"/>
      <w:r w:rsidRPr="003037D2">
        <w:rPr>
          <w:rFonts w:ascii="Garamond" w:eastAsia="Calibri" w:hAnsi="Garamond" w:cs="Times New Roman"/>
        </w:rPr>
        <w:t>fordulled</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eyen</w:t>
      </w:r>
      <w:proofErr w:type="spellEnd"/>
      <w:r w:rsidRPr="003037D2">
        <w:rPr>
          <w:rFonts w:ascii="Garamond" w:eastAsia="Calibri" w:hAnsi="Garamond" w:cs="Times New Roman"/>
        </w:rPr>
        <w:t xml:space="preserve">/ Full fraught with </w:t>
      </w:r>
      <w:proofErr w:type="spellStart"/>
      <w:r w:rsidRPr="003037D2">
        <w:rPr>
          <w:rFonts w:ascii="Garamond" w:eastAsia="Calibri" w:hAnsi="Garamond" w:cs="Times New Roman"/>
        </w:rPr>
        <w:t>teares</w:t>
      </w:r>
      <w:proofErr w:type="spellEnd"/>
      <w:r w:rsidRPr="003037D2">
        <w:rPr>
          <w:rFonts w:ascii="Garamond" w:eastAsia="Calibri" w:hAnsi="Garamond" w:cs="Times New Roman"/>
        </w:rPr>
        <w:t xml:space="preserve">’, staring with them at ‘[t]he </w:t>
      </w:r>
      <w:proofErr w:type="spellStart"/>
      <w:r w:rsidRPr="003037D2">
        <w:rPr>
          <w:rFonts w:ascii="Garamond" w:eastAsia="Calibri" w:hAnsi="Garamond" w:cs="Times New Roman"/>
        </w:rPr>
        <w:t>lothesome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filthe</w:t>
      </w:r>
      <w:proofErr w:type="spellEnd"/>
      <w:r w:rsidRPr="003037D2">
        <w:rPr>
          <w:rFonts w:ascii="Garamond" w:eastAsia="Calibri" w:hAnsi="Garamond" w:cs="Times New Roman"/>
        </w:rPr>
        <w:t xml:space="preserve"> of my </w:t>
      </w:r>
      <w:proofErr w:type="spellStart"/>
      <w:r w:rsidRPr="003037D2">
        <w:rPr>
          <w:rFonts w:ascii="Garamond" w:eastAsia="Calibri" w:hAnsi="Garamond" w:cs="Times New Roman"/>
        </w:rPr>
        <w:t>disteined</w:t>
      </w:r>
      <w:proofErr w:type="spellEnd"/>
      <w:r w:rsidRPr="003037D2">
        <w:rPr>
          <w:rFonts w:ascii="Garamond" w:eastAsia="Calibri" w:hAnsi="Garamond" w:cs="Times New Roman"/>
        </w:rPr>
        <w:t xml:space="preserve"> life’.</w:t>
      </w:r>
      <w:r w:rsidRPr="003037D2">
        <w:rPr>
          <w:rFonts w:ascii="Garamond" w:eastAsia="Calibri" w:hAnsi="Garamond" w:cs="Times New Roman"/>
          <w:vertAlign w:val="superscript"/>
        </w:rPr>
        <w:footnoteReference w:id="347"/>
      </w:r>
      <w:r w:rsidRPr="003037D2">
        <w:rPr>
          <w:rFonts w:ascii="Garamond" w:eastAsia="Calibri" w:hAnsi="Garamond" w:cs="Times New Roman"/>
        </w:rPr>
        <w:t xml:space="preserve"> All the senses are engaged in Lock’s description of this suffering; the sinner’s breast is turned into a ‘</w:t>
      </w:r>
      <w:proofErr w:type="spellStart"/>
      <w:r w:rsidRPr="003037D2">
        <w:rPr>
          <w:rFonts w:ascii="Garamond" w:eastAsia="Calibri" w:hAnsi="Garamond" w:cs="Times New Roman"/>
        </w:rPr>
        <w:t>fornace</w:t>
      </w:r>
      <w:proofErr w:type="spellEnd"/>
      <w:r w:rsidRPr="003037D2">
        <w:rPr>
          <w:rFonts w:ascii="Garamond" w:eastAsia="Calibri" w:hAnsi="Garamond" w:cs="Times New Roman"/>
        </w:rPr>
        <w:t>’, and their body begins to fail, as ‘Gods enflamed ire’ throws them to the ground, ‘</w:t>
      </w:r>
      <w:proofErr w:type="spellStart"/>
      <w:r w:rsidRPr="003037D2">
        <w:rPr>
          <w:rFonts w:ascii="Garamond" w:eastAsia="Calibri" w:hAnsi="Garamond" w:cs="Times New Roman"/>
        </w:rPr>
        <w:t>Amidde</w:t>
      </w:r>
      <w:proofErr w:type="spellEnd"/>
      <w:r w:rsidRPr="003037D2">
        <w:rPr>
          <w:rFonts w:ascii="Garamond" w:eastAsia="Calibri" w:hAnsi="Garamond" w:cs="Times New Roman"/>
        </w:rPr>
        <w:t xml:space="preserve"> my </w:t>
      </w:r>
      <w:proofErr w:type="spellStart"/>
      <w:r w:rsidRPr="003037D2">
        <w:rPr>
          <w:rFonts w:ascii="Garamond" w:eastAsia="Calibri" w:hAnsi="Garamond" w:cs="Times New Roman"/>
        </w:rPr>
        <w:t>sinnes</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stil</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grovelling</w:t>
      </w:r>
      <w:proofErr w:type="spellEnd"/>
      <w:r w:rsidRPr="003037D2">
        <w:rPr>
          <w:rFonts w:ascii="Garamond" w:eastAsia="Calibri" w:hAnsi="Garamond" w:cs="Times New Roman"/>
        </w:rPr>
        <w:t xml:space="preserve"> in the </w:t>
      </w:r>
      <w:proofErr w:type="spellStart"/>
      <w:r w:rsidRPr="003037D2">
        <w:rPr>
          <w:rFonts w:ascii="Garamond" w:eastAsia="Calibri" w:hAnsi="Garamond" w:cs="Times New Roman"/>
        </w:rPr>
        <w:t>myre</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348"/>
      </w:r>
      <w:r w:rsidRPr="003037D2">
        <w:rPr>
          <w:rFonts w:ascii="Garamond" w:eastAsia="Calibri" w:hAnsi="Garamond" w:cs="Times New Roman"/>
        </w:rPr>
        <w:t xml:space="preserve"> Although the speaker begs for mercy ‘with </w:t>
      </w:r>
      <w:proofErr w:type="spellStart"/>
      <w:r w:rsidRPr="003037D2">
        <w:rPr>
          <w:rFonts w:ascii="Garamond" w:eastAsia="Calibri" w:hAnsi="Garamond" w:cs="Times New Roman"/>
        </w:rPr>
        <w:t>shreking</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crye</w:t>
      </w:r>
      <w:proofErr w:type="spellEnd"/>
      <w:r w:rsidRPr="003037D2">
        <w:rPr>
          <w:rFonts w:ascii="Garamond" w:eastAsia="Calibri" w:hAnsi="Garamond" w:cs="Times New Roman"/>
        </w:rPr>
        <w:t>’ their sin ‘</w:t>
      </w:r>
      <w:proofErr w:type="spellStart"/>
      <w:r w:rsidRPr="003037D2">
        <w:rPr>
          <w:rFonts w:ascii="Garamond" w:eastAsia="Calibri" w:hAnsi="Garamond" w:cs="Times New Roman"/>
        </w:rPr>
        <w:t>semes</w:t>
      </w:r>
      <w:proofErr w:type="spellEnd"/>
      <w:r w:rsidRPr="003037D2">
        <w:rPr>
          <w:rFonts w:ascii="Garamond" w:eastAsia="Calibri" w:hAnsi="Garamond" w:cs="Times New Roman"/>
        </w:rPr>
        <w:t xml:space="preserve"> to </w:t>
      </w:r>
      <w:proofErr w:type="spellStart"/>
      <w:r w:rsidRPr="003037D2">
        <w:rPr>
          <w:rFonts w:ascii="Garamond" w:eastAsia="Calibri" w:hAnsi="Garamond" w:cs="Times New Roman"/>
        </w:rPr>
        <w:t>saye</w:t>
      </w:r>
      <w:proofErr w:type="spellEnd"/>
      <w:r w:rsidRPr="003037D2">
        <w:rPr>
          <w:rFonts w:ascii="Garamond" w:eastAsia="Calibri" w:hAnsi="Garamond" w:cs="Times New Roman"/>
        </w:rPr>
        <w:t xml:space="preserve">/ In </w:t>
      </w:r>
      <w:proofErr w:type="spellStart"/>
      <w:r w:rsidRPr="003037D2">
        <w:rPr>
          <w:rFonts w:ascii="Garamond" w:eastAsia="Calibri" w:hAnsi="Garamond" w:cs="Times New Roman"/>
        </w:rPr>
        <w:t>vaine</w:t>
      </w:r>
      <w:proofErr w:type="spellEnd"/>
      <w:r w:rsidRPr="003037D2">
        <w:rPr>
          <w:rFonts w:ascii="Garamond" w:eastAsia="Calibri" w:hAnsi="Garamond" w:cs="Times New Roman"/>
        </w:rPr>
        <w:t xml:space="preserve"> thou </w:t>
      </w:r>
      <w:proofErr w:type="spellStart"/>
      <w:r w:rsidRPr="003037D2">
        <w:rPr>
          <w:rFonts w:ascii="Garamond" w:eastAsia="Calibri" w:hAnsi="Garamond" w:cs="Times New Roman"/>
        </w:rPr>
        <w:t>brayest</w:t>
      </w:r>
      <w:proofErr w:type="spellEnd"/>
      <w:r w:rsidRPr="003037D2">
        <w:rPr>
          <w:rFonts w:ascii="Garamond" w:eastAsia="Calibri" w:hAnsi="Garamond" w:cs="Times New Roman"/>
        </w:rPr>
        <w:t xml:space="preserve"> forth thy </w:t>
      </w:r>
      <w:proofErr w:type="spellStart"/>
      <w:r w:rsidRPr="003037D2">
        <w:rPr>
          <w:rFonts w:ascii="Garamond" w:eastAsia="Calibri" w:hAnsi="Garamond" w:cs="Times New Roman"/>
        </w:rPr>
        <w:t>bootlessee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noyse</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349"/>
      </w:r>
      <w:r w:rsidRPr="003037D2">
        <w:rPr>
          <w:rFonts w:ascii="Garamond" w:eastAsia="Calibri" w:hAnsi="Garamond" w:cs="Times New Roman"/>
        </w:rPr>
        <w:t xml:space="preserve"> Attempts to see, to speak, to move, and even to stand fail. The sinner describes their posture of penitence: ‘with </w:t>
      </w:r>
      <w:proofErr w:type="spellStart"/>
      <w:r w:rsidRPr="003037D2">
        <w:rPr>
          <w:rFonts w:ascii="Garamond" w:eastAsia="Calibri" w:hAnsi="Garamond" w:cs="Times New Roman"/>
        </w:rPr>
        <w:t>foltring</w:t>
      </w:r>
      <w:proofErr w:type="spellEnd"/>
      <w:r w:rsidRPr="003037D2">
        <w:rPr>
          <w:rFonts w:ascii="Garamond" w:eastAsia="Calibri" w:hAnsi="Garamond" w:cs="Times New Roman"/>
        </w:rPr>
        <w:t xml:space="preserve"> knee I falling to the ground,/ </w:t>
      </w:r>
      <w:proofErr w:type="spellStart"/>
      <w:r w:rsidRPr="003037D2">
        <w:rPr>
          <w:rFonts w:ascii="Garamond" w:eastAsia="Calibri" w:hAnsi="Garamond" w:cs="Times New Roman"/>
        </w:rPr>
        <w:t>Bendyng</w:t>
      </w:r>
      <w:proofErr w:type="spellEnd"/>
      <w:r w:rsidRPr="003037D2">
        <w:rPr>
          <w:rFonts w:ascii="Garamond" w:eastAsia="Calibri" w:hAnsi="Garamond" w:cs="Times New Roman"/>
        </w:rPr>
        <w:t xml:space="preserve"> my yielding hands to heavens throne’.</w:t>
      </w:r>
      <w:r w:rsidRPr="003037D2">
        <w:rPr>
          <w:rFonts w:ascii="Garamond" w:eastAsia="Calibri" w:hAnsi="Garamond" w:cs="Times New Roman"/>
          <w:vertAlign w:val="superscript"/>
        </w:rPr>
        <w:footnoteReference w:id="350"/>
      </w:r>
      <w:r w:rsidRPr="003037D2">
        <w:rPr>
          <w:rFonts w:ascii="Garamond" w:eastAsia="Calibri" w:hAnsi="Garamond" w:cs="Times New Roman"/>
        </w:rPr>
        <w:t xml:space="preserve"> This tableau is reminiscent of Thomas Wyatt’s ‘Penitential Psalms’, in which the speaker takes up a different posture before reciting each psalm.</w:t>
      </w:r>
      <w:r w:rsidRPr="003037D2">
        <w:rPr>
          <w:rFonts w:ascii="Garamond" w:eastAsia="Calibri" w:hAnsi="Garamond" w:cs="Times New Roman"/>
          <w:vertAlign w:val="superscript"/>
        </w:rPr>
        <w:footnoteReference w:id="351"/>
      </w:r>
      <w:r w:rsidRPr="003037D2">
        <w:rPr>
          <w:rFonts w:ascii="Garamond" w:eastAsia="Calibri" w:hAnsi="Garamond" w:cs="Times New Roman"/>
        </w:rPr>
        <w:t xml:space="preserve"> The </w:t>
      </w:r>
      <w:proofErr w:type="spellStart"/>
      <w:r w:rsidRPr="003037D2">
        <w:rPr>
          <w:rFonts w:ascii="Garamond" w:eastAsia="Calibri" w:hAnsi="Garamond" w:cs="Times New Roman"/>
        </w:rPr>
        <w:t>memorialising</w:t>
      </w:r>
      <w:proofErr w:type="spellEnd"/>
      <w:r w:rsidRPr="003037D2">
        <w:rPr>
          <w:rFonts w:ascii="Garamond" w:eastAsia="Calibri" w:hAnsi="Garamond" w:cs="Times New Roman"/>
        </w:rPr>
        <w:t xml:space="preserve"> aim of the psalm results in the speaker becoming enmeshed in a cycle of pain and fear: the visceral, haptic experience creating a sense of ‘</w:t>
      </w:r>
      <w:proofErr w:type="spellStart"/>
      <w:r w:rsidRPr="003037D2">
        <w:rPr>
          <w:rFonts w:ascii="Garamond" w:eastAsia="Calibri" w:hAnsi="Garamond" w:cs="Times New Roman"/>
        </w:rPr>
        <w:t>e’er</w:t>
      </w:r>
      <w:proofErr w:type="spellEnd"/>
      <w:r w:rsidRPr="003037D2">
        <w:rPr>
          <w:rFonts w:ascii="Garamond" w:eastAsia="Calibri" w:hAnsi="Garamond" w:cs="Times New Roman"/>
        </w:rPr>
        <w:t xml:space="preserve"> lasting night’, and eternal punishment. The speaker is trapped within overlapping temporal planes, referring to the ongoing experience of original sin, David’s sin, and now their own expressions of fear and ‘fault’. If, as I have previously argued, Parker’s psalm translations seek to create both a historical chain back to David and allow readers to see </w:t>
      </w:r>
      <w:r w:rsidRPr="003037D2">
        <w:rPr>
          <w:rFonts w:ascii="Garamond" w:eastAsia="Calibri" w:hAnsi="Garamond" w:cs="Times New Roman"/>
        </w:rPr>
        <w:lastRenderedPageBreak/>
        <w:t xml:space="preserve">the psalms as their own words, Lock’s paraphrase of Psalm 51 instead exists in an overwhelming present, where past actions are dictating the hoped for future. </w:t>
      </w:r>
    </w:p>
    <w:p w14:paraId="7B1EFE99" w14:textId="77777777" w:rsidR="00162224" w:rsidRPr="003037D2" w:rsidRDefault="00162224" w:rsidP="00162224">
      <w:pPr>
        <w:spacing w:line="360" w:lineRule="auto"/>
        <w:rPr>
          <w:rFonts w:ascii="Garamond" w:eastAsia="Calibri" w:hAnsi="Garamond" w:cs="Times New Roman"/>
        </w:rPr>
      </w:pPr>
    </w:p>
    <w:p w14:paraId="6F1A2027" w14:textId="77777777"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ab/>
        <w:t xml:space="preserve">Lock creates a stultifying experience of suffocation </w:t>
      </w:r>
      <w:proofErr w:type="gramStart"/>
      <w:r w:rsidRPr="003037D2">
        <w:rPr>
          <w:rFonts w:ascii="Garamond" w:eastAsia="Calibri" w:hAnsi="Garamond" w:cs="Times New Roman"/>
        </w:rPr>
        <w:t>through the use of</w:t>
      </w:r>
      <w:proofErr w:type="gramEnd"/>
      <w:r w:rsidRPr="003037D2">
        <w:rPr>
          <w:rFonts w:ascii="Garamond" w:eastAsia="Calibri" w:hAnsi="Garamond" w:cs="Times New Roman"/>
        </w:rPr>
        <w:t xml:space="preserve"> repetition. Images of sickness, blindness, filth, and bodily failure recur throughout the sonnet sequence. This repetition seems to enact the unending work of penance, a devotional state that needs to be constantly reaffirmed. Huw Griffiths has </w:t>
      </w:r>
      <w:proofErr w:type="spellStart"/>
      <w:r w:rsidRPr="003037D2">
        <w:rPr>
          <w:rFonts w:ascii="Garamond" w:eastAsia="Calibri" w:hAnsi="Garamond" w:cs="Times New Roman"/>
        </w:rPr>
        <w:t>characterised</w:t>
      </w:r>
      <w:proofErr w:type="spellEnd"/>
      <w:r w:rsidRPr="003037D2">
        <w:rPr>
          <w:rFonts w:ascii="Garamond" w:eastAsia="Calibri" w:hAnsi="Garamond" w:cs="Times New Roman"/>
        </w:rPr>
        <w:t xml:space="preserve"> the traditional sonnet structure as marked by the rhetorical figure of </w:t>
      </w:r>
      <w:r w:rsidRPr="003037D2">
        <w:rPr>
          <w:rFonts w:ascii="Garamond" w:eastAsia="Calibri" w:hAnsi="Garamond" w:cs="Times New Roman"/>
          <w:i/>
          <w:iCs/>
        </w:rPr>
        <w:t xml:space="preserve">metanoia, </w:t>
      </w:r>
      <w:r w:rsidRPr="003037D2">
        <w:rPr>
          <w:rFonts w:ascii="Garamond" w:eastAsia="Calibri" w:hAnsi="Garamond" w:cs="Times New Roman"/>
        </w:rPr>
        <w:t>literally ‘changing your mind’ or ‘after thought’.</w:t>
      </w:r>
      <w:r w:rsidRPr="003037D2">
        <w:rPr>
          <w:rFonts w:ascii="Garamond" w:eastAsia="Calibri" w:hAnsi="Garamond" w:cs="Times New Roman"/>
          <w:vertAlign w:val="superscript"/>
        </w:rPr>
        <w:footnoteReference w:id="352"/>
      </w:r>
      <w:r w:rsidRPr="003037D2">
        <w:rPr>
          <w:rFonts w:ascii="Garamond" w:eastAsia="Calibri" w:hAnsi="Garamond" w:cs="Times New Roman"/>
        </w:rPr>
        <w:t xml:space="preserve"> Lock’s speaker proffers forth ideas and promises only to undercut them moments later, making use of this rhetorical movement in a particularly temporally complex devotional moment. In Sonnet 11 of ‘Meditation’, they cry: </w:t>
      </w:r>
    </w:p>
    <w:p w14:paraId="585059A6" w14:textId="77777777" w:rsidR="00162224" w:rsidRPr="003037D2" w:rsidRDefault="00162224" w:rsidP="00162224">
      <w:pPr>
        <w:ind w:left="1440" w:firstLine="720"/>
        <w:rPr>
          <w:rFonts w:ascii="Garamond" w:eastAsia="Calibri" w:hAnsi="Garamond" w:cs="Times New Roman"/>
        </w:rPr>
      </w:pPr>
      <w:r w:rsidRPr="003037D2">
        <w:rPr>
          <w:rFonts w:ascii="Garamond" w:eastAsia="Calibri" w:hAnsi="Garamond" w:cs="Times New Roman"/>
        </w:rPr>
        <w:t xml:space="preserve">Loke on me, Lord: though trembling I </w:t>
      </w:r>
      <w:proofErr w:type="spellStart"/>
      <w:r w:rsidRPr="003037D2">
        <w:rPr>
          <w:rFonts w:ascii="Garamond" w:eastAsia="Calibri" w:hAnsi="Garamond" w:cs="Times New Roman"/>
        </w:rPr>
        <w:t>beknowe</w:t>
      </w:r>
      <w:proofErr w:type="spellEnd"/>
      <w:r w:rsidRPr="003037D2">
        <w:rPr>
          <w:rFonts w:ascii="Garamond" w:eastAsia="Calibri" w:hAnsi="Garamond" w:cs="Times New Roman"/>
        </w:rPr>
        <w:t xml:space="preserve">, </w:t>
      </w:r>
    </w:p>
    <w:p w14:paraId="1D8C1B49" w14:textId="77777777" w:rsidR="00162224" w:rsidRPr="003037D2" w:rsidRDefault="00162224" w:rsidP="00162224">
      <w:pPr>
        <w:ind w:left="1440" w:firstLine="720"/>
        <w:rPr>
          <w:rFonts w:ascii="Garamond" w:eastAsia="Calibri" w:hAnsi="Garamond" w:cs="Times New Roman"/>
        </w:rPr>
      </w:pPr>
      <w:r w:rsidRPr="003037D2">
        <w:rPr>
          <w:rFonts w:ascii="Garamond" w:eastAsia="Calibri" w:hAnsi="Garamond" w:cs="Times New Roman"/>
        </w:rPr>
        <w:t xml:space="preserve">That sight of </w:t>
      </w:r>
      <w:proofErr w:type="spellStart"/>
      <w:r w:rsidRPr="003037D2">
        <w:rPr>
          <w:rFonts w:ascii="Garamond" w:eastAsia="Calibri" w:hAnsi="Garamond" w:cs="Times New Roman"/>
        </w:rPr>
        <w:t>sinne</w:t>
      </w:r>
      <w:proofErr w:type="spellEnd"/>
      <w:r w:rsidRPr="003037D2">
        <w:rPr>
          <w:rFonts w:ascii="Garamond" w:eastAsia="Calibri" w:hAnsi="Garamond" w:cs="Times New Roman"/>
        </w:rPr>
        <w:t xml:space="preserve"> so sore </w:t>
      </w:r>
      <w:proofErr w:type="spellStart"/>
      <w:r w:rsidRPr="003037D2">
        <w:rPr>
          <w:rFonts w:ascii="Garamond" w:eastAsia="Calibri" w:hAnsi="Garamond" w:cs="Times New Roman"/>
        </w:rPr>
        <w:t>offendeth</w:t>
      </w:r>
      <w:proofErr w:type="spellEnd"/>
      <w:r w:rsidRPr="003037D2">
        <w:rPr>
          <w:rFonts w:ascii="Garamond" w:eastAsia="Calibri" w:hAnsi="Garamond" w:cs="Times New Roman"/>
        </w:rPr>
        <w:t xml:space="preserve"> the, </w:t>
      </w:r>
    </w:p>
    <w:p w14:paraId="22FF7B2A" w14:textId="77777777" w:rsidR="00162224" w:rsidRPr="003037D2" w:rsidRDefault="00162224" w:rsidP="00162224">
      <w:pPr>
        <w:ind w:left="1440" w:firstLine="720"/>
        <w:rPr>
          <w:rFonts w:ascii="Garamond" w:eastAsia="Calibri" w:hAnsi="Garamond" w:cs="Times New Roman"/>
        </w:rPr>
      </w:pPr>
      <w:r w:rsidRPr="003037D2">
        <w:rPr>
          <w:rFonts w:ascii="Garamond" w:eastAsia="Calibri" w:hAnsi="Garamond" w:cs="Times New Roman"/>
        </w:rPr>
        <w:t xml:space="preserve">That seeing </w:t>
      </w:r>
      <w:proofErr w:type="spellStart"/>
      <w:r w:rsidRPr="003037D2">
        <w:rPr>
          <w:rFonts w:ascii="Garamond" w:eastAsia="Calibri" w:hAnsi="Garamond" w:cs="Times New Roman"/>
        </w:rPr>
        <w:t>sinne</w:t>
      </w:r>
      <w:proofErr w:type="spellEnd"/>
      <w:r w:rsidRPr="003037D2">
        <w:rPr>
          <w:rFonts w:ascii="Garamond" w:eastAsia="Calibri" w:hAnsi="Garamond" w:cs="Times New Roman"/>
        </w:rPr>
        <w:t xml:space="preserve">, how it doth </w:t>
      </w:r>
      <w:proofErr w:type="spellStart"/>
      <w:r w:rsidRPr="003037D2">
        <w:rPr>
          <w:rFonts w:ascii="Garamond" w:eastAsia="Calibri" w:hAnsi="Garamond" w:cs="Times New Roman"/>
        </w:rPr>
        <w:t>overflowe</w:t>
      </w:r>
      <w:proofErr w:type="spellEnd"/>
    </w:p>
    <w:p w14:paraId="3E24C436" w14:textId="77777777" w:rsidR="00162224" w:rsidRPr="003037D2" w:rsidRDefault="00162224" w:rsidP="00162224">
      <w:pPr>
        <w:ind w:left="1440" w:firstLine="720"/>
        <w:rPr>
          <w:rFonts w:ascii="Garamond" w:eastAsia="Calibri" w:hAnsi="Garamond" w:cs="Times New Roman"/>
        </w:rPr>
      </w:pPr>
      <w:r w:rsidRPr="003037D2">
        <w:rPr>
          <w:rFonts w:ascii="Garamond" w:eastAsia="Calibri" w:hAnsi="Garamond" w:cs="Times New Roman"/>
        </w:rPr>
        <w:t xml:space="preserve">My whelmed </w:t>
      </w:r>
      <w:proofErr w:type="spellStart"/>
      <w:r w:rsidRPr="003037D2">
        <w:rPr>
          <w:rFonts w:ascii="Garamond" w:eastAsia="Calibri" w:hAnsi="Garamond" w:cs="Times New Roman"/>
        </w:rPr>
        <w:t>soule</w:t>
      </w:r>
      <w:proofErr w:type="spellEnd"/>
      <w:r w:rsidRPr="003037D2">
        <w:rPr>
          <w:rFonts w:ascii="Garamond" w:eastAsia="Calibri" w:hAnsi="Garamond" w:cs="Times New Roman"/>
        </w:rPr>
        <w:t xml:space="preserve">, thou canst not </w:t>
      </w:r>
      <w:proofErr w:type="spellStart"/>
      <w:r w:rsidRPr="003037D2">
        <w:rPr>
          <w:rFonts w:ascii="Garamond" w:eastAsia="Calibri" w:hAnsi="Garamond" w:cs="Times New Roman"/>
        </w:rPr>
        <w:t>loke</w:t>
      </w:r>
      <w:proofErr w:type="spellEnd"/>
      <w:r w:rsidRPr="003037D2">
        <w:rPr>
          <w:rFonts w:ascii="Garamond" w:eastAsia="Calibri" w:hAnsi="Garamond" w:cs="Times New Roman"/>
        </w:rPr>
        <w:t xml:space="preserve"> on me…</w:t>
      </w:r>
      <w:r w:rsidRPr="003037D2">
        <w:rPr>
          <w:rFonts w:ascii="Garamond" w:eastAsia="Calibri" w:hAnsi="Garamond" w:cs="Times New Roman"/>
          <w:vertAlign w:val="superscript"/>
        </w:rPr>
        <w:footnoteReference w:id="353"/>
      </w:r>
      <w:r w:rsidRPr="003037D2">
        <w:rPr>
          <w:rFonts w:ascii="Garamond" w:eastAsia="Calibri" w:hAnsi="Garamond" w:cs="Times New Roman"/>
        </w:rPr>
        <w:t xml:space="preserve"> </w:t>
      </w:r>
    </w:p>
    <w:p w14:paraId="2388302C" w14:textId="77777777" w:rsidR="00162224" w:rsidRPr="003037D2" w:rsidRDefault="00162224" w:rsidP="00162224">
      <w:pPr>
        <w:ind w:left="1440" w:firstLine="720"/>
        <w:rPr>
          <w:rFonts w:ascii="Garamond" w:eastAsia="Calibri" w:hAnsi="Garamond" w:cs="Times New Roman"/>
        </w:rPr>
      </w:pPr>
    </w:p>
    <w:p w14:paraId="3AACD8AF" w14:textId="54FB533A" w:rsidR="00162224" w:rsidRPr="003037D2" w:rsidRDefault="00162224" w:rsidP="00162224">
      <w:pPr>
        <w:spacing w:after="120" w:line="360" w:lineRule="auto"/>
        <w:rPr>
          <w:rFonts w:ascii="Garamond" w:eastAsia="Calibri" w:hAnsi="Garamond" w:cs="Times New Roman"/>
        </w:rPr>
      </w:pPr>
      <w:r w:rsidRPr="003037D2">
        <w:rPr>
          <w:rFonts w:ascii="Garamond" w:eastAsia="Calibri" w:hAnsi="Garamond" w:cs="Times New Roman"/>
        </w:rPr>
        <w:t>They ask for God to look upon them, despite their awareness of their failings. Just as the reader begins to see the speaker through God’s eyes, overflowing with sin, they then cry out that He must turn away. The sonnet form is crucial to the sense of suffocation and stasis, as the necessary repetitions of rhyme in a sonnet sequence create a sense of confinement. The densely woven rhyme scheme</w:t>
      </w:r>
      <w:r w:rsidR="000B19D1" w:rsidRPr="003037D2">
        <w:rPr>
          <w:rFonts w:ascii="Garamond" w:eastAsia="Calibri" w:hAnsi="Garamond" w:cs="Times New Roman"/>
        </w:rPr>
        <w:t xml:space="preserve"> often echoes </w:t>
      </w:r>
      <w:proofErr w:type="spellStart"/>
      <w:r w:rsidR="000B19D1" w:rsidRPr="003037D2">
        <w:rPr>
          <w:rFonts w:ascii="Garamond" w:eastAsia="Calibri" w:hAnsi="Garamond" w:cs="Times New Roman"/>
        </w:rPr>
        <w:t>preceeding</w:t>
      </w:r>
      <w:proofErr w:type="spellEnd"/>
      <w:r w:rsidR="000B19D1" w:rsidRPr="003037D2">
        <w:rPr>
          <w:rFonts w:ascii="Garamond" w:eastAsia="Calibri" w:hAnsi="Garamond" w:cs="Times New Roman"/>
        </w:rPr>
        <w:t xml:space="preserve"> rhymes with </w:t>
      </w:r>
      <w:r w:rsidRPr="003037D2">
        <w:rPr>
          <w:rFonts w:ascii="Garamond" w:eastAsia="Calibri" w:hAnsi="Garamond" w:cs="Times New Roman"/>
        </w:rPr>
        <w:t xml:space="preserve">assonance, creating a stifling web of repetition, as seen in the second sonnet: </w:t>
      </w:r>
    </w:p>
    <w:p w14:paraId="14017D1B"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 xml:space="preserve">I </w:t>
      </w:r>
      <w:proofErr w:type="spellStart"/>
      <w:r w:rsidRPr="003037D2">
        <w:rPr>
          <w:rFonts w:ascii="Garamond" w:eastAsia="Calibri" w:hAnsi="Garamond" w:cs="Times New Roman"/>
        </w:rPr>
        <w:t>crye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susteine</w:t>
      </w:r>
      <w:proofErr w:type="spellEnd"/>
      <w:r w:rsidRPr="003037D2">
        <w:rPr>
          <w:rFonts w:ascii="Garamond" w:eastAsia="Calibri" w:hAnsi="Garamond" w:cs="Times New Roman"/>
        </w:rPr>
        <w:t xml:space="preserve"> me, Lord, and Lord I pray, </w:t>
      </w:r>
    </w:p>
    <w:p w14:paraId="18292BE2"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 xml:space="preserve">With </w:t>
      </w:r>
      <w:proofErr w:type="spellStart"/>
      <w:r w:rsidRPr="003037D2">
        <w:rPr>
          <w:rFonts w:ascii="Garamond" w:eastAsia="Calibri" w:hAnsi="Garamond" w:cs="Times New Roman"/>
        </w:rPr>
        <w:t>endlesse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nomber</w:t>
      </w:r>
      <w:proofErr w:type="spellEnd"/>
      <w:r w:rsidRPr="003037D2">
        <w:rPr>
          <w:rFonts w:ascii="Garamond" w:eastAsia="Calibri" w:hAnsi="Garamond" w:cs="Times New Roman"/>
        </w:rPr>
        <w:t xml:space="preserve"> of thy mercies take </w:t>
      </w:r>
    </w:p>
    <w:p w14:paraId="7E8543FB"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 xml:space="preserve">The endless </w:t>
      </w:r>
      <w:proofErr w:type="spellStart"/>
      <w:r w:rsidRPr="003037D2">
        <w:rPr>
          <w:rFonts w:ascii="Garamond" w:eastAsia="Calibri" w:hAnsi="Garamond" w:cs="Times New Roman"/>
        </w:rPr>
        <w:t>nomber</w:t>
      </w:r>
      <w:proofErr w:type="spellEnd"/>
      <w:r w:rsidRPr="003037D2">
        <w:rPr>
          <w:rFonts w:ascii="Garamond" w:eastAsia="Calibri" w:hAnsi="Garamond" w:cs="Times New Roman"/>
        </w:rPr>
        <w:t xml:space="preserve"> of my </w:t>
      </w:r>
      <w:proofErr w:type="spellStart"/>
      <w:r w:rsidRPr="003037D2">
        <w:rPr>
          <w:rFonts w:ascii="Garamond" w:eastAsia="Calibri" w:hAnsi="Garamond" w:cs="Times New Roman"/>
        </w:rPr>
        <w:t>sinnes</w:t>
      </w:r>
      <w:proofErr w:type="spellEnd"/>
      <w:r w:rsidRPr="003037D2">
        <w:rPr>
          <w:rFonts w:ascii="Garamond" w:eastAsia="Calibri" w:hAnsi="Garamond" w:cs="Times New Roman"/>
        </w:rPr>
        <w:t xml:space="preserve"> away. </w:t>
      </w:r>
    </w:p>
    <w:p w14:paraId="598DEDF1" w14:textId="77777777" w:rsidR="00162224" w:rsidRPr="003037D2" w:rsidRDefault="00162224" w:rsidP="00162224">
      <w:pPr>
        <w:ind w:left="2160"/>
        <w:rPr>
          <w:rFonts w:ascii="Garamond" w:eastAsia="Calibri" w:hAnsi="Garamond" w:cs="Times New Roman"/>
        </w:rPr>
      </w:pPr>
      <w:proofErr w:type="gramStart"/>
      <w:r w:rsidRPr="003037D2">
        <w:rPr>
          <w:rFonts w:ascii="Garamond" w:eastAsia="Calibri" w:hAnsi="Garamond" w:cs="Times New Roman"/>
        </w:rPr>
        <w:t>So</w:t>
      </w:r>
      <w:proofErr w:type="gramEnd"/>
      <w:r w:rsidRPr="003037D2">
        <w:rPr>
          <w:rFonts w:ascii="Garamond" w:eastAsia="Calibri" w:hAnsi="Garamond" w:cs="Times New Roman"/>
        </w:rPr>
        <w:t xml:space="preserve"> by thy </w:t>
      </w:r>
      <w:proofErr w:type="spellStart"/>
      <w:r w:rsidRPr="003037D2">
        <w:rPr>
          <w:rFonts w:ascii="Garamond" w:eastAsia="Calibri" w:hAnsi="Garamond" w:cs="Times New Roman"/>
        </w:rPr>
        <w:t>mercie</w:t>
      </w:r>
      <w:proofErr w:type="spellEnd"/>
      <w:r w:rsidRPr="003037D2">
        <w:rPr>
          <w:rFonts w:ascii="Garamond" w:eastAsia="Calibri" w:hAnsi="Garamond" w:cs="Times New Roman"/>
        </w:rPr>
        <w:t>, for thy mercies sake,</w:t>
      </w:r>
    </w:p>
    <w:p w14:paraId="34EE16D6"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 xml:space="preserve">Rue on me, Lord, </w:t>
      </w:r>
      <w:proofErr w:type="spellStart"/>
      <w:r w:rsidRPr="003037D2">
        <w:rPr>
          <w:rFonts w:ascii="Garamond" w:eastAsia="Calibri" w:hAnsi="Garamond" w:cs="Times New Roman"/>
        </w:rPr>
        <w:t>releve</w:t>
      </w:r>
      <w:proofErr w:type="spellEnd"/>
      <w:r w:rsidRPr="003037D2">
        <w:rPr>
          <w:rFonts w:ascii="Garamond" w:eastAsia="Calibri" w:hAnsi="Garamond" w:cs="Times New Roman"/>
        </w:rPr>
        <w:t xml:space="preserve"> me with thy grace. </w:t>
      </w:r>
    </w:p>
    <w:p w14:paraId="2CEED2E1"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 xml:space="preserve">My </w:t>
      </w:r>
      <w:proofErr w:type="spellStart"/>
      <w:r w:rsidRPr="003037D2">
        <w:rPr>
          <w:rFonts w:ascii="Garamond" w:eastAsia="Calibri" w:hAnsi="Garamond" w:cs="Times New Roman"/>
        </w:rPr>
        <w:t>sinne</w:t>
      </w:r>
      <w:proofErr w:type="spellEnd"/>
      <w:r w:rsidRPr="003037D2">
        <w:rPr>
          <w:rFonts w:ascii="Garamond" w:eastAsia="Calibri" w:hAnsi="Garamond" w:cs="Times New Roman"/>
        </w:rPr>
        <w:t xml:space="preserve"> is cause that I so </w:t>
      </w:r>
      <w:proofErr w:type="spellStart"/>
      <w:r w:rsidRPr="003037D2">
        <w:rPr>
          <w:rFonts w:ascii="Garamond" w:eastAsia="Calibri" w:hAnsi="Garamond" w:cs="Times New Roman"/>
        </w:rPr>
        <w:t>nede</w:t>
      </w:r>
      <w:proofErr w:type="spellEnd"/>
      <w:r w:rsidRPr="003037D2">
        <w:rPr>
          <w:rFonts w:ascii="Garamond" w:eastAsia="Calibri" w:hAnsi="Garamond" w:cs="Times New Roman"/>
        </w:rPr>
        <w:t xml:space="preserve"> to have</w:t>
      </w:r>
    </w:p>
    <w:p w14:paraId="611CD1FC"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 xml:space="preserve">Thy mercies </w:t>
      </w:r>
      <w:proofErr w:type="spellStart"/>
      <w:r w:rsidRPr="003037D2">
        <w:rPr>
          <w:rFonts w:ascii="Garamond" w:eastAsia="Calibri" w:hAnsi="Garamond" w:cs="Times New Roman"/>
        </w:rPr>
        <w:t>ayde</w:t>
      </w:r>
      <w:proofErr w:type="spellEnd"/>
      <w:r w:rsidRPr="003037D2">
        <w:rPr>
          <w:rFonts w:ascii="Garamond" w:eastAsia="Calibri" w:hAnsi="Garamond" w:cs="Times New Roman"/>
        </w:rPr>
        <w:t xml:space="preserve"> in my so </w:t>
      </w:r>
      <w:proofErr w:type="spellStart"/>
      <w:r w:rsidRPr="003037D2">
        <w:rPr>
          <w:rFonts w:ascii="Garamond" w:eastAsia="Calibri" w:hAnsi="Garamond" w:cs="Times New Roman"/>
        </w:rPr>
        <w:t>woefull</w:t>
      </w:r>
      <w:proofErr w:type="spellEnd"/>
      <w:r w:rsidRPr="003037D2">
        <w:rPr>
          <w:rFonts w:ascii="Garamond" w:eastAsia="Calibri" w:hAnsi="Garamond" w:cs="Times New Roman"/>
        </w:rPr>
        <w:t xml:space="preserve"> case: </w:t>
      </w:r>
    </w:p>
    <w:p w14:paraId="29B09EFE"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 xml:space="preserve">My </w:t>
      </w:r>
      <w:proofErr w:type="spellStart"/>
      <w:r w:rsidRPr="003037D2">
        <w:rPr>
          <w:rFonts w:ascii="Garamond" w:eastAsia="Calibri" w:hAnsi="Garamond" w:cs="Times New Roman"/>
        </w:rPr>
        <w:t>sinne</w:t>
      </w:r>
      <w:proofErr w:type="spellEnd"/>
      <w:r w:rsidRPr="003037D2">
        <w:rPr>
          <w:rFonts w:ascii="Garamond" w:eastAsia="Calibri" w:hAnsi="Garamond" w:cs="Times New Roman"/>
        </w:rPr>
        <w:t xml:space="preserve"> is cause that scarce I dare to crave </w:t>
      </w:r>
    </w:p>
    <w:p w14:paraId="77D04612"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 xml:space="preserve">Thy </w:t>
      </w:r>
      <w:proofErr w:type="spellStart"/>
      <w:r w:rsidRPr="003037D2">
        <w:rPr>
          <w:rFonts w:ascii="Garamond" w:eastAsia="Calibri" w:hAnsi="Garamond" w:cs="Times New Roman"/>
        </w:rPr>
        <w:t>mericie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manyfolde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whiche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onely</w:t>
      </w:r>
      <w:proofErr w:type="spellEnd"/>
      <w:r w:rsidRPr="003037D2">
        <w:rPr>
          <w:rFonts w:ascii="Garamond" w:eastAsia="Calibri" w:hAnsi="Garamond" w:cs="Times New Roman"/>
        </w:rPr>
        <w:t xml:space="preserve"> may </w:t>
      </w:r>
    </w:p>
    <w:p w14:paraId="0C1D0B8A" w14:textId="77777777" w:rsidR="00162224" w:rsidRPr="003037D2" w:rsidRDefault="00162224" w:rsidP="00162224">
      <w:pPr>
        <w:ind w:left="2160"/>
        <w:rPr>
          <w:rFonts w:ascii="Garamond" w:eastAsia="Calibri" w:hAnsi="Garamond" w:cs="Times New Roman"/>
        </w:rPr>
      </w:pPr>
      <w:proofErr w:type="spellStart"/>
      <w:r w:rsidRPr="003037D2">
        <w:rPr>
          <w:rFonts w:ascii="Garamond" w:eastAsia="Calibri" w:hAnsi="Garamond" w:cs="Times New Roman"/>
        </w:rPr>
        <w:t>Releve</w:t>
      </w:r>
      <w:proofErr w:type="spellEnd"/>
      <w:r w:rsidRPr="003037D2">
        <w:rPr>
          <w:rFonts w:ascii="Garamond" w:eastAsia="Calibri" w:hAnsi="Garamond" w:cs="Times New Roman"/>
        </w:rPr>
        <w:t xml:space="preserve"> my </w:t>
      </w:r>
      <w:proofErr w:type="spellStart"/>
      <w:proofErr w:type="gramStart"/>
      <w:r w:rsidRPr="003037D2">
        <w:rPr>
          <w:rFonts w:ascii="Garamond" w:eastAsia="Calibri" w:hAnsi="Garamond" w:cs="Times New Roman"/>
        </w:rPr>
        <w:t>soule</w:t>
      </w:r>
      <w:proofErr w:type="spellEnd"/>
      <w:r w:rsidRPr="003037D2">
        <w:rPr>
          <w:rFonts w:ascii="Garamond" w:eastAsia="Calibri" w:hAnsi="Garamond" w:cs="Times New Roman"/>
        </w:rPr>
        <w:t>, and</w:t>
      </w:r>
      <w:proofErr w:type="gramEnd"/>
      <w:r w:rsidRPr="003037D2">
        <w:rPr>
          <w:rFonts w:ascii="Garamond" w:eastAsia="Calibri" w:hAnsi="Garamond" w:cs="Times New Roman"/>
        </w:rPr>
        <w:t xml:space="preserve"> take my </w:t>
      </w:r>
      <w:proofErr w:type="spellStart"/>
      <w:r w:rsidRPr="003037D2">
        <w:rPr>
          <w:rFonts w:ascii="Garamond" w:eastAsia="Calibri" w:hAnsi="Garamond" w:cs="Times New Roman"/>
        </w:rPr>
        <w:t>sinnes</w:t>
      </w:r>
      <w:proofErr w:type="spellEnd"/>
      <w:r w:rsidRPr="003037D2">
        <w:rPr>
          <w:rFonts w:ascii="Garamond" w:eastAsia="Calibri" w:hAnsi="Garamond" w:cs="Times New Roman"/>
        </w:rPr>
        <w:t xml:space="preserve"> away.</w:t>
      </w:r>
      <w:r w:rsidRPr="003037D2">
        <w:rPr>
          <w:rFonts w:ascii="Garamond" w:eastAsia="Calibri" w:hAnsi="Garamond" w:cs="Times New Roman"/>
          <w:vertAlign w:val="superscript"/>
        </w:rPr>
        <w:footnoteReference w:id="354"/>
      </w:r>
      <w:r w:rsidRPr="003037D2">
        <w:rPr>
          <w:rFonts w:ascii="Garamond" w:eastAsia="Calibri" w:hAnsi="Garamond" w:cs="Times New Roman"/>
        </w:rPr>
        <w:t xml:space="preserve"> </w:t>
      </w:r>
    </w:p>
    <w:p w14:paraId="51506F4B" w14:textId="77777777" w:rsidR="00162224" w:rsidRPr="003037D2" w:rsidRDefault="00162224" w:rsidP="00162224">
      <w:pPr>
        <w:spacing w:line="360" w:lineRule="auto"/>
        <w:ind w:left="2160"/>
        <w:rPr>
          <w:rFonts w:ascii="Garamond" w:eastAsia="Calibri" w:hAnsi="Garamond" w:cs="Times New Roman"/>
        </w:rPr>
      </w:pPr>
    </w:p>
    <w:p w14:paraId="15CA7900" w14:textId="77777777" w:rsidR="00162224" w:rsidRPr="003037D2" w:rsidRDefault="00162224" w:rsidP="00667CD5">
      <w:pPr>
        <w:spacing w:line="360" w:lineRule="auto"/>
        <w:rPr>
          <w:rFonts w:ascii="Garamond" w:eastAsia="Calibri" w:hAnsi="Garamond" w:cs="Times New Roman"/>
          <w:b/>
          <w:bCs/>
        </w:rPr>
      </w:pPr>
      <w:r w:rsidRPr="003037D2">
        <w:rPr>
          <w:rFonts w:ascii="Garamond" w:eastAsia="Calibri" w:hAnsi="Garamond" w:cs="Times New Roman"/>
        </w:rPr>
        <w:t>The need for ‘grace’ is aurally linked to their ‘</w:t>
      </w:r>
      <w:proofErr w:type="spellStart"/>
      <w:r w:rsidRPr="003037D2">
        <w:rPr>
          <w:rFonts w:ascii="Garamond" w:eastAsia="Calibri" w:hAnsi="Garamond" w:cs="Times New Roman"/>
        </w:rPr>
        <w:t>woefull</w:t>
      </w:r>
      <w:proofErr w:type="spellEnd"/>
      <w:r w:rsidRPr="003037D2">
        <w:rPr>
          <w:rFonts w:ascii="Garamond" w:eastAsia="Calibri" w:hAnsi="Garamond" w:cs="Times New Roman"/>
        </w:rPr>
        <w:t xml:space="preserve"> case’ by rhyme, and this </w:t>
      </w:r>
      <w:proofErr w:type="spellStart"/>
      <w:r w:rsidRPr="003037D2">
        <w:rPr>
          <w:rFonts w:ascii="Garamond" w:eastAsia="Calibri" w:hAnsi="Garamond" w:cs="Times New Roman"/>
        </w:rPr>
        <w:t>re-emphasises</w:t>
      </w:r>
      <w:proofErr w:type="spellEnd"/>
      <w:r w:rsidRPr="003037D2">
        <w:rPr>
          <w:rFonts w:ascii="Garamond" w:eastAsia="Calibri" w:hAnsi="Garamond" w:cs="Times New Roman"/>
        </w:rPr>
        <w:t xml:space="preserve"> the connection between these two states. The speaker’s argument </w:t>
      </w:r>
      <w:r w:rsidRPr="003037D2">
        <w:rPr>
          <w:rFonts w:ascii="Garamond" w:eastAsia="Calibri" w:hAnsi="Garamond" w:cs="Times New Roman"/>
        </w:rPr>
        <w:lastRenderedPageBreak/>
        <w:t>repeatedly turns back on itself: their sinful nature is both the reason they so need God’s forgiveness, and why they can scarcely bring themselves to ask for it. The ‘</w:t>
      </w:r>
      <w:proofErr w:type="spellStart"/>
      <w:r w:rsidRPr="003037D2">
        <w:rPr>
          <w:rFonts w:ascii="Garamond" w:eastAsia="Calibri" w:hAnsi="Garamond" w:cs="Times New Roman"/>
        </w:rPr>
        <w:t>sinnes</w:t>
      </w:r>
      <w:proofErr w:type="spellEnd"/>
      <w:r w:rsidRPr="003037D2">
        <w:rPr>
          <w:rFonts w:ascii="Garamond" w:eastAsia="Calibri" w:hAnsi="Garamond" w:cs="Times New Roman"/>
        </w:rPr>
        <w:t>’ that they beg to be removed recur three times within the verse. By enacting this quandary in both the form and content of the verse, the sinner enables themselves to articulate their need for ‘</w:t>
      </w:r>
      <w:proofErr w:type="spellStart"/>
      <w:r w:rsidRPr="003037D2">
        <w:rPr>
          <w:rFonts w:ascii="Garamond" w:eastAsia="Calibri" w:hAnsi="Garamond" w:cs="Times New Roman"/>
        </w:rPr>
        <w:t>mercie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manyfolde</w:t>
      </w:r>
      <w:proofErr w:type="spellEnd"/>
      <w:r w:rsidRPr="003037D2">
        <w:rPr>
          <w:rFonts w:ascii="Garamond" w:eastAsia="Calibri" w:hAnsi="Garamond" w:cs="Times New Roman"/>
        </w:rPr>
        <w:t xml:space="preserve">’. Throughout ‘Meditation’, Lock </w:t>
      </w:r>
      <w:proofErr w:type="spellStart"/>
      <w:r w:rsidRPr="003037D2">
        <w:rPr>
          <w:rFonts w:ascii="Garamond" w:eastAsia="Calibri" w:hAnsi="Garamond" w:cs="Times New Roman"/>
        </w:rPr>
        <w:t>emphasises</w:t>
      </w:r>
      <w:proofErr w:type="spellEnd"/>
      <w:r w:rsidRPr="003037D2">
        <w:rPr>
          <w:rFonts w:ascii="Garamond" w:eastAsia="Calibri" w:hAnsi="Garamond" w:cs="Times New Roman"/>
        </w:rPr>
        <w:t xml:space="preserve"> the inevitable recurrence of sin:</w:t>
      </w:r>
    </w:p>
    <w:p w14:paraId="1390A5EE" w14:textId="77777777" w:rsidR="00162224" w:rsidRPr="003037D2" w:rsidRDefault="00162224" w:rsidP="00162224">
      <w:pPr>
        <w:ind w:left="2268"/>
        <w:rPr>
          <w:rFonts w:ascii="Garamond" w:eastAsia="Calibri" w:hAnsi="Garamond" w:cs="Times New Roman"/>
        </w:rPr>
      </w:pPr>
      <w:proofErr w:type="spellStart"/>
      <w:r w:rsidRPr="003037D2">
        <w:rPr>
          <w:rFonts w:ascii="Garamond" w:eastAsia="Calibri" w:hAnsi="Garamond" w:cs="Times New Roman"/>
        </w:rPr>
        <w:t>Ofte</w:t>
      </w:r>
      <w:proofErr w:type="spellEnd"/>
      <w:r w:rsidRPr="003037D2">
        <w:rPr>
          <w:rFonts w:ascii="Garamond" w:eastAsia="Calibri" w:hAnsi="Garamond" w:cs="Times New Roman"/>
        </w:rPr>
        <w:t xml:space="preserve"> hath thy </w:t>
      </w:r>
      <w:proofErr w:type="spellStart"/>
      <w:r w:rsidRPr="003037D2">
        <w:rPr>
          <w:rFonts w:ascii="Garamond" w:eastAsia="Calibri" w:hAnsi="Garamond" w:cs="Times New Roman"/>
        </w:rPr>
        <w:t>mercie</w:t>
      </w:r>
      <w:proofErr w:type="spellEnd"/>
      <w:r w:rsidRPr="003037D2">
        <w:rPr>
          <w:rFonts w:ascii="Garamond" w:eastAsia="Calibri" w:hAnsi="Garamond" w:cs="Times New Roman"/>
        </w:rPr>
        <w:t xml:space="preserve"> washed me before,</w:t>
      </w:r>
    </w:p>
    <w:p w14:paraId="2F3A6664" w14:textId="77777777" w:rsidR="00162224" w:rsidRPr="003037D2" w:rsidRDefault="00162224" w:rsidP="00162224">
      <w:pPr>
        <w:ind w:left="2268"/>
        <w:rPr>
          <w:rFonts w:ascii="Garamond" w:eastAsia="Calibri" w:hAnsi="Garamond" w:cs="Times New Roman"/>
        </w:rPr>
      </w:pPr>
      <w:r w:rsidRPr="003037D2">
        <w:rPr>
          <w:rFonts w:ascii="Garamond" w:eastAsia="Calibri" w:hAnsi="Garamond" w:cs="Times New Roman"/>
        </w:rPr>
        <w:t xml:space="preserve">Thou </w:t>
      </w:r>
      <w:proofErr w:type="spellStart"/>
      <w:r w:rsidRPr="003037D2">
        <w:rPr>
          <w:rFonts w:ascii="Garamond" w:eastAsia="Calibri" w:hAnsi="Garamond" w:cs="Times New Roman"/>
        </w:rPr>
        <w:t>madest</w:t>
      </w:r>
      <w:proofErr w:type="spellEnd"/>
      <w:r w:rsidRPr="003037D2">
        <w:rPr>
          <w:rFonts w:ascii="Garamond" w:eastAsia="Calibri" w:hAnsi="Garamond" w:cs="Times New Roman"/>
        </w:rPr>
        <w:t xml:space="preserve"> me </w:t>
      </w:r>
      <w:proofErr w:type="spellStart"/>
      <w:r w:rsidRPr="003037D2">
        <w:rPr>
          <w:rFonts w:ascii="Garamond" w:eastAsia="Calibri" w:hAnsi="Garamond" w:cs="Times New Roman"/>
        </w:rPr>
        <w:t>cleane</w:t>
      </w:r>
      <w:proofErr w:type="spellEnd"/>
      <w:r w:rsidRPr="003037D2">
        <w:rPr>
          <w:rFonts w:ascii="Garamond" w:eastAsia="Calibri" w:hAnsi="Garamond" w:cs="Times New Roman"/>
        </w:rPr>
        <w:t xml:space="preserve">: but I am </w:t>
      </w:r>
      <w:proofErr w:type="spellStart"/>
      <w:r w:rsidRPr="003037D2">
        <w:rPr>
          <w:rFonts w:ascii="Garamond" w:eastAsia="Calibri" w:hAnsi="Garamond" w:cs="Times New Roman"/>
        </w:rPr>
        <w:t>foule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againe</w:t>
      </w:r>
      <w:proofErr w:type="spellEnd"/>
      <w:r w:rsidRPr="003037D2">
        <w:rPr>
          <w:rFonts w:ascii="Garamond" w:eastAsia="Calibri" w:hAnsi="Garamond" w:cs="Times New Roman"/>
        </w:rPr>
        <w:t>.</w:t>
      </w:r>
    </w:p>
    <w:p w14:paraId="6E76D661" w14:textId="77777777" w:rsidR="00162224" w:rsidRPr="003037D2" w:rsidRDefault="00162224" w:rsidP="00162224">
      <w:pPr>
        <w:ind w:left="2268"/>
        <w:rPr>
          <w:rFonts w:ascii="Garamond" w:eastAsia="Calibri" w:hAnsi="Garamond" w:cs="Times New Roman"/>
        </w:rPr>
      </w:pPr>
      <w:r w:rsidRPr="003037D2">
        <w:rPr>
          <w:rFonts w:ascii="Garamond" w:eastAsia="Calibri" w:hAnsi="Garamond" w:cs="Times New Roman"/>
        </w:rPr>
        <w:t xml:space="preserve">Yet </w:t>
      </w:r>
      <w:proofErr w:type="spellStart"/>
      <w:r w:rsidRPr="003037D2">
        <w:rPr>
          <w:rFonts w:ascii="Garamond" w:eastAsia="Calibri" w:hAnsi="Garamond" w:cs="Times New Roman"/>
        </w:rPr>
        <w:t>washe</w:t>
      </w:r>
      <w:proofErr w:type="spellEnd"/>
      <w:r w:rsidRPr="003037D2">
        <w:rPr>
          <w:rFonts w:ascii="Garamond" w:eastAsia="Calibri" w:hAnsi="Garamond" w:cs="Times New Roman"/>
        </w:rPr>
        <w:t xml:space="preserve"> me Lord </w:t>
      </w:r>
      <w:proofErr w:type="spellStart"/>
      <w:r w:rsidRPr="003037D2">
        <w:rPr>
          <w:rFonts w:ascii="Garamond" w:eastAsia="Calibri" w:hAnsi="Garamond" w:cs="Times New Roman"/>
        </w:rPr>
        <w:t>againe</w:t>
      </w:r>
      <w:proofErr w:type="spellEnd"/>
      <w:r w:rsidRPr="003037D2">
        <w:rPr>
          <w:rFonts w:ascii="Garamond" w:eastAsia="Calibri" w:hAnsi="Garamond" w:cs="Times New Roman"/>
        </w:rPr>
        <w:t xml:space="preserve">, and </w:t>
      </w:r>
      <w:proofErr w:type="spellStart"/>
      <w:r w:rsidRPr="003037D2">
        <w:rPr>
          <w:rFonts w:ascii="Garamond" w:eastAsia="Calibri" w:hAnsi="Garamond" w:cs="Times New Roman"/>
        </w:rPr>
        <w:t>washe</w:t>
      </w:r>
      <w:proofErr w:type="spellEnd"/>
      <w:r w:rsidRPr="003037D2">
        <w:rPr>
          <w:rFonts w:ascii="Garamond" w:eastAsia="Calibri" w:hAnsi="Garamond" w:cs="Times New Roman"/>
        </w:rPr>
        <w:t xml:space="preserve"> me more. </w:t>
      </w:r>
    </w:p>
    <w:p w14:paraId="600B2F16" w14:textId="77777777" w:rsidR="00162224" w:rsidRPr="003037D2" w:rsidRDefault="00162224" w:rsidP="00162224">
      <w:pPr>
        <w:ind w:left="2268"/>
        <w:rPr>
          <w:rFonts w:ascii="Garamond" w:eastAsia="Calibri" w:hAnsi="Garamond" w:cs="Times New Roman"/>
        </w:rPr>
      </w:pPr>
      <w:r w:rsidRPr="003037D2">
        <w:rPr>
          <w:rFonts w:ascii="Garamond" w:eastAsia="Calibri" w:hAnsi="Garamond" w:cs="Times New Roman"/>
        </w:rPr>
        <w:t xml:space="preserve">Wash me, O Lord, and do away the </w:t>
      </w:r>
      <w:proofErr w:type="spellStart"/>
      <w:r w:rsidRPr="003037D2">
        <w:rPr>
          <w:rFonts w:ascii="Garamond" w:eastAsia="Calibri" w:hAnsi="Garamond" w:cs="Times New Roman"/>
        </w:rPr>
        <w:t>staine</w:t>
      </w:r>
      <w:proofErr w:type="spellEnd"/>
      <w:r w:rsidRPr="003037D2">
        <w:rPr>
          <w:rFonts w:ascii="Garamond" w:eastAsia="Calibri" w:hAnsi="Garamond" w:cs="Times New Roman"/>
        </w:rPr>
        <w:t xml:space="preserve"> </w:t>
      </w:r>
    </w:p>
    <w:p w14:paraId="281A55E8" w14:textId="6F59F057" w:rsidR="00162224" w:rsidRDefault="00162224" w:rsidP="00162224">
      <w:pPr>
        <w:ind w:left="2268"/>
        <w:rPr>
          <w:rFonts w:ascii="Garamond" w:eastAsia="Calibri" w:hAnsi="Garamond" w:cs="Times New Roman"/>
        </w:rPr>
      </w:pPr>
      <w:r w:rsidRPr="003037D2">
        <w:rPr>
          <w:rFonts w:ascii="Garamond" w:eastAsia="Calibri" w:hAnsi="Garamond" w:cs="Times New Roman"/>
        </w:rPr>
        <w:t xml:space="preserve">Of ugly </w:t>
      </w:r>
      <w:proofErr w:type="spellStart"/>
      <w:r w:rsidRPr="003037D2">
        <w:rPr>
          <w:rFonts w:ascii="Garamond" w:eastAsia="Calibri" w:hAnsi="Garamond" w:cs="Times New Roman"/>
        </w:rPr>
        <w:t>sinnes</w:t>
      </w:r>
      <w:proofErr w:type="spellEnd"/>
      <w:r w:rsidRPr="003037D2">
        <w:rPr>
          <w:rFonts w:ascii="Garamond" w:eastAsia="Calibri" w:hAnsi="Garamond" w:cs="Times New Roman"/>
        </w:rPr>
        <w:t xml:space="preserve"> that in my </w:t>
      </w:r>
      <w:proofErr w:type="spellStart"/>
      <w:r w:rsidRPr="003037D2">
        <w:rPr>
          <w:rFonts w:ascii="Garamond" w:eastAsia="Calibri" w:hAnsi="Garamond" w:cs="Times New Roman"/>
        </w:rPr>
        <w:t>soule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appere</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355"/>
      </w:r>
      <w:r w:rsidRPr="003037D2">
        <w:rPr>
          <w:rFonts w:ascii="Garamond" w:eastAsia="Calibri" w:hAnsi="Garamond" w:cs="Times New Roman"/>
        </w:rPr>
        <w:t xml:space="preserve"> </w:t>
      </w:r>
    </w:p>
    <w:p w14:paraId="686628CC" w14:textId="77777777" w:rsidR="00667CD5" w:rsidRPr="003037D2" w:rsidRDefault="00667CD5" w:rsidP="00162224">
      <w:pPr>
        <w:ind w:left="2268"/>
        <w:rPr>
          <w:rFonts w:ascii="Garamond" w:eastAsia="Calibri" w:hAnsi="Garamond" w:cs="Times New Roman"/>
        </w:rPr>
      </w:pPr>
    </w:p>
    <w:p w14:paraId="155E62E0" w14:textId="5963E36A"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The speaker asks for God’s forgiveness, only to admit that they will need it time and time again. The ‘Meditation’ demonstrates the pastoral principle of repetition and self-doubt made visible in William Perkins’ ‘Golden </w:t>
      </w:r>
      <w:proofErr w:type="spellStart"/>
      <w:r w:rsidRPr="003037D2">
        <w:rPr>
          <w:rFonts w:ascii="Garamond" w:eastAsia="Calibri" w:hAnsi="Garamond" w:cs="Times New Roman"/>
        </w:rPr>
        <w:t>Chaine</w:t>
      </w:r>
      <w:proofErr w:type="spellEnd"/>
      <w:r w:rsidRPr="003037D2">
        <w:rPr>
          <w:rFonts w:ascii="Garamond" w:eastAsia="Calibri" w:hAnsi="Garamond" w:cs="Times New Roman"/>
        </w:rPr>
        <w:t>’ (</w:t>
      </w:r>
      <w:r w:rsidR="00ED0F4C">
        <w:rPr>
          <w:rFonts w:ascii="Garamond" w:eastAsia="Calibri" w:hAnsi="Garamond" w:cs="Times New Roman"/>
        </w:rPr>
        <w:t>s</w:t>
      </w:r>
      <w:r w:rsidRPr="003037D2">
        <w:rPr>
          <w:rFonts w:ascii="Garamond" w:eastAsia="Calibri" w:hAnsi="Garamond" w:cs="Times New Roman"/>
        </w:rPr>
        <w:t xml:space="preserve">ee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_Ref532208367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21</w:t>
      </w:r>
      <w:r w:rsidRPr="003037D2">
        <w:rPr>
          <w:rFonts w:ascii="Garamond" w:eastAsia="Calibri" w:hAnsi="Garamond" w:cs="Times New Roman"/>
        </w:rPr>
        <w:fldChar w:fldCharType="end"/>
      </w:r>
      <w:r w:rsidRPr="003037D2">
        <w:rPr>
          <w:rFonts w:ascii="Garamond" w:eastAsia="Calibri" w:hAnsi="Garamond" w:cs="Times New Roman"/>
        </w:rPr>
        <w:t xml:space="preserve">). </w:t>
      </w:r>
    </w:p>
    <w:p w14:paraId="6103EAB0" w14:textId="77777777" w:rsidR="00162224" w:rsidRPr="003037D2" w:rsidRDefault="00162224" w:rsidP="00162224">
      <w:pPr>
        <w:spacing w:line="360" w:lineRule="auto"/>
        <w:rPr>
          <w:rFonts w:ascii="Garamond" w:eastAsia="Calibri" w:hAnsi="Garamond" w:cs="Times New Roman"/>
        </w:rPr>
      </w:pPr>
    </w:p>
    <w:p w14:paraId="3D6B4097" w14:textId="77777777" w:rsidR="00F27EB0"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In this diagram, Perkins sets out the ‘the order of the causes of Salvation and Damnation, according to God’s work’.</w:t>
      </w:r>
      <w:r w:rsidRPr="003037D2">
        <w:rPr>
          <w:rFonts w:ascii="Garamond" w:eastAsia="Calibri" w:hAnsi="Garamond" w:cs="Times New Roman"/>
          <w:vertAlign w:val="superscript"/>
        </w:rPr>
        <w:footnoteReference w:id="356"/>
      </w:r>
      <w:r w:rsidRPr="003037D2">
        <w:rPr>
          <w:rFonts w:ascii="Garamond" w:eastAsia="Calibri" w:hAnsi="Garamond" w:cs="Times New Roman"/>
        </w:rPr>
        <w:t xml:space="preserve"> Even without reading the text in Perkins’s diagram, we can see the much more complex path that the course of ‘salvation’ must run in comparison to ‘damnation’. The nodules on the left-hand side are connected by a web of lines, drawing acute angles between different emotional states. The path of the ‘elect’ is more of a web than a simple linear progression, constantly being pulled back to the ‘doubting of election’ (in the top left-hand corner) and (below this) ‘unprofitable hearing; despair; doubting of faith’, ‘doubting of justification’ and ‘concupiscence of the flesh’.  In Lori Anne Ferrell’s terms</w:t>
      </w:r>
      <w:r w:rsidR="00F27EB0" w:rsidRPr="003037D2">
        <w:rPr>
          <w:rFonts w:ascii="Garamond" w:eastAsia="Calibri" w:hAnsi="Garamond" w:cs="Times New Roman"/>
        </w:rPr>
        <w:t>:</w:t>
      </w:r>
    </w:p>
    <w:p w14:paraId="7D70D9F6" w14:textId="6A3FBB4C" w:rsidR="00F27EB0" w:rsidRPr="003037D2" w:rsidRDefault="00162224" w:rsidP="00F27EB0">
      <w:pPr>
        <w:ind w:left="737" w:right="737"/>
        <w:rPr>
          <w:rFonts w:ascii="Garamond" w:eastAsia="Calibri" w:hAnsi="Garamond" w:cs="Times New Roman"/>
        </w:rPr>
      </w:pPr>
      <w:r w:rsidRPr="003037D2">
        <w:rPr>
          <w:rFonts w:ascii="Garamond" w:eastAsia="Calibri" w:hAnsi="Garamond" w:cs="Times New Roman"/>
        </w:rPr>
        <w:t>this crowd of encircled descriptions of temporal experiences, ‘doubting of election’ chief among them, is thus harnessed within a stabilizing depiction of divine decision. The diagram literally draws a pastoral principle out of human anxiety, demonstrating that such sensations are active: ongoing and necessary aspects of the work of making one’s election ‘sure’.</w:t>
      </w:r>
      <w:r w:rsidRPr="003037D2">
        <w:rPr>
          <w:rFonts w:ascii="Garamond" w:eastAsia="Calibri" w:hAnsi="Garamond" w:cs="Times New Roman"/>
          <w:vertAlign w:val="superscript"/>
        </w:rPr>
        <w:footnoteReference w:id="357"/>
      </w:r>
      <w:r w:rsidRPr="003037D2">
        <w:rPr>
          <w:rFonts w:ascii="Garamond" w:eastAsia="Calibri" w:hAnsi="Garamond" w:cs="Times New Roman"/>
        </w:rPr>
        <w:t xml:space="preserve"> </w:t>
      </w:r>
    </w:p>
    <w:p w14:paraId="2A0151B0" w14:textId="77777777" w:rsidR="00F27EB0" w:rsidRPr="003037D2" w:rsidRDefault="00F27EB0" w:rsidP="00F27EB0">
      <w:pPr>
        <w:ind w:left="737" w:right="737"/>
        <w:rPr>
          <w:rFonts w:ascii="Garamond" w:eastAsia="Calibri" w:hAnsi="Garamond" w:cs="Times New Roman"/>
        </w:rPr>
      </w:pPr>
    </w:p>
    <w:p w14:paraId="6E4F4E6E" w14:textId="540F9F2F" w:rsidR="00162224" w:rsidRPr="003037D2" w:rsidRDefault="00162224" w:rsidP="00F27EB0">
      <w:pPr>
        <w:spacing w:line="360" w:lineRule="auto"/>
        <w:rPr>
          <w:rFonts w:ascii="Garamond" w:eastAsia="Calibri" w:hAnsi="Garamond" w:cs="Times New Roman"/>
        </w:rPr>
      </w:pPr>
      <w:r w:rsidRPr="003037D2">
        <w:rPr>
          <w:rFonts w:ascii="Garamond" w:eastAsia="Calibri" w:hAnsi="Garamond" w:cs="Times New Roman"/>
        </w:rPr>
        <w:t xml:space="preserve">The life of the saved is visually interconnected with the life events of Christ, which run like a spine down the </w:t>
      </w:r>
      <w:proofErr w:type="spellStart"/>
      <w:r w:rsidRPr="003037D2">
        <w:rPr>
          <w:rFonts w:ascii="Garamond" w:eastAsia="Calibri" w:hAnsi="Garamond" w:cs="Times New Roman"/>
        </w:rPr>
        <w:t>centre</w:t>
      </w:r>
      <w:proofErr w:type="spellEnd"/>
      <w:r w:rsidRPr="003037D2">
        <w:rPr>
          <w:rFonts w:ascii="Garamond" w:eastAsia="Calibri" w:hAnsi="Garamond" w:cs="Times New Roman"/>
        </w:rPr>
        <w:t xml:space="preserve"> of the page, webbed in by line ‘A’, which shows ‘how faith doth apprehend Christ and all his benefits and </w:t>
      </w:r>
      <w:proofErr w:type="spellStart"/>
      <w:r w:rsidRPr="003037D2">
        <w:rPr>
          <w:rFonts w:ascii="Garamond" w:eastAsia="Calibri" w:hAnsi="Garamond" w:cs="Times New Roman"/>
        </w:rPr>
        <w:t>applieth</w:t>
      </w:r>
      <w:proofErr w:type="spellEnd"/>
      <w:r w:rsidRPr="003037D2">
        <w:rPr>
          <w:rFonts w:ascii="Garamond" w:eastAsia="Calibri" w:hAnsi="Garamond" w:cs="Times New Roman"/>
        </w:rPr>
        <w:t xml:space="preserve"> them to the person of every </w:t>
      </w:r>
      <w:r w:rsidRPr="003037D2">
        <w:rPr>
          <w:rFonts w:ascii="Garamond" w:eastAsia="Calibri" w:hAnsi="Garamond" w:cs="Times New Roman"/>
        </w:rPr>
        <w:lastRenderedPageBreak/>
        <w:t xml:space="preserve">believer’. By contrast, the line of the damned is hermeneutically sealed, reflecting only on itself without reaching out. The stasis is not only internal; it effects how the damned interact with the world around them.  </w:t>
      </w:r>
      <w:proofErr w:type="spellStart"/>
      <w:r w:rsidRPr="003037D2">
        <w:rPr>
          <w:rFonts w:ascii="Garamond" w:eastAsia="Calibri" w:hAnsi="Garamond" w:cs="Times New Roman"/>
        </w:rPr>
        <w:t>Ferell</w:t>
      </w:r>
      <w:proofErr w:type="spellEnd"/>
      <w:r w:rsidRPr="003037D2">
        <w:rPr>
          <w:rFonts w:ascii="Garamond" w:eastAsia="Calibri" w:hAnsi="Garamond" w:cs="Times New Roman"/>
        </w:rPr>
        <w:t xml:space="preserve"> draws out how in Perkins’ theology, the ‘ceaseless activity’ of a believer, as they move between different stages of belief and doubt, acts as a sign of their election, a type of movement she terms ‘protestant kinetics’.</w:t>
      </w:r>
      <w:r w:rsidRPr="003037D2">
        <w:rPr>
          <w:rFonts w:ascii="Garamond" w:eastAsia="Calibri" w:hAnsi="Garamond" w:cs="Times New Roman"/>
          <w:vertAlign w:val="superscript"/>
        </w:rPr>
        <w:footnoteReference w:id="358"/>
      </w:r>
      <w:r w:rsidRPr="003037D2">
        <w:rPr>
          <w:rFonts w:ascii="Garamond" w:eastAsia="Calibri" w:hAnsi="Garamond" w:cs="Times New Roman"/>
        </w:rPr>
        <w:t xml:space="preserve"> In Lock</w:t>
      </w:r>
      <w:r w:rsidR="00805301" w:rsidRPr="003037D2">
        <w:rPr>
          <w:rFonts w:ascii="Garamond" w:eastAsia="Calibri" w:hAnsi="Garamond" w:cs="Times New Roman"/>
        </w:rPr>
        <w:t>’s</w:t>
      </w:r>
      <w:r w:rsidRPr="003037D2">
        <w:rPr>
          <w:rFonts w:ascii="Garamond" w:eastAsia="Calibri" w:hAnsi="Garamond" w:cs="Times New Roman"/>
        </w:rPr>
        <w:t xml:space="preserve"> and Sidney</w:t>
      </w:r>
      <w:r w:rsidR="002F1250">
        <w:rPr>
          <w:rFonts w:ascii="Garamond" w:eastAsia="Calibri" w:hAnsi="Garamond" w:cs="Times New Roman"/>
        </w:rPr>
        <w:t xml:space="preserve"> Herbert</w:t>
      </w:r>
      <w:r w:rsidRPr="003037D2">
        <w:rPr>
          <w:rFonts w:ascii="Garamond" w:eastAsia="Calibri" w:hAnsi="Garamond" w:cs="Times New Roman"/>
        </w:rPr>
        <w:t xml:space="preserve">’s renditions of Psalm 51, we see how this anxiety and ceaseless yet circular movement might render itself. </w:t>
      </w:r>
    </w:p>
    <w:p w14:paraId="7380D2C3" w14:textId="77777777" w:rsidR="00162224" w:rsidRPr="003037D2" w:rsidRDefault="00162224" w:rsidP="00162224">
      <w:pPr>
        <w:spacing w:after="120" w:line="360" w:lineRule="auto"/>
        <w:rPr>
          <w:rFonts w:ascii="Garamond" w:eastAsia="Calibri" w:hAnsi="Garamond" w:cs="Times New Roman"/>
        </w:rPr>
      </w:pPr>
    </w:p>
    <w:p w14:paraId="302265F9" w14:textId="77777777" w:rsidR="00162224" w:rsidRPr="003037D2" w:rsidRDefault="00162224" w:rsidP="00162224">
      <w:pPr>
        <w:keepNext/>
        <w:keepLines/>
        <w:numPr>
          <w:ilvl w:val="0"/>
          <w:numId w:val="26"/>
        </w:numPr>
        <w:spacing w:before="40" w:line="360" w:lineRule="auto"/>
        <w:outlineLvl w:val="2"/>
        <w:rPr>
          <w:rFonts w:ascii="Garamond" w:eastAsia="Times New Roman" w:hAnsi="Garamond" w:cs="Times New Roman"/>
        </w:rPr>
      </w:pPr>
      <w:bookmarkStart w:id="35" w:name="_Toc3967176"/>
      <w:r w:rsidRPr="003037D2">
        <w:rPr>
          <w:rFonts w:ascii="Garamond" w:eastAsia="Times New Roman" w:hAnsi="Garamond" w:cs="Times New Roman"/>
        </w:rPr>
        <w:t>The Sidney Psalter and Psalm 51</w:t>
      </w:r>
      <w:bookmarkEnd w:id="35"/>
      <w:r w:rsidRPr="003037D2">
        <w:rPr>
          <w:rFonts w:ascii="Garamond" w:eastAsia="Times New Roman" w:hAnsi="Garamond" w:cs="Times New Roman"/>
        </w:rPr>
        <w:t xml:space="preserve"> </w:t>
      </w:r>
    </w:p>
    <w:p w14:paraId="32AEC0EC" w14:textId="77777777" w:rsidR="00162224" w:rsidRPr="003037D2" w:rsidRDefault="00162224" w:rsidP="00162224">
      <w:pPr>
        <w:spacing w:line="360" w:lineRule="auto"/>
        <w:rPr>
          <w:rFonts w:ascii="Garamond" w:eastAsia="Calibri" w:hAnsi="Garamond" w:cs="Times New Roman"/>
        </w:rPr>
      </w:pPr>
    </w:p>
    <w:p w14:paraId="752BF1CD" w14:textId="2AE56901" w:rsidR="00162224" w:rsidRPr="003037D2" w:rsidRDefault="00162224" w:rsidP="00162224">
      <w:pPr>
        <w:spacing w:after="120" w:line="360" w:lineRule="auto"/>
        <w:ind w:firstLine="720"/>
        <w:rPr>
          <w:rFonts w:ascii="Garamond" w:eastAsia="Calibri" w:hAnsi="Garamond" w:cs="Times New Roman"/>
        </w:rPr>
      </w:pPr>
      <w:r w:rsidRPr="003037D2">
        <w:rPr>
          <w:rFonts w:ascii="Garamond" w:eastAsia="Calibri" w:hAnsi="Garamond" w:cs="Times New Roman"/>
        </w:rPr>
        <w:t>Mary Sidney Herbert’s rendering of Psalm 51 similarly uses form to create a sense of enclosure.</w:t>
      </w:r>
      <w:r w:rsidRPr="003037D2">
        <w:rPr>
          <w:rFonts w:ascii="Garamond" w:eastAsia="Calibri" w:hAnsi="Garamond" w:cs="Times New Roman"/>
          <w:vertAlign w:val="superscript"/>
        </w:rPr>
        <w:footnoteReference w:id="359"/>
      </w:r>
      <w:r w:rsidRPr="003037D2">
        <w:rPr>
          <w:rFonts w:ascii="Garamond" w:eastAsia="Calibri" w:hAnsi="Garamond" w:cs="Times New Roman"/>
        </w:rPr>
        <w:t xml:space="preserve"> As a whole, </w:t>
      </w:r>
      <w:r w:rsidRPr="003037D2">
        <w:rPr>
          <w:rFonts w:ascii="Garamond" w:eastAsia="Calibri" w:hAnsi="Garamond" w:cs="Times New Roman"/>
          <w:i/>
          <w:iCs/>
        </w:rPr>
        <w:t>The Sidney Psalter</w:t>
      </w:r>
      <w:r w:rsidRPr="003037D2">
        <w:rPr>
          <w:rFonts w:ascii="Garamond" w:eastAsia="Calibri" w:hAnsi="Garamond" w:cs="Times New Roman"/>
        </w:rPr>
        <w:t xml:space="preserve"> is a dazzling demonstration of Philip and Mary’s creativity, as each of the 150 Psalms is recreated in a different form, out-performing Parker’s boasts of ‘</w:t>
      </w:r>
      <w:proofErr w:type="spellStart"/>
      <w:r w:rsidRPr="003037D2">
        <w:rPr>
          <w:rFonts w:ascii="Garamond" w:eastAsia="Calibri" w:hAnsi="Garamond" w:cs="Times New Roman"/>
        </w:rPr>
        <w:t>rythmes</w:t>
      </w:r>
      <w:proofErr w:type="spellEnd"/>
      <w:r w:rsidRPr="003037D2">
        <w:rPr>
          <w:rFonts w:ascii="Garamond" w:eastAsia="Calibri" w:hAnsi="Garamond" w:cs="Times New Roman"/>
        </w:rPr>
        <w:t xml:space="preserve"> of diverse </w:t>
      </w:r>
      <w:proofErr w:type="spellStart"/>
      <w:r w:rsidRPr="003037D2">
        <w:rPr>
          <w:rFonts w:ascii="Garamond" w:eastAsia="Calibri" w:hAnsi="Garamond" w:cs="Times New Roman"/>
        </w:rPr>
        <w:t>kynde</w:t>
      </w:r>
      <w:proofErr w:type="spellEnd"/>
      <w:r w:rsidRPr="003037D2">
        <w:rPr>
          <w:rFonts w:ascii="Garamond" w:eastAsia="Calibri" w:hAnsi="Garamond" w:cs="Times New Roman"/>
        </w:rPr>
        <w:t>’ for diverse ‘</w:t>
      </w:r>
      <w:proofErr w:type="spellStart"/>
      <w:r w:rsidRPr="003037D2">
        <w:rPr>
          <w:rFonts w:ascii="Garamond" w:eastAsia="Calibri" w:hAnsi="Garamond" w:cs="Times New Roman"/>
        </w:rPr>
        <w:t>myndes</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360"/>
      </w:r>
      <w:r w:rsidR="00805301" w:rsidRPr="003037D2">
        <w:rPr>
          <w:rFonts w:ascii="Garamond" w:eastAsia="Calibri" w:hAnsi="Garamond" w:cs="Times New Roman"/>
        </w:rPr>
        <w:t xml:space="preserve"> </w:t>
      </w:r>
      <w:r w:rsidRPr="003037D2">
        <w:rPr>
          <w:rFonts w:ascii="Garamond" w:eastAsia="Calibri" w:hAnsi="Garamond" w:cs="Times New Roman"/>
        </w:rPr>
        <w:t xml:space="preserve">It could perhaps be argued that this very proliferation of forms enacts penance, as the poets appear to strain themselves creatively to offer praise and </w:t>
      </w:r>
      <w:proofErr w:type="spellStart"/>
      <w:r w:rsidRPr="003037D2">
        <w:rPr>
          <w:rFonts w:ascii="Garamond" w:eastAsia="Calibri" w:hAnsi="Garamond" w:cs="Times New Roman"/>
        </w:rPr>
        <w:t>honour</w:t>
      </w:r>
      <w:proofErr w:type="spellEnd"/>
      <w:r w:rsidRPr="003037D2">
        <w:rPr>
          <w:rFonts w:ascii="Garamond" w:eastAsia="Calibri" w:hAnsi="Garamond" w:cs="Times New Roman"/>
        </w:rPr>
        <w:t xml:space="preserve"> to God. Psalm 51 is one of two poems in the Sidney Psalter to make use of </w:t>
      </w:r>
      <w:r w:rsidRPr="003037D2">
        <w:rPr>
          <w:rFonts w:ascii="Garamond" w:eastAsia="Calibri" w:hAnsi="Garamond" w:cs="Times New Roman"/>
          <w:i/>
        </w:rPr>
        <w:t xml:space="preserve">rhyme </w:t>
      </w:r>
      <w:proofErr w:type="spellStart"/>
      <w:r w:rsidRPr="003037D2">
        <w:rPr>
          <w:rFonts w:ascii="Garamond" w:eastAsia="Calibri" w:hAnsi="Garamond" w:cs="Times New Roman"/>
          <w:i/>
        </w:rPr>
        <w:t>royale</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361"/>
      </w:r>
      <w:r w:rsidRPr="003037D2">
        <w:rPr>
          <w:rFonts w:ascii="Garamond" w:eastAsia="Calibri" w:hAnsi="Garamond" w:cs="Times New Roman"/>
        </w:rPr>
        <w:t xml:space="preserve"> This already tightly bound form is constrained still further by the reappearance of rhymes between stanzas. The form of the psalm enacts the temporal reality of repentance: a constant repetition, an inability to let go, to be ‘purged’ ‘with hyssop’ of their ‘faulty filthiness’. Of eight stanzas, five </w:t>
      </w:r>
      <w:proofErr w:type="gramStart"/>
      <w:r w:rsidRPr="003037D2">
        <w:rPr>
          <w:rFonts w:ascii="Garamond" w:eastAsia="Calibri" w:hAnsi="Garamond" w:cs="Times New Roman"/>
        </w:rPr>
        <w:t>close</w:t>
      </w:r>
      <w:proofErr w:type="gramEnd"/>
      <w:r w:rsidRPr="003037D2">
        <w:rPr>
          <w:rFonts w:ascii="Garamond" w:eastAsia="Calibri" w:hAnsi="Garamond" w:cs="Times New Roman"/>
        </w:rPr>
        <w:t xml:space="preserve"> with parallel rhyming couplets: </w:t>
      </w:r>
    </w:p>
    <w:p w14:paraId="31E83E09" w14:textId="77777777" w:rsidR="00162224" w:rsidRPr="003037D2" w:rsidRDefault="00162224" w:rsidP="002F1250">
      <w:pPr>
        <w:ind w:firstLine="720"/>
        <w:jc w:val="center"/>
        <w:rPr>
          <w:rFonts w:ascii="Garamond" w:eastAsia="Calibri" w:hAnsi="Garamond" w:cs="Times New Roman"/>
        </w:rPr>
      </w:pPr>
      <w:r w:rsidRPr="003037D2">
        <w:rPr>
          <w:rFonts w:ascii="Garamond" w:eastAsia="Calibri" w:hAnsi="Garamond" w:cs="Times New Roman"/>
        </w:rPr>
        <w:t>Thy doom may pass against my guilt awarded,</w:t>
      </w:r>
    </w:p>
    <w:p w14:paraId="35A09CC9" w14:textId="77777777" w:rsidR="00162224" w:rsidRPr="003037D2" w:rsidRDefault="00162224" w:rsidP="002F1250">
      <w:pPr>
        <w:ind w:left="2160" w:firstLine="720"/>
        <w:rPr>
          <w:rFonts w:ascii="Garamond" w:eastAsia="Calibri" w:hAnsi="Garamond" w:cs="Times New Roman"/>
        </w:rPr>
      </w:pPr>
      <w:r w:rsidRPr="003037D2">
        <w:rPr>
          <w:rFonts w:ascii="Garamond" w:eastAsia="Calibri" w:hAnsi="Garamond" w:cs="Times New Roman"/>
        </w:rPr>
        <w:t>Thy evidence for truth may be regarded.</w:t>
      </w:r>
    </w:p>
    <w:p w14:paraId="6DABA9BA" w14:textId="77777777" w:rsidR="00162224" w:rsidRPr="003037D2" w:rsidRDefault="00162224" w:rsidP="00162224">
      <w:pPr>
        <w:spacing w:after="120"/>
        <w:ind w:firstLine="720"/>
        <w:jc w:val="center"/>
        <w:rPr>
          <w:rFonts w:ascii="Garamond" w:eastAsia="Calibri" w:hAnsi="Garamond" w:cs="Times New Roman"/>
        </w:rPr>
      </w:pPr>
      <w:r w:rsidRPr="003037D2">
        <w:rPr>
          <w:rFonts w:ascii="Garamond" w:eastAsia="Calibri" w:hAnsi="Garamond" w:cs="Times New Roman"/>
        </w:rPr>
        <w:t>*</w:t>
      </w:r>
    </w:p>
    <w:p w14:paraId="6D9B352F" w14:textId="77777777" w:rsidR="00162224" w:rsidRPr="003037D2" w:rsidRDefault="00162224" w:rsidP="002F1250">
      <w:pPr>
        <w:ind w:firstLine="720"/>
        <w:jc w:val="center"/>
        <w:rPr>
          <w:rFonts w:ascii="Garamond" w:eastAsia="Calibri" w:hAnsi="Garamond" w:cs="Times New Roman"/>
        </w:rPr>
      </w:pPr>
      <w:r w:rsidRPr="003037D2">
        <w:rPr>
          <w:rFonts w:ascii="Garamond" w:eastAsia="Calibri" w:hAnsi="Garamond" w:cs="Times New Roman"/>
        </w:rPr>
        <w:t xml:space="preserve">And inward truth: which, hardly else </w:t>
      </w:r>
      <w:proofErr w:type="spellStart"/>
      <w:r w:rsidRPr="003037D2">
        <w:rPr>
          <w:rFonts w:ascii="Garamond" w:eastAsia="Calibri" w:hAnsi="Garamond" w:cs="Times New Roman"/>
        </w:rPr>
        <w:t>discernèd</w:t>
      </w:r>
      <w:proofErr w:type="spellEnd"/>
      <w:r w:rsidRPr="003037D2">
        <w:rPr>
          <w:rFonts w:ascii="Garamond" w:eastAsia="Calibri" w:hAnsi="Garamond" w:cs="Times New Roman"/>
        </w:rPr>
        <w:t>,</w:t>
      </w:r>
    </w:p>
    <w:p w14:paraId="76544C93" w14:textId="77777777" w:rsidR="00162224" w:rsidRPr="003037D2" w:rsidRDefault="00162224" w:rsidP="002F1250">
      <w:pPr>
        <w:ind w:firstLine="720"/>
        <w:jc w:val="center"/>
        <w:rPr>
          <w:rFonts w:ascii="Garamond" w:eastAsia="Calibri" w:hAnsi="Garamond" w:cs="Times New Roman"/>
        </w:rPr>
      </w:pPr>
      <w:r w:rsidRPr="003037D2">
        <w:rPr>
          <w:rFonts w:ascii="Garamond" w:eastAsia="Calibri" w:hAnsi="Garamond" w:cs="Times New Roman"/>
        </w:rPr>
        <w:t xml:space="preserve">My truant soul in thy hid school hath </w:t>
      </w:r>
      <w:proofErr w:type="spellStart"/>
      <w:r w:rsidRPr="003037D2">
        <w:rPr>
          <w:rFonts w:ascii="Garamond" w:eastAsia="Calibri" w:hAnsi="Garamond" w:cs="Times New Roman"/>
        </w:rPr>
        <w:t>learnèd</w:t>
      </w:r>
      <w:proofErr w:type="spellEnd"/>
      <w:r w:rsidRPr="003037D2">
        <w:rPr>
          <w:rFonts w:ascii="Garamond" w:eastAsia="Calibri" w:hAnsi="Garamond" w:cs="Times New Roman"/>
        </w:rPr>
        <w:t>.</w:t>
      </w:r>
    </w:p>
    <w:p w14:paraId="1B0A9106" w14:textId="77777777" w:rsidR="00162224" w:rsidRPr="003037D2" w:rsidRDefault="00162224" w:rsidP="00162224">
      <w:pPr>
        <w:spacing w:after="120"/>
        <w:ind w:firstLine="720"/>
        <w:jc w:val="center"/>
        <w:rPr>
          <w:rFonts w:ascii="Garamond" w:eastAsia="Calibri" w:hAnsi="Garamond" w:cs="Times New Roman"/>
        </w:rPr>
      </w:pPr>
      <w:r w:rsidRPr="003037D2">
        <w:rPr>
          <w:rFonts w:ascii="Garamond" w:eastAsia="Calibri" w:hAnsi="Garamond" w:cs="Times New Roman"/>
        </w:rPr>
        <w:t>*</w:t>
      </w:r>
    </w:p>
    <w:p w14:paraId="7F6A6320" w14:textId="77777777" w:rsidR="00162224" w:rsidRPr="003037D2" w:rsidRDefault="00162224" w:rsidP="002F1250">
      <w:pPr>
        <w:ind w:firstLine="720"/>
        <w:jc w:val="center"/>
        <w:rPr>
          <w:rFonts w:ascii="Garamond" w:eastAsia="Calibri" w:hAnsi="Garamond" w:cs="Times New Roman"/>
        </w:rPr>
      </w:pPr>
      <w:r w:rsidRPr="003037D2">
        <w:rPr>
          <w:rFonts w:ascii="Garamond" w:eastAsia="Calibri" w:hAnsi="Garamond" w:cs="Times New Roman"/>
        </w:rPr>
        <w:t xml:space="preserve">My bloody crime: </w:t>
      </w:r>
      <w:proofErr w:type="gramStart"/>
      <w:r w:rsidRPr="003037D2">
        <w:rPr>
          <w:rFonts w:ascii="Garamond" w:eastAsia="Calibri" w:hAnsi="Garamond" w:cs="Times New Roman"/>
        </w:rPr>
        <w:t>so</w:t>
      </w:r>
      <w:proofErr w:type="gramEnd"/>
      <w:r w:rsidRPr="003037D2">
        <w:rPr>
          <w:rFonts w:ascii="Garamond" w:eastAsia="Calibri" w:hAnsi="Garamond" w:cs="Times New Roman"/>
        </w:rPr>
        <w:t xml:space="preserve"> shall my tongue be </w:t>
      </w:r>
      <w:proofErr w:type="spellStart"/>
      <w:r w:rsidRPr="003037D2">
        <w:rPr>
          <w:rFonts w:ascii="Garamond" w:eastAsia="Calibri" w:hAnsi="Garamond" w:cs="Times New Roman"/>
        </w:rPr>
        <w:t>raisèd</w:t>
      </w:r>
      <w:proofErr w:type="spellEnd"/>
    </w:p>
    <w:p w14:paraId="2F69BB90" w14:textId="77777777" w:rsidR="00162224" w:rsidRPr="003037D2" w:rsidRDefault="00162224" w:rsidP="002F1250">
      <w:pPr>
        <w:ind w:firstLine="720"/>
        <w:jc w:val="center"/>
        <w:rPr>
          <w:rFonts w:ascii="Garamond" w:eastAsia="Calibri" w:hAnsi="Garamond" w:cs="Times New Roman"/>
        </w:rPr>
      </w:pPr>
      <w:r w:rsidRPr="003037D2">
        <w:rPr>
          <w:rFonts w:ascii="Garamond" w:eastAsia="Calibri" w:hAnsi="Garamond" w:cs="Times New Roman"/>
        </w:rPr>
        <w:t xml:space="preserve">To praise thy truth, enough cannot be </w:t>
      </w:r>
      <w:proofErr w:type="spellStart"/>
      <w:r w:rsidRPr="003037D2">
        <w:rPr>
          <w:rFonts w:ascii="Garamond" w:eastAsia="Calibri" w:hAnsi="Garamond" w:cs="Times New Roman"/>
        </w:rPr>
        <w:t>praisèd</w:t>
      </w:r>
      <w:proofErr w:type="spellEnd"/>
      <w:r w:rsidRPr="003037D2">
        <w:rPr>
          <w:rFonts w:ascii="Garamond" w:eastAsia="Calibri" w:hAnsi="Garamond" w:cs="Times New Roman"/>
        </w:rPr>
        <w:t>.</w:t>
      </w:r>
    </w:p>
    <w:p w14:paraId="064D3D63" w14:textId="77777777" w:rsidR="00162224" w:rsidRPr="003037D2" w:rsidRDefault="00162224" w:rsidP="00162224">
      <w:pPr>
        <w:spacing w:after="120"/>
        <w:ind w:firstLine="720"/>
        <w:jc w:val="center"/>
        <w:rPr>
          <w:rFonts w:ascii="Garamond" w:eastAsia="Calibri" w:hAnsi="Garamond" w:cs="Times New Roman"/>
        </w:rPr>
      </w:pPr>
      <w:r w:rsidRPr="003037D2">
        <w:rPr>
          <w:rFonts w:ascii="Garamond" w:eastAsia="Calibri" w:hAnsi="Garamond" w:cs="Times New Roman"/>
        </w:rPr>
        <w:t>*</w:t>
      </w:r>
    </w:p>
    <w:p w14:paraId="5C38A9AC" w14:textId="77777777" w:rsidR="00162224" w:rsidRPr="003037D2" w:rsidRDefault="00162224" w:rsidP="002F1250">
      <w:pPr>
        <w:ind w:firstLine="720"/>
        <w:jc w:val="center"/>
        <w:rPr>
          <w:rFonts w:ascii="Garamond" w:eastAsia="Calibri" w:hAnsi="Garamond" w:cs="Times New Roman"/>
        </w:rPr>
      </w:pPr>
      <w:r w:rsidRPr="003037D2">
        <w:rPr>
          <w:rFonts w:ascii="Garamond" w:eastAsia="Calibri" w:hAnsi="Garamond" w:cs="Times New Roman"/>
        </w:rPr>
        <w:t>The sacrifice that God will hold respected,</w:t>
      </w:r>
    </w:p>
    <w:p w14:paraId="04D219DC" w14:textId="77777777" w:rsidR="00162224" w:rsidRPr="003037D2" w:rsidRDefault="00162224" w:rsidP="002F1250">
      <w:pPr>
        <w:ind w:firstLine="720"/>
        <w:jc w:val="center"/>
        <w:rPr>
          <w:rFonts w:ascii="Garamond" w:eastAsia="Calibri" w:hAnsi="Garamond" w:cs="Times New Roman"/>
        </w:rPr>
      </w:pPr>
      <w:r w:rsidRPr="003037D2">
        <w:rPr>
          <w:rFonts w:ascii="Garamond" w:eastAsia="Calibri" w:hAnsi="Garamond" w:cs="Times New Roman"/>
        </w:rPr>
        <w:t xml:space="preserve">Is the heart-broken soul, the sprite </w:t>
      </w:r>
      <w:proofErr w:type="gramStart"/>
      <w:r w:rsidRPr="003037D2">
        <w:rPr>
          <w:rFonts w:ascii="Garamond" w:eastAsia="Calibri" w:hAnsi="Garamond" w:cs="Times New Roman"/>
        </w:rPr>
        <w:t>dejected</w:t>
      </w:r>
      <w:proofErr w:type="gramEnd"/>
    </w:p>
    <w:p w14:paraId="0B36AF64" w14:textId="77777777" w:rsidR="00162224" w:rsidRPr="003037D2" w:rsidRDefault="00162224" w:rsidP="00162224">
      <w:pPr>
        <w:spacing w:after="120"/>
        <w:ind w:firstLine="720"/>
        <w:jc w:val="center"/>
        <w:rPr>
          <w:rFonts w:ascii="Garamond" w:eastAsia="Calibri" w:hAnsi="Garamond" w:cs="Times New Roman"/>
        </w:rPr>
      </w:pPr>
      <w:r w:rsidRPr="003037D2">
        <w:rPr>
          <w:rFonts w:ascii="Garamond" w:eastAsia="Calibri" w:hAnsi="Garamond" w:cs="Times New Roman"/>
        </w:rPr>
        <w:lastRenderedPageBreak/>
        <w:t>*</w:t>
      </w:r>
    </w:p>
    <w:p w14:paraId="4BF35815" w14:textId="77777777" w:rsidR="00162224" w:rsidRPr="003037D2" w:rsidRDefault="00162224" w:rsidP="002F1250">
      <w:pPr>
        <w:ind w:firstLine="720"/>
        <w:jc w:val="center"/>
        <w:rPr>
          <w:rFonts w:ascii="Garamond" w:eastAsia="Calibri" w:hAnsi="Garamond" w:cs="Times New Roman"/>
        </w:rPr>
      </w:pPr>
      <w:r w:rsidRPr="003037D2">
        <w:rPr>
          <w:rFonts w:ascii="Garamond" w:eastAsia="Calibri" w:hAnsi="Garamond" w:cs="Times New Roman"/>
        </w:rPr>
        <w:t xml:space="preserve">To sacred fires with offered gifts </w:t>
      </w:r>
      <w:proofErr w:type="spellStart"/>
      <w:r w:rsidRPr="003037D2">
        <w:rPr>
          <w:rFonts w:ascii="Garamond" w:eastAsia="Calibri" w:hAnsi="Garamond" w:cs="Times New Roman"/>
        </w:rPr>
        <w:t>perfumèd</w:t>
      </w:r>
      <w:proofErr w:type="spellEnd"/>
      <w:r w:rsidRPr="003037D2">
        <w:rPr>
          <w:rFonts w:ascii="Garamond" w:eastAsia="Calibri" w:hAnsi="Garamond" w:cs="Times New Roman"/>
        </w:rPr>
        <w:t>:</w:t>
      </w:r>
    </w:p>
    <w:p w14:paraId="518705C7" w14:textId="77777777" w:rsidR="00162224" w:rsidRPr="003037D2" w:rsidRDefault="00162224" w:rsidP="002F1250">
      <w:pPr>
        <w:ind w:firstLine="720"/>
        <w:jc w:val="center"/>
        <w:rPr>
          <w:rFonts w:ascii="Garamond" w:eastAsia="Calibri" w:hAnsi="Garamond" w:cs="Times New Roman"/>
        </w:rPr>
      </w:pPr>
      <w:r w:rsidRPr="003037D2">
        <w:rPr>
          <w:rFonts w:ascii="Garamond" w:eastAsia="Calibri" w:hAnsi="Garamond" w:cs="Times New Roman"/>
        </w:rPr>
        <w:t xml:space="preserve">Till </w:t>
      </w:r>
      <w:proofErr w:type="spellStart"/>
      <w:r w:rsidRPr="003037D2">
        <w:rPr>
          <w:rFonts w:ascii="Garamond" w:eastAsia="Calibri" w:hAnsi="Garamond" w:cs="Times New Roman"/>
        </w:rPr>
        <w:t>ev’n</w:t>
      </w:r>
      <w:proofErr w:type="spellEnd"/>
      <w:r w:rsidRPr="003037D2">
        <w:rPr>
          <w:rFonts w:ascii="Garamond" w:eastAsia="Calibri" w:hAnsi="Garamond" w:cs="Times New Roman"/>
        </w:rPr>
        <w:t xml:space="preserve"> whole calves on altars be </w:t>
      </w:r>
      <w:proofErr w:type="spellStart"/>
      <w:r w:rsidRPr="003037D2">
        <w:rPr>
          <w:rFonts w:ascii="Garamond" w:eastAsia="Calibri" w:hAnsi="Garamond" w:cs="Times New Roman"/>
        </w:rPr>
        <w:t>consumèd</w:t>
      </w:r>
      <w:proofErr w:type="spellEnd"/>
      <w:r w:rsidRPr="003037D2">
        <w:rPr>
          <w:rFonts w:ascii="Garamond" w:eastAsia="Calibri" w:hAnsi="Garamond" w:cs="Times New Roman"/>
        </w:rPr>
        <w:t>.</w:t>
      </w:r>
    </w:p>
    <w:p w14:paraId="43F58F90" w14:textId="77777777" w:rsidR="00162224" w:rsidRPr="003037D2" w:rsidRDefault="00162224" w:rsidP="00162224">
      <w:pPr>
        <w:spacing w:after="120"/>
        <w:ind w:firstLine="720"/>
        <w:jc w:val="center"/>
        <w:rPr>
          <w:rFonts w:ascii="Garamond" w:eastAsia="Calibri" w:hAnsi="Garamond" w:cs="Times New Roman"/>
        </w:rPr>
      </w:pPr>
    </w:p>
    <w:p w14:paraId="3E917336" w14:textId="78002017" w:rsidR="00162224" w:rsidRPr="003037D2" w:rsidRDefault="00162224" w:rsidP="00162224">
      <w:pPr>
        <w:spacing w:after="120" w:line="360" w:lineRule="auto"/>
        <w:rPr>
          <w:rFonts w:ascii="Garamond" w:eastAsia="Calibri" w:hAnsi="Garamond" w:cs="Times New Roman"/>
        </w:rPr>
      </w:pPr>
      <w:r w:rsidRPr="003037D2">
        <w:rPr>
          <w:rFonts w:ascii="Garamond" w:eastAsia="Calibri" w:hAnsi="Garamond" w:cs="Times New Roman"/>
        </w:rPr>
        <w:t>The frequent repetition of this rhyme creates</w:t>
      </w:r>
      <w:r w:rsidR="00220117" w:rsidRPr="003037D2">
        <w:rPr>
          <w:rFonts w:ascii="Garamond" w:eastAsia="Calibri" w:hAnsi="Garamond" w:cs="Times New Roman"/>
        </w:rPr>
        <w:t xml:space="preserve"> the</w:t>
      </w:r>
      <w:r w:rsidRPr="003037D2">
        <w:rPr>
          <w:rFonts w:ascii="Garamond" w:eastAsia="Calibri" w:hAnsi="Garamond" w:cs="Times New Roman"/>
        </w:rPr>
        <w:t xml:space="preserve"> impression that the psalmist is trapped. </w:t>
      </w:r>
    </w:p>
    <w:p w14:paraId="6CFDA7AB" w14:textId="77777777" w:rsidR="00162224" w:rsidRPr="003037D2" w:rsidRDefault="00162224" w:rsidP="00162224">
      <w:pPr>
        <w:spacing w:after="120" w:line="360" w:lineRule="auto"/>
        <w:rPr>
          <w:rFonts w:ascii="Garamond" w:eastAsia="Calibri" w:hAnsi="Garamond" w:cs="Times New Roman"/>
        </w:rPr>
      </w:pPr>
    </w:p>
    <w:p w14:paraId="5A164F25" w14:textId="77777777" w:rsidR="00162224" w:rsidRPr="003037D2" w:rsidRDefault="00162224" w:rsidP="00162224">
      <w:pPr>
        <w:spacing w:after="120" w:line="360" w:lineRule="auto"/>
        <w:ind w:firstLine="720"/>
        <w:rPr>
          <w:rFonts w:ascii="Garamond" w:eastAsia="Calibri" w:hAnsi="Garamond" w:cs="Times New Roman"/>
        </w:rPr>
      </w:pPr>
      <w:r w:rsidRPr="003037D2">
        <w:rPr>
          <w:rFonts w:ascii="Garamond" w:eastAsia="Calibri" w:hAnsi="Garamond" w:cs="Times New Roman"/>
        </w:rPr>
        <w:t xml:space="preserve">The poem opens with a meditation upon God’s immeasurable, transcendent nature, ‘whose grace no limits comprehend […] whose mercies stand from measure free’. In contrast, the speaker is utterly bound by ‘measures’, the measure of their wrongdoing, and the ‘measures’ of verse, trapped in a web of rhyme and rhythm. The memory of sin is ever present, conjured up by these verbal echoes. Certain rhymes recur several times in this short poem, as seen below: </w:t>
      </w:r>
    </w:p>
    <w:p w14:paraId="24E71A61" w14:textId="77777777" w:rsidR="00162224" w:rsidRPr="003037D2" w:rsidRDefault="00162224" w:rsidP="00162224">
      <w:pPr>
        <w:shd w:val="clear" w:color="auto" w:fill="FFFFFF"/>
        <w:ind w:left="2398"/>
        <w:textAlignment w:val="baseline"/>
        <w:rPr>
          <w:rFonts w:ascii="Garamond" w:eastAsia="Times New Roman" w:hAnsi="Garamond" w:cs="Times New Roman"/>
          <w:lang w:eastAsia="en-GB"/>
        </w:rPr>
      </w:pPr>
      <w:r w:rsidRPr="003037D2">
        <w:rPr>
          <w:rFonts w:ascii="Garamond" w:eastAsia="Times New Roman" w:hAnsi="Garamond" w:cs="Times New Roman"/>
          <w:lang w:eastAsia="en-GB"/>
        </w:rPr>
        <w:t>For I, alas, acknowledging do know</w:t>
      </w:r>
    </w:p>
    <w:p w14:paraId="50EBD035" w14:textId="77777777" w:rsidR="00162224" w:rsidRPr="003037D2" w:rsidRDefault="00162224" w:rsidP="00162224">
      <w:pPr>
        <w:shd w:val="clear" w:color="auto" w:fill="FFFFFF"/>
        <w:ind w:left="2398" w:hanging="240"/>
        <w:textAlignment w:val="baseline"/>
        <w:rPr>
          <w:rFonts w:ascii="Garamond" w:eastAsia="Times New Roman" w:hAnsi="Garamond" w:cs="Times New Roman"/>
          <w:lang w:eastAsia="en-GB"/>
        </w:rPr>
      </w:pPr>
      <w:r w:rsidRPr="003037D2">
        <w:rPr>
          <w:rFonts w:ascii="Garamond" w:eastAsia="Times New Roman" w:hAnsi="Garamond" w:cs="Times New Roman"/>
          <w:lang w:eastAsia="en-GB"/>
        </w:rPr>
        <w:t>         My filthy fault, my faulty filthiness</w:t>
      </w:r>
    </w:p>
    <w:p w14:paraId="019F5A59" w14:textId="77777777" w:rsidR="00162224" w:rsidRPr="003037D2" w:rsidRDefault="00162224" w:rsidP="00162224">
      <w:pPr>
        <w:shd w:val="clear" w:color="auto" w:fill="FFFFFF"/>
        <w:ind w:left="2398" w:hanging="240"/>
        <w:textAlignment w:val="baseline"/>
        <w:rPr>
          <w:rFonts w:ascii="Garamond" w:eastAsia="Times New Roman" w:hAnsi="Garamond" w:cs="Times New Roman"/>
          <w:lang w:eastAsia="en-GB"/>
        </w:rPr>
      </w:pPr>
      <w:r w:rsidRPr="003037D2">
        <w:rPr>
          <w:rFonts w:ascii="Garamond" w:eastAsia="Times New Roman" w:hAnsi="Garamond" w:cs="Times New Roman"/>
          <w:lang w:eastAsia="en-GB"/>
        </w:rPr>
        <w:t xml:space="preserve">To my soul’s eye incessantly doth show </w:t>
      </w:r>
    </w:p>
    <w:p w14:paraId="5959BAAF" w14:textId="77777777" w:rsidR="00162224" w:rsidRPr="003037D2" w:rsidRDefault="00162224" w:rsidP="00162224">
      <w:pPr>
        <w:shd w:val="clear" w:color="auto" w:fill="FFFFFF"/>
        <w:ind w:left="2518"/>
        <w:contextualSpacing/>
        <w:textAlignment w:val="baseline"/>
        <w:rPr>
          <w:rFonts w:ascii="Garamond" w:eastAsia="Times New Roman" w:hAnsi="Garamond" w:cs="Times New Roman"/>
          <w:lang w:eastAsia="en-GB"/>
        </w:rPr>
      </w:pPr>
    </w:p>
    <w:p w14:paraId="625BA7CF" w14:textId="77777777" w:rsidR="00162224" w:rsidRPr="003037D2" w:rsidRDefault="00162224" w:rsidP="00162224">
      <w:pPr>
        <w:shd w:val="clear" w:color="auto" w:fill="FFFFFF"/>
        <w:ind w:left="2518"/>
        <w:contextualSpacing/>
        <w:textAlignment w:val="baseline"/>
        <w:rPr>
          <w:rFonts w:ascii="Garamond" w:eastAsia="Times New Roman" w:hAnsi="Garamond" w:cs="Times New Roman"/>
          <w:lang w:eastAsia="en-GB"/>
        </w:rPr>
      </w:pPr>
      <w:r w:rsidRPr="003037D2">
        <w:rPr>
          <w:rFonts w:ascii="Garamond" w:eastAsia="Times New Roman" w:hAnsi="Garamond" w:cs="Times New Roman"/>
          <w:lang w:eastAsia="en-GB"/>
        </w:rPr>
        <w:t>‘With hyssop, Lord, thy hyssop, purge me so:</w:t>
      </w:r>
    </w:p>
    <w:p w14:paraId="7141AC81" w14:textId="77777777" w:rsidR="00162224" w:rsidRPr="003037D2" w:rsidRDefault="00162224" w:rsidP="00162224">
      <w:pPr>
        <w:shd w:val="clear" w:color="auto" w:fill="FFFFFF"/>
        <w:ind w:left="2518"/>
        <w:contextualSpacing/>
        <w:textAlignment w:val="baseline"/>
        <w:rPr>
          <w:rFonts w:ascii="Garamond" w:eastAsia="Times New Roman" w:hAnsi="Garamond" w:cs="Times New Roman"/>
          <w:lang w:eastAsia="en-GB"/>
        </w:rPr>
      </w:pPr>
      <w:r w:rsidRPr="003037D2">
        <w:rPr>
          <w:rFonts w:ascii="Garamond" w:eastAsia="Times New Roman" w:hAnsi="Garamond" w:cs="Times New Roman"/>
          <w:lang w:eastAsia="en-GB"/>
        </w:rPr>
        <w:t xml:space="preserve">And that shall cleanse the </w:t>
      </w:r>
      <w:proofErr w:type="spellStart"/>
      <w:r w:rsidRPr="003037D2">
        <w:rPr>
          <w:rFonts w:ascii="Garamond" w:eastAsia="Times New Roman" w:hAnsi="Garamond" w:cs="Times New Roman"/>
          <w:lang w:eastAsia="en-GB"/>
        </w:rPr>
        <w:t>lepry</w:t>
      </w:r>
      <w:proofErr w:type="spellEnd"/>
      <w:r w:rsidRPr="003037D2">
        <w:rPr>
          <w:rFonts w:ascii="Garamond" w:eastAsia="Times New Roman" w:hAnsi="Garamond" w:cs="Times New Roman"/>
          <w:lang w:eastAsia="en-GB"/>
        </w:rPr>
        <w:t xml:space="preserve"> of my mind.</w:t>
      </w:r>
    </w:p>
    <w:p w14:paraId="7F83B7D0" w14:textId="77777777" w:rsidR="00162224" w:rsidRPr="003037D2" w:rsidRDefault="00162224" w:rsidP="00162224">
      <w:pPr>
        <w:shd w:val="clear" w:color="auto" w:fill="FFFFFF"/>
        <w:ind w:left="2518"/>
        <w:contextualSpacing/>
        <w:textAlignment w:val="baseline"/>
        <w:rPr>
          <w:rFonts w:ascii="Garamond" w:eastAsia="Times New Roman" w:hAnsi="Garamond" w:cs="Times New Roman"/>
          <w:lang w:eastAsia="en-GB"/>
        </w:rPr>
      </w:pPr>
      <w:r w:rsidRPr="003037D2">
        <w:rPr>
          <w:rFonts w:ascii="Garamond" w:eastAsia="Times New Roman" w:hAnsi="Garamond" w:cs="Times New Roman"/>
          <w:lang w:eastAsia="en-GB"/>
        </w:rPr>
        <w:t xml:space="preserve">         Make over me thy mercy’s streams to flow,</w:t>
      </w:r>
    </w:p>
    <w:p w14:paraId="7B2F9694" w14:textId="77777777" w:rsidR="00162224" w:rsidRPr="003037D2" w:rsidRDefault="00162224" w:rsidP="00162224">
      <w:pPr>
        <w:shd w:val="clear" w:color="auto" w:fill="FFFFFF"/>
        <w:ind w:left="2518"/>
        <w:contextualSpacing/>
        <w:textAlignment w:val="baseline"/>
        <w:rPr>
          <w:rFonts w:ascii="Garamond" w:eastAsia="Times New Roman" w:hAnsi="Garamond" w:cs="Times New Roman"/>
          <w:lang w:eastAsia="en-GB"/>
        </w:rPr>
      </w:pPr>
      <w:r w:rsidRPr="003037D2">
        <w:rPr>
          <w:rFonts w:ascii="Garamond" w:eastAsia="Times New Roman" w:hAnsi="Garamond" w:cs="Times New Roman"/>
          <w:lang w:eastAsia="en-GB"/>
        </w:rPr>
        <w:t xml:space="preserve">         So shall my whiteness scorn the whitest snow.</w:t>
      </w:r>
    </w:p>
    <w:p w14:paraId="6BB09AE2" w14:textId="77777777" w:rsidR="00162224" w:rsidRPr="003037D2" w:rsidRDefault="00162224" w:rsidP="00162224">
      <w:pPr>
        <w:shd w:val="clear" w:color="auto" w:fill="FFFFFF"/>
        <w:ind w:left="2518"/>
        <w:contextualSpacing/>
        <w:textAlignment w:val="baseline"/>
        <w:rPr>
          <w:rFonts w:ascii="Garamond" w:eastAsia="Times New Roman" w:hAnsi="Garamond" w:cs="Times New Roman"/>
          <w:lang w:eastAsia="en-GB"/>
        </w:rPr>
      </w:pPr>
    </w:p>
    <w:p w14:paraId="7132B853" w14:textId="77777777" w:rsidR="00162224" w:rsidRPr="003037D2" w:rsidRDefault="00162224" w:rsidP="00162224">
      <w:pPr>
        <w:spacing w:before="120" w:line="360" w:lineRule="auto"/>
        <w:rPr>
          <w:rFonts w:ascii="Garamond" w:eastAsia="Times New Roman" w:hAnsi="Garamond" w:cs="Times New Roman"/>
          <w:color w:val="404040"/>
          <w:lang w:eastAsia="en-GB"/>
        </w:rPr>
      </w:pPr>
      <w:r w:rsidRPr="003037D2">
        <w:rPr>
          <w:rFonts w:ascii="Garamond" w:eastAsia="Calibri" w:hAnsi="Garamond" w:cs="Times New Roman"/>
        </w:rPr>
        <w:t xml:space="preserve">The revelation of the sin is aurally connected to the desire to be purged of it, notably through with the use of specific rhyme combinations, ‘show’/ ‘know’ / ‘flow’. The focus is on the self; the failings of the individual are hammered home by the reappearance of ‘me’ as an end rhyme four times in the 56-line poem. </w:t>
      </w:r>
    </w:p>
    <w:p w14:paraId="41D63B78" w14:textId="77777777" w:rsidR="00162224" w:rsidRPr="003037D2" w:rsidRDefault="00162224" w:rsidP="00162224">
      <w:pPr>
        <w:shd w:val="clear" w:color="auto" w:fill="FFFFFF"/>
        <w:spacing w:line="360" w:lineRule="auto"/>
        <w:ind w:left="2160" w:hanging="240"/>
        <w:jc w:val="center"/>
        <w:textAlignment w:val="baseline"/>
        <w:rPr>
          <w:rFonts w:ascii="Garamond" w:eastAsia="Times New Roman" w:hAnsi="Garamond" w:cs="Times New Roman"/>
          <w:color w:val="404040"/>
          <w:lang w:eastAsia="en-GB"/>
        </w:rPr>
      </w:pPr>
    </w:p>
    <w:p w14:paraId="52B4330C" w14:textId="77777777"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As in Lock’s rendering, the psalmist’s voice is constantly equivocating. They promise ‘so shall my tongue be raised/ To praise thy truth’, immediately acknowledging that this truth ‘enough cannot be praised’. The speaker’s immeasurable ‘foul iniquity’ demands ceaseless intervention from God, as they beg ‘to me that mercy </w:t>
      </w:r>
      <w:proofErr w:type="gramStart"/>
      <w:r w:rsidRPr="003037D2">
        <w:rPr>
          <w:rFonts w:ascii="Garamond" w:eastAsia="Calibri" w:hAnsi="Garamond" w:cs="Times New Roman"/>
        </w:rPr>
        <w:t>send,/</w:t>
      </w:r>
      <w:proofErr w:type="gramEnd"/>
      <w:r w:rsidRPr="003037D2">
        <w:rPr>
          <w:rFonts w:ascii="Garamond" w:eastAsia="Calibri" w:hAnsi="Garamond" w:cs="Times New Roman"/>
        </w:rPr>
        <w:t xml:space="preserve"> And wipe/ O Lord, my sins from sinful me’. The speaker asks God to redeem their sins, only then to acknowledge the impossibility of this, ‘Cleanse still my spots, still wash away my </w:t>
      </w:r>
      <w:proofErr w:type="spellStart"/>
      <w:r w:rsidRPr="003037D2">
        <w:rPr>
          <w:rFonts w:ascii="Garamond" w:eastAsia="Calibri" w:hAnsi="Garamond" w:cs="Times New Roman"/>
        </w:rPr>
        <w:t>stainings</w:t>
      </w:r>
      <w:proofErr w:type="spellEnd"/>
      <w:r w:rsidRPr="003037D2">
        <w:rPr>
          <w:rFonts w:ascii="Garamond" w:eastAsia="Calibri" w:hAnsi="Garamond" w:cs="Times New Roman"/>
        </w:rPr>
        <w:t xml:space="preserve">, / Till stains and spots in me leave no </w:t>
      </w:r>
      <w:proofErr w:type="spellStart"/>
      <w:r w:rsidRPr="003037D2">
        <w:rPr>
          <w:rFonts w:ascii="Garamond" w:eastAsia="Calibri" w:hAnsi="Garamond" w:cs="Times New Roman"/>
        </w:rPr>
        <w:t>remainings</w:t>
      </w:r>
      <w:proofErr w:type="spellEnd"/>
      <w:r w:rsidRPr="003037D2">
        <w:rPr>
          <w:rFonts w:ascii="Garamond" w:eastAsia="Calibri" w:hAnsi="Garamond" w:cs="Times New Roman"/>
        </w:rPr>
        <w:t xml:space="preserve">… my faulty filthiness/To my soul’s eye incessantly doth show’. This cyclical movement suggests that one who is truly stained must ‘incessantly’ request to be cleansed. This requested grace will have to be asked for again due to the innate sin of the speaker, and by </w:t>
      </w:r>
      <w:r w:rsidRPr="003037D2">
        <w:rPr>
          <w:rFonts w:ascii="Garamond" w:eastAsia="Calibri" w:hAnsi="Garamond" w:cs="Times New Roman"/>
        </w:rPr>
        <w:lastRenderedPageBreak/>
        <w:t xml:space="preserve">extension the essentially sinful nature of all humanity.  Striking imagery depicts human sin growing with the child within the mother’s womb: </w:t>
      </w:r>
    </w:p>
    <w:p w14:paraId="661745FF" w14:textId="77777777" w:rsidR="00162224" w:rsidRPr="003037D2" w:rsidRDefault="00162224" w:rsidP="00667CD5">
      <w:pPr>
        <w:ind w:left="2880"/>
        <w:rPr>
          <w:rFonts w:ascii="Garamond" w:eastAsia="Calibri" w:hAnsi="Garamond" w:cs="Times New Roman"/>
        </w:rPr>
      </w:pPr>
      <w:r w:rsidRPr="003037D2">
        <w:rPr>
          <w:rFonts w:ascii="Garamond" w:eastAsia="Calibri" w:hAnsi="Garamond" w:cs="Times New Roman"/>
        </w:rPr>
        <w:t xml:space="preserve">My mother, lo, when I began to be, </w:t>
      </w:r>
    </w:p>
    <w:p w14:paraId="25E54465" w14:textId="77777777" w:rsidR="00162224" w:rsidRPr="003037D2" w:rsidRDefault="00162224" w:rsidP="00667CD5">
      <w:pPr>
        <w:ind w:left="2880" w:firstLine="720"/>
        <w:rPr>
          <w:rFonts w:ascii="Garamond" w:eastAsia="Calibri" w:hAnsi="Garamond" w:cs="Times New Roman"/>
        </w:rPr>
      </w:pPr>
      <w:r w:rsidRPr="003037D2">
        <w:rPr>
          <w:rFonts w:ascii="Garamond" w:eastAsia="Calibri" w:hAnsi="Garamond" w:cs="Times New Roman"/>
        </w:rPr>
        <w:t xml:space="preserve">Conceiving me, with me did sin conceive: </w:t>
      </w:r>
    </w:p>
    <w:p w14:paraId="677D9AB9" w14:textId="77777777" w:rsidR="00162224" w:rsidRPr="003037D2" w:rsidRDefault="00162224" w:rsidP="00667CD5">
      <w:pPr>
        <w:ind w:left="2880"/>
        <w:rPr>
          <w:rFonts w:ascii="Garamond" w:eastAsia="Calibri" w:hAnsi="Garamond" w:cs="Times New Roman"/>
        </w:rPr>
      </w:pPr>
      <w:r w:rsidRPr="003037D2">
        <w:rPr>
          <w:rFonts w:ascii="Garamond" w:eastAsia="Calibri" w:hAnsi="Garamond" w:cs="Times New Roman"/>
        </w:rPr>
        <w:t xml:space="preserve">And as with living heat she cherished me, </w:t>
      </w:r>
    </w:p>
    <w:p w14:paraId="58A5A8B6" w14:textId="6EE60605" w:rsidR="00162224" w:rsidRDefault="00162224" w:rsidP="00667CD5">
      <w:pPr>
        <w:ind w:left="2880"/>
        <w:rPr>
          <w:rFonts w:ascii="Garamond" w:eastAsia="Calibri" w:hAnsi="Garamond" w:cs="Times New Roman"/>
        </w:rPr>
      </w:pPr>
      <w:r w:rsidRPr="003037D2">
        <w:rPr>
          <w:rFonts w:ascii="Garamond" w:eastAsia="Calibri" w:hAnsi="Garamond" w:cs="Times New Roman"/>
        </w:rPr>
        <w:t xml:space="preserve">Corruption did like cherishing receive. </w:t>
      </w:r>
    </w:p>
    <w:p w14:paraId="0981EB53" w14:textId="77777777" w:rsidR="00667CD5" w:rsidRPr="003037D2" w:rsidRDefault="00667CD5" w:rsidP="00667CD5">
      <w:pPr>
        <w:ind w:left="2880"/>
        <w:rPr>
          <w:rFonts w:ascii="Garamond" w:eastAsia="Calibri" w:hAnsi="Garamond" w:cs="Times New Roman"/>
        </w:rPr>
      </w:pPr>
    </w:p>
    <w:p w14:paraId="66463178" w14:textId="11B4CABA"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The very act of conception carries with it a tangible, physical memory of man’s sinful nature. The speaker looks backward to their moment of origin, and then deepens the field of memory, intermingling the experience of love and corruption. This is contrasted with God’s love, to which ‘purest good doth cleave, / And inward truth’ which even the speaker’s ‘truant soul’ has learned of in ‘thy hid school’. This intermingling is seen also in the relationship between the body and mind. The speaker asks for God to cleanse them, ‘with hyssop, Lord, thy hyssop, purge me so:/ And that shall cleanse the </w:t>
      </w:r>
      <w:proofErr w:type="spellStart"/>
      <w:r w:rsidRPr="003037D2">
        <w:rPr>
          <w:rFonts w:ascii="Garamond" w:eastAsia="Calibri" w:hAnsi="Garamond" w:cs="Times New Roman"/>
        </w:rPr>
        <w:t>lepry</w:t>
      </w:r>
      <w:proofErr w:type="spellEnd"/>
      <w:r w:rsidRPr="003037D2">
        <w:rPr>
          <w:rFonts w:ascii="Garamond" w:eastAsia="Calibri" w:hAnsi="Garamond" w:cs="Times New Roman"/>
        </w:rPr>
        <w:t xml:space="preserve"> of my mind’. Moral rejuvenation is presented in bodily terms, through the ameliorative effects of joy: ‘To ear and heart send sounds and thoughts of gladness, / That bruised bones may dance away their sadness’. Despite this the memory of sin, physically embodied, can never be fully removed, and so a striving Christian must continually call upon their God for aid. Sidney</w:t>
      </w:r>
      <w:r w:rsidR="002F1250">
        <w:rPr>
          <w:rFonts w:ascii="Garamond" w:eastAsia="Calibri" w:hAnsi="Garamond" w:cs="Times New Roman"/>
        </w:rPr>
        <w:t xml:space="preserve"> Herbert</w:t>
      </w:r>
      <w:r w:rsidRPr="003037D2">
        <w:rPr>
          <w:rFonts w:ascii="Garamond" w:eastAsia="Calibri" w:hAnsi="Garamond" w:cs="Times New Roman"/>
        </w:rPr>
        <w:t xml:space="preserve"> depicts sin, conception, repentance, and spiritual rejuvenation as happening at one and the same time, continually throughout the psalmist’s life.  </w:t>
      </w:r>
    </w:p>
    <w:p w14:paraId="2DE4C341" w14:textId="77777777" w:rsidR="00162224" w:rsidRPr="003037D2" w:rsidRDefault="00162224" w:rsidP="00162224">
      <w:pPr>
        <w:spacing w:line="360" w:lineRule="auto"/>
        <w:rPr>
          <w:rFonts w:ascii="Garamond" w:eastAsia="Calibri" w:hAnsi="Garamond" w:cs="Times New Roman"/>
        </w:rPr>
      </w:pPr>
    </w:p>
    <w:p w14:paraId="3C23555A" w14:textId="22A9AC68" w:rsidR="00162224" w:rsidRPr="003037D2" w:rsidRDefault="00162224" w:rsidP="00162224">
      <w:pPr>
        <w:tabs>
          <w:tab w:val="left" w:pos="720"/>
          <w:tab w:val="left" w:pos="8200"/>
        </w:tabs>
        <w:spacing w:line="360" w:lineRule="auto"/>
        <w:rPr>
          <w:rFonts w:ascii="Garamond" w:eastAsia="Calibri" w:hAnsi="Garamond" w:cs="Times New Roman"/>
        </w:rPr>
      </w:pPr>
      <w:r w:rsidRPr="003037D2">
        <w:rPr>
          <w:rFonts w:ascii="Garamond" w:eastAsia="Calibri" w:hAnsi="Garamond" w:cs="Times New Roman"/>
        </w:rPr>
        <w:t xml:space="preserve"> </w:t>
      </w:r>
      <w:r w:rsidRPr="003037D2">
        <w:rPr>
          <w:rFonts w:ascii="Garamond" w:eastAsia="Calibri" w:hAnsi="Garamond" w:cs="Times New Roman"/>
        </w:rPr>
        <w:tab/>
        <w:t xml:space="preserve">This collapsing of different points of time is also related to the experience of </w:t>
      </w:r>
      <w:r w:rsidRPr="003037D2">
        <w:rPr>
          <w:rFonts w:ascii="Garamond" w:eastAsia="Calibri" w:hAnsi="Garamond" w:cs="Times New Roman"/>
          <w:i/>
          <w:iCs/>
        </w:rPr>
        <w:t xml:space="preserve">metanoia. </w:t>
      </w:r>
      <w:r w:rsidRPr="003037D2">
        <w:rPr>
          <w:rFonts w:ascii="Garamond" w:eastAsia="Calibri" w:hAnsi="Garamond" w:cs="Times New Roman"/>
        </w:rPr>
        <w:t xml:space="preserve">The Greek concept of </w:t>
      </w:r>
      <w:r w:rsidRPr="003037D2">
        <w:rPr>
          <w:rFonts w:ascii="Garamond" w:eastAsia="Calibri" w:hAnsi="Garamond" w:cs="Times New Roman"/>
          <w:i/>
          <w:iCs/>
        </w:rPr>
        <w:t xml:space="preserve">Kairos </w:t>
      </w:r>
      <w:r w:rsidRPr="003037D2">
        <w:rPr>
          <w:rFonts w:ascii="Garamond" w:eastAsia="Calibri" w:hAnsi="Garamond" w:cs="Times New Roman"/>
        </w:rPr>
        <w:t>held a crucial place in both Renaissance rhetoric and political philosophy.</w:t>
      </w:r>
      <w:r w:rsidRPr="003037D2">
        <w:rPr>
          <w:rFonts w:ascii="Garamond" w:eastAsia="Calibri" w:hAnsi="Garamond" w:cs="Times New Roman"/>
          <w:vertAlign w:val="superscript"/>
        </w:rPr>
        <w:footnoteReference w:id="362"/>
      </w:r>
      <w:r w:rsidRPr="003037D2">
        <w:rPr>
          <w:rFonts w:ascii="Garamond" w:eastAsia="Calibri" w:hAnsi="Garamond" w:cs="Times New Roman"/>
        </w:rPr>
        <w:t xml:space="preserve"> There are two Greek words for time: </w:t>
      </w:r>
      <w:r w:rsidRPr="003037D2">
        <w:rPr>
          <w:rFonts w:ascii="Garamond" w:eastAsia="Calibri" w:hAnsi="Garamond" w:cs="Times New Roman"/>
          <w:i/>
          <w:iCs/>
        </w:rPr>
        <w:t xml:space="preserve">Chronos, </w:t>
      </w:r>
      <w:r w:rsidRPr="003037D2">
        <w:rPr>
          <w:rFonts w:ascii="Garamond" w:eastAsia="Calibri" w:hAnsi="Garamond" w:cs="Times New Roman"/>
        </w:rPr>
        <w:t xml:space="preserve">meaning chronological, sequential time, often the ‘devouring time’ feared by Parker, and secondly, </w:t>
      </w:r>
      <w:r w:rsidRPr="003037D2">
        <w:rPr>
          <w:rFonts w:ascii="Garamond" w:eastAsia="Calibri" w:hAnsi="Garamond" w:cs="Times New Roman"/>
          <w:i/>
          <w:iCs/>
        </w:rPr>
        <w:t xml:space="preserve">Kairos. Kairos </w:t>
      </w:r>
      <w:r w:rsidRPr="003037D2">
        <w:rPr>
          <w:rFonts w:ascii="Garamond" w:eastAsia="Calibri" w:hAnsi="Garamond" w:cs="Times New Roman"/>
        </w:rPr>
        <w:t>is</w:t>
      </w:r>
      <w:r w:rsidRPr="003037D2">
        <w:rPr>
          <w:rFonts w:ascii="Garamond" w:eastAsia="Calibri" w:hAnsi="Garamond" w:cs="Times New Roman"/>
          <w:i/>
          <w:iCs/>
        </w:rPr>
        <w:t xml:space="preserve"> </w:t>
      </w:r>
      <w:r w:rsidRPr="003037D2">
        <w:rPr>
          <w:rFonts w:ascii="Garamond" w:eastAsia="Calibri" w:hAnsi="Garamond" w:cs="Times New Roman"/>
        </w:rPr>
        <w:t>a rare, singular moment which must be grasped, deriving from an archery term, indicating an opening through which archers would aim.</w:t>
      </w:r>
      <w:r w:rsidRPr="003037D2">
        <w:rPr>
          <w:rFonts w:ascii="Garamond" w:eastAsia="Calibri" w:hAnsi="Garamond" w:cs="Times New Roman"/>
          <w:vertAlign w:val="superscript"/>
        </w:rPr>
        <w:footnoteReference w:id="363"/>
      </w:r>
      <w:r w:rsidRPr="003037D2">
        <w:rPr>
          <w:rFonts w:ascii="Garamond" w:eastAsia="Calibri" w:hAnsi="Garamond" w:cs="Times New Roman"/>
        </w:rPr>
        <w:t xml:space="preserve"> It</w:t>
      </w:r>
      <w:r w:rsidRPr="003037D2">
        <w:rPr>
          <w:rFonts w:ascii="Garamond" w:eastAsia="Calibri" w:hAnsi="Garamond" w:cs="Times New Roman"/>
          <w:i/>
          <w:iCs/>
        </w:rPr>
        <w:t xml:space="preserve"> </w:t>
      </w:r>
      <w:r w:rsidRPr="003037D2">
        <w:rPr>
          <w:rFonts w:ascii="Garamond" w:eastAsia="Calibri" w:hAnsi="Garamond" w:cs="Times New Roman"/>
          <w:iCs/>
        </w:rPr>
        <w:t xml:space="preserve">might then be described </w:t>
      </w:r>
      <w:r w:rsidRPr="003037D2">
        <w:rPr>
          <w:rFonts w:ascii="Garamond" w:eastAsia="Calibri" w:hAnsi="Garamond" w:cs="Times New Roman"/>
        </w:rPr>
        <w:t xml:space="preserve">as the ‘opportune moment’, either for action or speech. In emblematic representations, </w:t>
      </w:r>
      <w:r w:rsidRPr="003037D2">
        <w:rPr>
          <w:rFonts w:ascii="Garamond" w:eastAsia="Calibri" w:hAnsi="Garamond" w:cs="Times New Roman"/>
          <w:i/>
        </w:rPr>
        <w:t xml:space="preserve">Kairos </w:t>
      </w:r>
      <w:r w:rsidRPr="003037D2">
        <w:rPr>
          <w:rFonts w:ascii="Garamond" w:eastAsia="Calibri" w:hAnsi="Garamond" w:cs="Times New Roman"/>
          <w:iCs/>
        </w:rPr>
        <w:t xml:space="preserve">is commonly depicted </w:t>
      </w:r>
      <w:r w:rsidRPr="003037D2">
        <w:rPr>
          <w:rFonts w:ascii="Garamond" w:eastAsia="Calibri" w:hAnsi="Garamond" w:cs="Times New Roman"/>
        </w:rPr>
        <w:t>standing on a ship, wheel of fortune or balanced on a ball at sea, poised for action and sailing against the prevailing wind. She</w:t>
      </w:r>
      <w:r w:rsidRPr="003037D2">
        <w:rPr>
          <w:rFonts w:ascii="Garamond" w:eastAsia="Calibri" w:hAnsi="Garamond" w:cs="Times New Roman"/>
          <w:i/>
          <w:iCs/>
        </w:rPr>
        <w:t xml:space="preserve"> </w:t>
      </w:r>
      <w:r w:rsidRPr="003037D2">
        <w:rPr>
          <w:rFonts w:ascii="Garamond" w:eastAsia="Calibri" w:hAnsi="Garamond" w:cs="Times New Roman"/>
        </w:rPr>
        <w:t xml:space="preserve">wears winged sandals, like Hermes, and holds the razor which she used to shave off most of her hair, leaving only a forelock, which makes her harder to catch. </w:t>
      </w:r>
      <w:r w:rsidRPr="003037D2">
        <w:rPr>
          <w:rFonts w:ascii="Garamond" w:eastAsia="Calibri" w:hAnsi="Garamond" w:cs="Times New Roman"/>
        </w:rPr>
        <w:lastRenderedPageBreak/>
        <w:t xml:space="preserve">Whilst the depiction of an ‘opportune moment’ seems divorced from penitent sinner of Psalm 51, there is a link between the two. Kelly A. Myers argues that ‘[a] shadowy figure has followed </w:t>
      </w:r>
      <w:r w:rsidRPr="003037D2">
        <w:rPr>
          <w:rFonts w:ascii="Garamond" w:eastAsia="Calibri" w:hAnsi="Garamond" w:cs="Times New Roman"/>
          <w:i/>
        </w:rPr>
        <w:t xml:space="preserve">Kairos </w:t>
      </w:r>
      <w:r w:rsidRPr="003037D2">
        <w:rPr>
          <w:rFonts w:ascii="Garamond" w:eastAsia="Calibri" w:hAnsi="Garamond" w:cs="Times New Roman"/>
        </w:rPr>
        <w:t xml:space="preserve">for millennia. Her name is </w:t>
      </w:r>
      <w:r w:rsidRPr="003037D2">
        <w:rPr>
          <w:rFonts w:ascii="Garamond" w:eastAsia="Calibri" w:hAnsi="Garamond" w:cs="Times New Roman"/>
          <w:i/>
        </w:rPr>
        <w:t xml:space="preserve">Metanoia, </w:t>
      </w:r>
      <w:r w:rsidRPr="003037D2">
        <w:rPr>
          <w:rFonts w:ascii="Garamond" w:eastAsia="Calibri" w:hAnsi="Garamond" w:cs="Times New Roman"/>
        </w:rPr>
        <w:t xml:space="preserve">and she resides in the wake of Opportunity, sowing regret and inspiring </w:t>
      </w:r>
      <w:r w:rsidRPr="003037D2">
        <w:rPr>
          <w:rFonts w:ascii="Garamond" w:eastAsia="Calibri" w:hAnsi="Garamond" w:cs="Times New Roman"/>
          <w:i/>
        </w:rPr>
        <w:t>repentance</w:t>
      </w:r>
      <w:r w:rsidRPr="003037D2">
        <w:rPr>
          <w:rFonts w:ascii="Garamond" w:eastAsia="Calibri" w:hAnsi="Garamond" w:cs="Times New Roman"/>
        </w:rPr>
        <w:t xml:space="preserve"> in the missed moment’.</w:t>
      </w:r>
      <w:r w:rsidRPr="003037D2">
        <w:rPr>
          <w:rFonts w:ascii="Garamond" w:eastAsia="Calibri" w:hAnsi="Garamond" w:cs="Times New Roman"/>
          <w:vertAlign w:val="superscript"/>
        </w:rPr>
        <w:footnoteReference w:id="364"/>
      </w:r>
      <w:r w:rsidRPr="003037D2">
        <w:rPr>
          <w:rFonts w:ascii="Garamond" w:eastAsia="Calibri" w:hAnsi="Garamond" w:cs="Times New Roman"/>
        </w:rPr>
        <w:t xml:space="preserv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_Ref532832705 \h </w:instrText>
      </w:r>
      <w:r w:rsidR="003037D2">
        <w:rPr>
          <w:rFonts w:ascii="Garamond" w:eastAsia="Calibri" w:hAnsi="Garamond" w:cs="Times New Roman"/>
        </w:rPr>
        <w:instrText xml:space="preserve">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56489A">
        <w:rPr>
          <w:rFonts w:ascii="Garamond" w:hAnsi="Garamond"/>
          <w:lang w:val="en-GB"/>
        </w:rPr>
        <w:t xml:space="preserve">Figure </w:t>
      </w:r>
      <w:r w:rsidR="001117A3" w:rsidRPr="0056489A">
        <w:rPr>
          <w:rFonts w:ascii="Garamond" w:hAnsi="Garamond"/>
          <w:noProof/>
          <w:lang w:val="en-GB"/>
        </w:rPr>
        <w:t>22</w:t>
      </w:r>
      <w:r w:rsidRPr="003037D2">
        <w:rPr>
          <w:rFonts w:ascii="Garamond" w:eastAsia="Calibri" w:hAnsi="Garamond" w:cs="Times New Roman"/>
        </w:rPr>
        <w:fldChar w:fldCharType="end"/>
      </w:r>
      <w:r w:rsidRPr="003037D2">
        <w:rPr>
          <w:rFonts w:ascii="Garamond" w:eastAsia="Calibri" w:hAnsi="Garamond" w:cs="Times New Roman"/>
        </w:rPr>
        <w:t xml:space="preserve"> </w:t>
      </w:r>
      <w:r w:rsidRPr="003037D2">
        <w:rPr>
          <w:rFonts w:ascii="Garamond" w:eastAsia="Calibri" w:hAnsi="Garamond" w:cs="Times New Roman"/>
          <w:iCs/>
        </w:rPr>
        <w:t xml:space="preserve">shows </w:t>
      </w:r>
      <w:r w:rsidRPr="003037D2">
        <w:rPr>
          <w:rFonts w:ascii="Garamond" w:eastAsia="Calibri" w:hAnsi="Garamond" w:cs="Times New Roman"/>
          <w:i/>
          <w:iCs/>
        </w:rPr>
        <w:t>Kairos and Metanoia,</w:t>
      </w:r>
      <w:r w:rsidRPr="003037D2">
        <w:rPr>
          <w:rFonts w:ascii="Garamond" w:eastAsia="Calibri" w:hAnsi="Garamond" w:cs="Times New Roman"/>
        </w:rPr>
        <w:t xml:space="preserve"> by Girolamo da Carpi. In this painting </w:t>
      </w:r>
      <w:r w:rsidRPr="003037D2">
        <w:rPr>
          <w:rFonts w:ascii="Garamond" w:eastAsia="Calibri" w:hAnsi="Garamond" w:cs="Times New Roman"/>
          <w:i/>
        </w:rPr>
        <w:t xml:space="preserve">Metanoia’s </w:t>
      </w:r>
      <w:r w:rsidRPr="003037D2">
        <w:rPr>
          <w:rFonts w:ascii="Garamond" w:eastAsia="Calibri" w:hAnsi="Garamond" w:cs="Times New Roman"/>
        </w:rPr>
        <w:t xml:space="preserve">face is almost hidden by shadows. Her body blends with that of </w:t>
      </w:r>
      <w:r w:rsidRPr="003037D2">
        <w:rPr>
          <w:rFonts w:ascii="Garamond" w:eastAsia="Calibri" w:hAnsi="Garamond" w:cs="Times New Roman"/>
          <w:i/>
          <w:iCs/>
        </w:rPr>
        <w:t>Kairos</w:t>
      </w:r>
      <w:r w:rsidRPr="003037D2">
        <w:rPr>
          <w:rFonts w:ascii="Garamond" w:eastAsia="Calibri" w:hAnsi="Garamond" w:cs="Times New Roman"/>
        </w:rPr>
        <w:t>, and yet their feet point in opposite directions, revealing that whilst they are driven by opposing forces, they come from the same point. The fourth</w:t>
      </w:r>
      <w:r w:rsidR="00814479">
        <w:rPr>
          <w:rFonts w:ascii="Garamond" w:eastAsia="Calibri" w:hAnsi="Garamond" w:cs="Times New Roman"/>
        </w:rPr>
        <w:t>-</w:t>
      </w:r>
      <w:r w:rsidRPr="003037D2">
        <w:rPr>
          <w:rFonts w:ascii="Garamond" w:eastAsia="Calibri" w:hAnsi="Garamond" w:cs="Times New Roman"/>
        </w:rPr>
        <w:t xml:space="preserve">century Roman philosopher, Ausonius, presented a dialogue between </w:t>
      </w:r>
      <w:r w:rsidRPr="003037D2">
        <w:rPr>
          <w:rFonts w:ascii="Garamond" w:eastAsia="Calibri" w:hAnsi="Garamond" w:cs="Times New Roman"/>
          <w:i/>
        </w:rPr>
        <w:t xml:space="preserve">Metanoia, </w:t>
      </w:r>
      <w:proofErr w:type="spellStart"/>
      <w:r w:rsidRPr="003037D2">
        <w:rPr>
          <w:rFonts w:ascii="Garamond" w:eastAsia="Calibri" w:hAnsi="Garamond" w:cs="Times New Roman"/>
          <w:i/>
        </w:rPr>
        <w:t>Occasio</w:t>
      </w:r>
      <w:proofErr w:type="spellEnd"/>
      <w:r w:rsidRPr="003037D2">
        <w:rPr>
          <w:rFonts w:ascii="Garamond" w:eastAsia="Calibri" w:hAnsi="Garamond" w:cs="Times New Roman"/>
          <w:i/>
        </w:rPr>
        <w:t xml:space="preserve"> </w:t>
      </w:r>
      <w:r w:rsidRPr="003037D2">
        <w:rPr>
          <w:rFonts w:ascii="Garamond" w:eastAsia="Calibri" w:hAnsi="Garamond" w:cs="Times New Roman"/>
        </w:rPr>
        <w:t xml:space="preserve">(a transformation of </w:t>
      </w:r>
      <w:r w:rsidRPr="003037D2">
        <w:rPr>
          <w:rFonts w:ascii="Garamond" w:eastAsia="Calibri" w:hAnsi="Garamond" w:cs="Times New Roman"/>
          <w:i/>
        </w:rPr>
        <w:t xml:space="preserve">Kairos) </w:t>
      </w:r>
      <w:r w:rsidRPr="003037D2">
        <w:rPr>
          <w:rFonts w:ascii="Garamond" w:eastAsia="Calibri" w:hAnsi="Garamond" w:cs="Times New Roman"/>
        </w:rPr>
        <w:t xml:space="preserve">and a philosopher. </w:t>
      </w:r>
      <w:r w:rsidRPr="003037D2">
        <w:rPr>
          <w:rFonts w:ascii="Garamond" w:eastAsia="Calibri" w:hAnsi="Garamond" w:cs="Times New Roman"/>
          <w:i/>
        </w:rPr>
        <w:t xml:space="preserve">Metanoia </w:t>
      </w:r>
      <w:r w:rsidRPr="003037D2">
        <w:rPr>
          <w:rFonts w:ascii="Garamond" w:eastAsia="Calibri" w:hAnsi="Garamond" w:cs="Times New Roman"/>
        </w:rPr>
        <w:t xml:space="preserve">describes herself as ‘the goddess who exacts punishment for what has and has not been done, so that people regret it. Hence my name is </w:t>
      </w:r>
      <w:proofErr w:type="spellStart"/>
      <w:r w:rsidRPr="003037D2">
        <w:rPr>
          <w:rFonts w:ascii="Garamond" w:eastAsia="Calibri" w:hAnsi="Garamond" w:cs="Times New Roman"/>
        </w:rPr>
        <w:t>Metanoea</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365"/>
      </w:r>
      <w:r w:rsidRPr="003037D2">
        <w:rPr>
          <w:rFonts w:ascii="Garamond" w:eastAsia="Calibri" w:hAnsi="Garamond" w:cs="Times New Roman"/>
        </w:rPr>
        <w:t xml:space="preserve"> Metanoia is therefore intimately connected to memory; regret is a punishment based on looking backwards. These images and descriptions of Metanoia show her as dark, and at once submissive and threatening.  The voices in Lock and Sidney</w:t>
      </w:r>
      <w:r w:rsidR="002F1250">
        <w:rPr>
          <w:rFonts w:ascii="Garamond" w:eastAsia="Calibri" w:hAnsi="Garamond" w:cs="Times New Roman"/>
        </w:rPr>
        <w:t xml:space="preserve"> Herbert</w:t>
      </w:r>
      <w:r w:rsidRPr="003037D2">
        <w:rPr>
          <w:rFonts w:ascii="Garamond" w:eastAsia="Calibri" w:hAnsi="Garamond" w:cs="Times New Roman"/>
        </w:rPr>
        <w:t xml:space="preserve">’s renderings of Psalm 51 sometimes seem similarly subservient: bowed and cowed by the weight of their emotion and guilt. The </w:t>
      </w:r>
      <w:proofErr w:type="spellStart"/>
      <w:r w:rsidRPr="003037D2">
        <w:rPr>
          <w:rFonts w:ascii="Garamond" w:eastAsia="Calibri" w:hAnsi="Garamond" w:cs="Times New Roman"/>
        </w:rPr>
        <w:t>metanoic</w:t>
      </w:r>
      <w:proofErr w:type="spellEnd"/>
      <w:r w:rsidRPr="003037D2">
        <w:rPr>
          <w:rFonts w:ascii="Garamond" w:eastAsia="Calibri" w:hAnsi="Garamond" w:cs="Times New Roman"/>
        </w:rPr>
        <w:t xml:space="preserve"> turns and hedging in both works may make them feel transfixed, staring at the origins of their own guilt and locked in a cycle of remembrance. However, this is based on an understanding of </w:t>
      </w:r>
      <w:r w:rsidRPr="003037D2">
        <w:rPr>
          <w:rFonts w:ascii="Garamond" w:eastAsia="Calibri" w:hAnsi="Garamond" w:cs="Times New Roman"/>
          <w:i/>
          <w:iCs/>
        </w:rPr>
        <w:t xml:space="preserve">Kairos </w:t>
      </w:r>
      <w:r w:rsidRPr="003037D2">
        <w:rPr>
          <w:rFonts w:ascii="Garamond" w:eastAsia="Calibri" w:hAnsi="Garamond" w:cs="Times New Roman"/>
        </w:rPr>
        <w:t xml:space="preserve">as being a one-off moment. In Perkins’s ‘Golden </w:t>
      </w:r>
      <w:proofErr w:type="spellStart"/>
      <w:r w:rsidRPr="003037D2">
        <w:rPr>
          <w:rFonts w:ascii="Garamond" w:eastAsia="Calibri" w:hAnsi="Garamond" w:cs="Times New Roman"/>
        </w:rPr>
        <w:t>Chaine</w:t>
      </w:r>
      <w:proofErr w:type="spellEnd"/>
      <w:r w:rsidRPr="003037D2">
        <w:rPr>
          <w:rFonts w:ascii="Garamond" w:eastAsia="Calibri" w:hAnsi="Garamond" w:cs="Times New Roman"/>
        </w:rPr>
        <w:t xml:space="preserve">’ we see that these distinct opportunities can be returned to at a variety of times by a variety of processes. </w:t>
      </w:r>
    </w:p>
    <w:p w14:paraId="328E3523" w14:textId="77777777" w:rsidR="00162224" w:rsidRPr="003037D2" w:rsidRDefault="00162224" w:rsidP="00162224">
      <w:pPr>
        <w:snapToGrid w:val="0"/>
        <w:spacing w:line="360" w:lineRule="auto"/>
        <w:ind w:firstLine="720"/>
        <w:rPr>
          <w:rFonts w:ascii="Garamond" w:eastAsia="Calibri" w:hAnsi="Garamond" w:cs="Times New Roman"/>
        </w:rPr>
      </w:pPr>
    </w:p>
    <w:p w14:paraId="14995895" w14:textId="77777777" w:rsidR="00162224" w:rsidRPr="003037D2" w:rsidRDefault="00162224" w:rsidP="00162224">
      <w:pPr>
        <w:snapToGrid w:val="0"/>
        <w:spacing w:line="360" w:lineRule="auto"/>
        <w:ind w:firstLine="720"/>
        <w:rPr>
          <w:rFonts w:ascii="Garamond" w:eastAsia="Calibri" w:hAnsi="Garamond" w:cs="Times New Roman"/>
        </w:rPr>
      </w:pPr>
    </w:p>
    <w:p w14:paraId="59E80FF0" w14:textId="77777777" w:rsidR="00162224" w:rsidRPr="003037D2" w:rsidRDefault="00162224" w:rsidP="00162224">
      <w:pPr>
        <w:snapToGrid w:val="0"/>
        <w:spacing w:line="360" w:lineRule="auto"/>
        <w:ind w:firstLine="720"/>
        <w:rPr>
          <w:rFonts w:ascii="Garamond" w:eastAsia="Calibri" w:hAnsi="Garamond" w:cs="Times New Roman"/>
        </w:rPr>
      </w:pPr>
      <w:r w:rsidRPr="003037D2">
        <w:rPr>
          <w:rFonts w:ascii="Garamond" w:eastAsia="Calibri" w:hAnsi="Garamond" w:cs="Times New Roman"/>
        </w:rPr>
        <w:t xml:space="preserve">The writings of Dionysius, or Pseudo-Dionysius as he is often termed today, provide a useful insight into this relationship between momentary and linear time. Pseudo-Dionysius wrote of the three different types of movements of divine intellects: </w:t>
      </w:r>
    </w:p>
    <w:p w14:paraId="36B852CA" w14:textId="77777777" w:rsidR="00162224" w:rsidRPr="003037D2" w:rsidRDefault="00162224" w:rsidP="00162224">
      <w:pPr>
        <w:snapToGrid w:val="0"/>
        <w:ind w:left="737" w:right="737"/>
        <w:rPr>
          <w:rFonts w:ascii="Garamond" w:eastAsia="Calibri" w:hAnsi="Garamond" w:cs="Times New Roman"/>
        </w:rPr>
      </w:pPr>
      <w:r w:rsidRPr="003037D2">
        <w:rPr>
          <w:rFonts w:ascii="Garamond" w:eastAsia="Calibri" w:hAnsi="Garamond" w:cs="Times New Roman"/>
        </w:rPr>
        <w:t xml:space="preserve">… divine intellects are said to be moved in a circle </w:t>
      </w:r>
      <w:proofErr w:type="gramStart"/>
      <w:r w:rsidRPr="003037D2">
        <w:rPr>
          <w:rFonts w:ascii="Garamond" w:eastAsia="Calibri" w:hAnsi="Garamond" w:cs="Times New Roman"/>
        </w:rPr>
        <w:t>as long as</w:t>
      </w:r>
      <w:proofErr w:type="gramEnd"/>
      <w:r w:rsidRPr="003037D2">
        <w:rPr>
          <w:rFonts w:ascii="Garamond" w:eastAsia="Calibri" w:hAnsi="Garamond" w:cs="Times New Roman"/>
        </w:rPr>
        <w:t xml:space="preserve"> they are united with the </w:t>
      </w:r>
      <w:proofErr w:type="spellStart"/>
      <w:r w:rsidRPr="003037D2">
        <w:rPr>
          <w:rFonts w:ascii="Garamond" w:eastAsia="Calibri" w:hAnsi="Garamond" w:cs="Times New Roman"/>
        </w:rPr>
        <w:t>splendours</w:t>
      </w:r>
      <w:proofErr w:type="spellEnd"/>
      <w:r w:rsidRPr="003037D2">
        <w:rPr>
          <w:rFonts w:ascii="Garamond" w:eastAsia="Calibri" w:hAnsi="Garamond" w:cs="Times New Roman"/>
        </w:rPr>
        <w:t xml:space="preserve"> of the Beautiful and the Good, the </w:t>
      </w:r>
      <w:proofErr w:type="spellStart"/>
      <w:r w:rsidRPr="003037D2">
        <w:rPr>
          <w:rFonts w:ascii="Garamond" w:eastAsia="Calibri" w:hAnsi="Garamond" w:cs="Times New Roman"/>
        </w:rPr>
        <w:t>splendours</w:t>
      </w:r>
      <w:proofErr w:type="spellEnd"/>
      <w:r w:rsidRPr="003037D2">
        <w:rPr>
          <w:rFonts w:ascii="Garamond" w:eastAsia="Calibri" w:hAnsi="Garamond" w:cs="Times New Roman"/>
        </w:rPr>
        <w:t xml:space="preserve"> that have no beginning and no end. But they are moved in a straight line when they go forth to exercise care and forethought over their inferiors… And they are said to be moved spirally in that, while they provide for </w:t>
      </w:r>
      <w:proofErr w:type="spellStart"/>
      <w:r w:rsidRPr="003037D2">
        <w:rPr>
          <w:rFonts w:ascii="Garamond" w:eastAsia="Calibri" w:hAnsi="Garamond" w:cs="Times New Roman"/>
        </w:rPr>
        <w:t>subsequents</w:t>
      </w:r>
      <w:proofErr w:type="spellEnd"/>
      <w:r w:rsidRPr="003037D2">
        <w:rPr>
          <w:rFonts w:ascii="Garamond" w:eastAsia="Calibri" w:hAnsi="Garamond" w:cs="Times New Roman"/>
        </w:rPr>
        <w:t xml:space="preserve">, they never descend from their own identity; that is, they dance in chorus around the Beautiful and the God, the never-ending cause of their identity… The soul is moved spirally, however, insofar as it is somewhat aglow with divine notions but is only sustained according to its own property: not in an intellectual and </w:t>
      </w:r>
      <w:r w:rsidRPr="003037D2">
        <w:rPr>
          <w:rFonts w:ascii="Garamond" w:eastAsia="Calibri" w:hAnsi="Garamond" w:cs="Times New Roman"/>
        </w:rPr>
        <w:lastRenderedPageBreak/>
        <w:t>unchanging condition but in a rational and discursive manner, that is, by way of transient and mixed emotions.</w:t>
      </w:r>
      <w:r w:rsidRPr="003037D2">
        <w:rPr>
          <w:rFonts w:ascii="Garamond" w:eastAsia="Calibri" w:hAnsi="Garamond" w:cs="Times New Roman"/>
          <w:vertAlign w:val="superscript"/>
        </w:rPr>
        <w:footnoteReference w:id="366"/>
      </w:r>
    </w:p>
    <w:p w14:paraId="584CD8BD" w14:textId="77777777" w:rsidR="00162224" w:rsidRPr="003037D2" w:rsidRDefault="00162224" w:rsidP="00162224">
      <w:pPr>
        <w:snapToGrid w:val="0"/>
        <w:spacing w:line="360" w:lineRule="auto"/>
        <w:ind w:left="737" w:right="737"/>
        <w:rPr>
          <w:rFonts w:ascii="Garamond" w:eastAsia="Calibri" w:hAnsi="Garamond" w:cs="Times New Roman"/>
        </w:rPr>
      </w:pPr>
    </w:p>
    <w:p w14:paraId="4F1C99AC" w14:textId="5AA65114" w:rsidR="00667CD5" w:rsidRPr="003037D2" w:rsidRDefault="00162224" w:rsidP="00667CD5">
      <w:pPr>
        <w:snapToGrid w:val="0"/>
        <w:spacing w:line="360" w:lineRule="auto"/>
        <w:rPr>
          <w:rFonts w:ascii="Garamond" w:eastAsia="Calibri" w:hAnsi="Garamond" w:cs="Times New Roman"/>
        </w:rPr>
      </w:pPr>
      <w:r w:rsidRPr="003037D2">
        <w:rPr>
          <w:rFonts w:ascii="Garamond" w:eastAsia="Calibri" w:hAnsi="Garamond" w:cs="Times New Roman"/>
        </w:rPr>
        <w:t xml:space="preserve">The spiral motion of the soul sits at the half-way house between engaging with the outside world and engaging with the divine within. In </w:t>
      </w:r>
      <w:proofErr w:type="spellStart"/>
      <w:r w:rsidRPr="003037D2">
        <w:rPr>
          <w:rFonts w:ascii="Garamond" w:eastAsia="Calibri" w:hAnsi="Garamond" w:cs="Times New Roman"/>
        </w:rPr>
        <w:t>Marsilio</w:t>
      </w:r>
      <w:proofErr w:type="spellEnd"/>
      <w:r w:rsidRPr="003037D2">
        <w:rPr>
          <w:rFonts w:ascii="Garamond" w:eastAsia="Calibri" w:hAnsi="Garamond" w:cs="Times New Roman"/>
        </w:rPr>
        <w:t xml:space="preserve"> Ficino’s commentary on Dionysius, he examines the ‘triple motion of the angel and soul… the circular, the straight, and the oblique’ (or spiral) and concludes that when the human soul is in a spiral, it is ‘distracted’ and ‘impedes’ itself:</w:t>
      </w:r>
      <w:r w:rsidRPr="003037D2">
        <w:rPr>
          <w:rFonts w:ascii="Garamond" w:eastAsia="Calibri" w:hAnsi="Garamond" w:cs="Times New Roman"/>
          <w:vertAlign w:val="superscript"/>
        </w:rPr>
        <w:footnoteReference w:id="367"/>
      </w:r>
      <w:r w:rsidR="00667CD5">
        <w:rPr>
          <w:rFonts w:ascii="Garamond" w:eastAsia="Calibri" w:hAnsi="Garamond" w:cs="Times New Roman"/>
        </w:rPr>
        <w:t xml:space="preserve"> </w:t>
      </w:r>
    </w:p>
    <w:p w14:paraId="3648651B" w14:textId="77777777" w:rsidR="00162224" w:rsidRPr="003037D2" w:rsidRDefault="00162224" w:rsidP="00162224">
      <w:pPr>
        <w:snapToGrid w:val="0"/>
        <w:ind w:left="737" w:right="737"/>
        <w:rPr>
          <w:rFonts w:ascii="Garamond" w:eastAsia="Calibri" w:hAnsi="Garamond" w:cs="Times New Roman"/>
        </w:rPr>
      </w:pPr>
      <w:r w:rsidRPr="003037D2">
        <w:rPr>
          <w:rFonts w:ascii="Garamond" w:eastAsia="Calibri" w:hAnsi="Garamond" w:cs="Times New Roman"/>
        </w:rPr>
        <w:t xml:space="preserve">But in the </w:t>
      </w:r>
      <w:proofErr w:type="gramStart"/>
      <w:r w:rsidRPr="003037D2">
        <w:rPr>
          <w:rFonts w:ascii="Garamond" w:eastAsia="Calibri" w:hAnsi="Garamond" w:cs="Times New Roman"/>
        </w:rPr>
        <w:t>soul</w:t>
      </w:r>
      <w:proofErr w:type="gramEnd"/>
      <w:r w:rsidRPr="003037D2">
        <w:rPr>
          <w:rFonts w:ascii="Garamond" w:eastAsia="Calibri" w:hAnsi="Garamond" w:cs="Times New Roman"/>
        </w:rPr>
        <w:t xml:space="preserve"> it is called spiral motion when, [though] inspired by light from God and in trying to think about God Himself, the souls wanders far away from Divinity. Because the soul strives to return itself to its point of departure, it resembles in a way a circle. But because it does not arrive there… its motion is consequently spiral. </w:t>
      </w:r>
    </w:p>
    <w:p w14:paraId="125B900F" w14:textId="77777777" w:rsidR="00162224" w:rsidRPr="003037D2" w:rsidRDefault="00162224" w:rsidP="00162224">
      <w:pPr>
        <w:snapToGrid w:val="0"/>
        <w:ind w:left="737" w:right="737"/>
        <w:rPr>
          <w:rFonts w:ascii="Garamond" w:eastAsia="Calibri" w:hAnsi="Garamond" w:cs="Times New Roman"/>
        </w:rPr>
      </w:pPr>
    </w:p>
    <w:p w14:paraId="5DB23B5B" w14:textId="77777777" w:rsidR="00162224" w:rsidRPr="003037D2" w:rsidRDefault="00162224" w:rsidP="00162224">
      <w:pPr>
        <w:snapToGrid w:val="0"/>
        <w:ind w:left="737" w:right="737"/>
        <w:rPr>
          <w:rFonts w:ascii="Garamond" w:eastAsia="Calibri" w:hAnsi="Garamond" w:cs="Times New Roman"/>
        </w:rPr>
      </w:pPr>
      <w:r w:rsidRPr="003037D2">
        <w:rPr>
          <w:rFonts w:ascii="Garamond" w:eastAsia="Calibri" w:hAnsi="Garamond" w:cs="Times New Roman"/>
        </w:rPr>
        <w:t>The soul errs thus from God whenever, in using the reason rather than the intellect, it conceives… a certain notion regarding God, a notion that is not utterly simple and utterly unchanging… but that is mobile and multiple.</w:t>
      </w:r>
      <w:r w:rsidRPr="003037D2">
        <w:rPr>
          <w:rFonts w:ascii="Garamond" w:eastAsia="Calibri" w:hAnsi="Garamond" w:cs="Times New Roman"/>
          <w:vertAlign w:val="superscript"/>
        </w:rPr>
        <w:footnoteReference w:id="368"/>
      </w:r>
    </w:p>
    <w:p w14:paraId="199BFCD6" w14:textId="77777777" w:rsidR="00162224" w:rsidRPr="003037D2" w:rsidRDefault="00162224" w:rsidP="00162224">
      <w:pPr>
        <w:snapToGrid w:val="0"/>
        <w:spacing w:line="360" w:lineRule="auto"/>
        <w:ind w:left="737" w:right="737"/>
        <w:rPr>
          <w:rFonts w:ascii="Garamond" w:eastAsia="Calibri" w:hAnsi="Garamond" w:cs="Times New Roman"/>
        </w:rPr>
      </w:pPr>
    </w:p>
    <w:p w14:paraId="103F4B01" w14:textId="530809BA" w:rsidR="00162224" w:rsidRPr="003037D2" w:rsidRDefault="00162224" w:rsidP="00162224">
      <w:pPr>
        <w:snapToGrid w:val="0"/>
        <w:spacing w:line="360" w:lineRule="auto"/>
        <w:rPr>
          <w:rFonts w:ascii="Garamond" w:eastAsia="Calibri" w:hAnsi="Garamond" w:cs="Times New Roman"/>
        </w:rPr>
      </w:pPr>
      <w:r w:rsidRPr="003037D2">
        <w:rPr>
          <w:rFonts w:ascii="Garamond" w:eastAsia="Calibri" w:hAnsi="Garamond" w:cs="Times New Roman"/>
        </w:rPr>
        <w:t>However, for Ficino, this same spiral (or oblique motion) in angelic souls could be a positive, rather than a sign of distraction or misunderstanding. Indeed, in the angelic soul this could be part of a process of accommodation, as ‘the angel, in governing lower things in a kind of straight procession, does not depart from the understanding itself of matters divine and so preserves that highest circuit that it surely seems to imitate spiral motion’.</w:t>
      </w:r>
      <w:r w:rsidRPr="003037D2">
        <w:rPr>
          <w:rFonts w:ascii="Garamond" w:eastAsia="Calibri" w:hAnsi="Garamond" w:cs="Times New Roman"/>
          <w:vertAlign w:val="superscript"/>
        </w:rPr>
        <w:footnoteReference w:id="369"/>
      </w:r>
      <w:r w:rsidRPr="003037D2">
        <w:rPr>
          <w:rFonts w:ascii="Garamond" w:eastAsia="Calibri" w:hAnsi="Garamond" w:cs="Times New Roman"/>
        </w:rPr>
        <w:t xml:space="preserve"> The notion of the spiral movement of the soul is exceedingly helpful for understanding both Lock and Sidney</w:t>
      </w:r>
      <w:r w:rsidR="002F1250">
        <w:rPr>
          <w:rFonts w:ascii="Garamond" w:eastAsia="Calibri" w:hAnsi="Garamond" w:cs="Times New Roman"/>
        </w:rPr>
        <w:t xml:space="preserve"> Herbert</w:t>
      </w:r>
      <w:r w:rsidRPr="003037D2">
        <w:rPr>
          <w:rFonts w:ascii="Garamond" w:eastAsia="Calibri" w:hAnsi="Garamond" w:cs="Times New Roman"/>
        </w:rPr>
        <w:t>’s works. The movement of turning can be both positive and negative, a sign of distraction as in the human soul, or part of a process of gaining knowledge, ‘the wandering circuit in the reason wandering around itself and coming to know about [its] cause in various discursive ways’.</w:t>
      </w:r>
      <w:r w:rsidRPr="003037D2">
        <w:rPr>
          <w:rFonts w:ascii="Garamond" w:eastAsia="Calibri" w:hAnsi="Garamond" w:cs="Times New Roman"/>
          <w:vertAlign w:val="superscript"/>
        </w:rPr>
        <w:footnoteReference w:id="370"/>
      </w:r>
      <w:r w:rsidRPr="003037D2">
        <w:rPr>
          <w:rFonts w:ascii="Garamond" w:eastAsia="Calibri" w:hAnsi="Garamond" w:cs="Times New Roman"/>
        </w:rPr>
        <w:t xml:space="preserve"> If this </w:t>
      </w:r>
      <w:r w:rsidRPr="003037D2">
        <w:rPr>
          <w:rFonts w:ascii="Garamond" w:eastAsia="Calibri" w:hAnsi="Garamond" w:cs="Times New Roman"/>
        </w:rPr>
        <w:lastRenderedPageBreak/>
        <w:t xml:space="preserve">wandering motion is in aid of the service of others, attempting to communicate the process of repentance and sorrow to others, then this movement could be angelic, and productive, contemplating the ‘utterly simple and utterly unchanging’ nature of God, in a mobile manner.  </w:t>
      </w:r>
    </w:p>
    <w:p w14:paraId="672D0DBF" w14:textId="77777777" w:rsidR="00162224" w:rsidRPr="003037D2" w:rsidRDefault="00162224" w:rsidP="00162224">
      <w:pPr>
        <w:spacing w:line="360" w:lineRule="auto"/>
        <w:rPr>
          <w:rFonts w:ascii="Garamond" w:eastAsia="Calibri" w:hAnsi="Garamond" w:cs="Times New Roman"/>
        </w:rPr>
      </w:pPr>
    </w:p>
    <w:p w14:paraId="467554EB" w14:textId="77777777" w:rsidR="00162224" w:rsidRPr="003037D2" w:rsidRDefault="00162224" w:rsidP="00162224">
      <w:pPr>
        <w:snapToGrid w:val="0"/>
        <w:spacing w:line="360" w:lineRule="auto"/>
        <w:ind w:firstLine="720"/>
        <w:rPr>
          <w:rFonts w:ascii="Garamond" w:eastAsia="Calibri" w:hAnsi="Garamond" w:cs="Times New Roman"/>
        </w:rPr>
      </w:pPr>
    </w:p>
    <w:p w14:paraId="1E4790DE" w14:textId="77777777" w:rsidR="00162224" w:rsidRPr="003037D2" w:rsidRDefault="00162224" w:rsidP="00162224">
      <w:pPr>
        <w:keepNext/>
        <w:keepLines/>
        <w:numPr>
          <w:ilvl w:val="0"/>
          <w:numId w:val="26"/>
        </w:numPr>
        <w:spacing w:before="40" w:line="360" w:lineRule="auto"/>
        <w:outlineLvl w:val="2"/>
        <w:rPr>
          <w:rFonts w:ascii="Garamond" w:eastAsia="Times New Roman" w:hAnsi="Garamond" w:cs="Times New Roman"/>
        </w:rPr>
      </w:pPr>
      <w:bookmarkStart w:id="39" w:name="_Toc3967177"/>
      <w:r w:rsidRPr="003037D2">
        <w:rPr>
          <w:rFonts w:ascii="Garamond" w:eastAsia="Times New Roman" w:hAnsi="Garamond" w:cs="Times New Roman"/>
        </w:rPr>
        <w:t>Eloquence and memory</w:t>
      </w:r>
      <w:bookmarkEnd w:id="39"/>
      <w:r w:rsidRPr="003037D2">
        <w:rPr>
          <w:rFonts w:ascii="Garamond" w:eastAsia="Times New Roman" w:hAnsi="Garamond" w:cs="Times New Roman"/>
        </w:rPr>
        <w:t xml:space="preserve"> </w:t>
      </w:r>
    </w:p>
    <w:p w14:paraId="3A8D51CA" w14:textId="77777777" w:rsidR="00162224" w:rsidRPr="003037D2" w:rsidRDefault="00162224" w:rsidP="00162224">
      <w:pPr>
        <w:spacing w:line="360" w:lineRule="auto"/>
        <w:rPr>
          <w:rFonts w:ascii="Garamond" w:eastAsia="Calibri" w:hAnsi="Garamond" w:cs="Times New Roman"/>
          <w:i/>
          <w:iCs/>
        </w:rPr>
      </w:pPr>
    </w:p>
    <w:p w14:paraId="5A87949D" w14:textId="7C34B7E9"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James Simpson paints a bleak picture of the force of the Bible, suggesting that it was ‘capable of exerting a psychological violence on its own committed readers’.</w:t>
      </w:r>
      <w:r w:rsidRPr="003037D2">
        <w:rPr>
          <w:rFonts w:ascii="Garamond" w:eastAsia="Calibri" w:hAnsi="Garamond" w:cs="Times New Roman"/>
          <w:vertAlign w:val="superscript"/>
        </w:rPr>
        <w:footnoteReference w:id="371"/>
      </w:r>
      <w:r w:rsidRPr="003037D2">
        <w:rPr>
          <w:rFonts w:ascii="Garamond" w:eastAsia="Calibri" w:hAnsi="Garamond" w:cs="Times New Roman"/>
        </w:rPr>
        <w:t xml:space="preserve"> </w:t>
      </w:r>
      <w:r w:rsidRPr="003037D2">
        <w:rPr>
          <w:rFonts w:ascii="Garamond" w:eastAsia="Calibri" w:hAnsi="Garamond" w:cs="Times New Roman"/>
          <w:iCs/>
          <w:shd w:val="clear" w:color="auto" w:fill="FFFFFF"/>
        </w:rPr>
        <w:t>Both Lock and Sidney</w:t>
      </w:r>
      <w:r w:rsidR="002F1250">
        <w:rPr>
          <w:rFonts w:ascii="Garamond" w:eastAsia="Calibri" w:hAnsi="Garamond" w:cs="Times New Roman"/>
          <w:iCs/>
          <w:shd w:val="clear" w:color="auto" w:fill="FFFFFF"/>
        </w:rPr>
        <w:t xml:space="preserve"> Herbert</w:t>
      </w:r>
      <w:r w:rsidRPr="003037D2">
        <w:rPr>
          <w:rFonts w:ascii="Garamond" w:eastAsia="Calibri" w:hAnsi="Garamond" w:cs="Times New Roman"/>
          <w:iCs/>
          <w:shd w:val="clear" w:color="auto" w:fill="FFFFFF"/>
        </w:rPr>
        <w:t xml:space="preserve">’s interpretations of the </w:t>
      </w:r>
      <w:r w:rsidRPr="003037D2">
        <w:rPr>
          <w:rFonts w:ascii="Garamond" w:eastAsia="Calibri" w:hAnsi="Garamond" w:cs="Times New Roman"/>
          <w:i/>
          <w:iCs/>
          <w:shd w:val="clear" w:color="auto" w:fill="FFFFFF"/>
        </w:rPr>
        <w:t xml:space="preserve">miserere </w:t>
      </w:r>
      <w:proofErr w:type="spellStart"/>
      <w:r w:rsidRPr="003037D2">
        <w:rPr>
          <w:rFonts w:ascii="Garamond" w:eastAsia="Calibri" w:hAnsi="Garamond" w:cs="Times New Roman"/>
          <w:i/>
          <w:iCs/>
          <w:shd w:val="clear" w:color="auto" w:fill="FFFFFF"/>
        </w:rPr>
        <w:t>mei</w:t>
      </w:r>
      <w:proofErr w:type="spellEnd"/>
      <w:r w:rsidRPr="003037D2">
        <w:rPr>
          <w:rFonts w:ascii="Garamond" w:eastAsia="Calibri" w:hAnsi="Garamond" w:cs="Times New Roman"/>
          <w:i/>
          <w:iCs/>
          <w:shd w:val="clear" w:color="auto" w:fill="FFFFFF"/>
        </w:rPr>
        <w:t xml:space="preserve"> </w:t>
      </w:r>
      <w:r w:rsidRPr="003037D2">
        <w:rPr>
          <w:rFonts w:ascii="Garamond" w:eastAsia="Calibri" w:hAnsi="Garamond" w:cs="Times New Roman"/>
          <w:iCs/>
          <w:shd w:val="clear" w:color="auto" w:fill="FFFFFF"/>
        </w:rPr>
        <w:t xml:space="preserve">of Psalm 51 seem steeped in the deeply depressing Calvinist awareness of the utter futility of their penance, owing to the innately sinful nature of mankind. However, the use of </w:t>
      </w:r>
      <w:r w:rsidRPr="003037D2">
        <w:rPr>
          <w:rFonts w:ascii="Garamond" w:eastAsia="Calibri" w:hAnsi="Garamond" w:cs="Times New Roman"/>
          <w:i/>
          <w:iCs/>
          <w:shd w:val="clear" w:color="auto" w:fill="FFFFFF"/>
        </w:rPr>
        <w:t xml:space="preserve">metanoia </w:t>
      </w:r>
      <w:r w:rsidRPr="003037D2">
        <w:rPr>
          <w:rFonts w:ascii="Garamond" w:eastAsia="Calibri" w:hAnsi="Garamond" w:cs="Times New Roman"/>
          <w:iCs/>
          <w:shd w:val="clear" w:color="auto" w:fill="FFFFFF"/>
        </w:rPr>
        <w:t xml:space="preserve">and constant ‘changes of mind’ allow an element of hope to enter the picture. </w:t>
      </w:r>
      <w:r w:rsidRPr="003037D2">
        <w:rPr>
          <w:rFonts w:ascii="Garamond" w:eastAsia="Calibri" w:hAnsi="Garamond" w:cs="Times New Roman"/>
        </w:rPr>
        <w:t>Both renditions are remarkably forward looking. Sidney</w:t>
      </w:r>
      <w:r w:rsidR="002F1250">
        <w:rPr>
          <w:rFonts w:ascii="Garamond" w:eastAsia="Calibri" w:hAnsi="Garamond" w:cs="Times New Roman"/>
        </w:rPr>
        <w:t xml:space="preserve"> Herbert</w:t>
      </w:r>
      <w:r w:rsidRPr="003037D2">
        <w:rPr>
          <w:rFonts w:ascii="Garamond" w:eastAsia="Calibri" w:hAnsi="Garamond" w:cs="Times New Roman"/>
        </w:rPr>
        <w:t xml:space="preserve"> argues that her sinner’s soul is the greatest sacrifice to bring to God: </w:t>
      </w:r>
    </w:p>
    <w:p w14:paraId="1E5D29E6" w14:textId="77777777" w:rsidR="00162224" w:rsidRPr="003037D2" w:rsidRDefault="00162224" w:rsidP="00162224">
      <w:pPr>
        <w:ind w:left="1440"/>
        <w:rPr>
          <w:rFonts w:ascii="Garamond" w:eastAsia="Calibri" w:hAnsi="Garamond" w:cs="Times New Roman"/>
        </w:rPr>
      </w:pPr>
      <w:r w:rsidRPr="003037D2">
        <w:rPr>
          <w:rFonts w:ascii="Garamond" w:eastAsia="Calibri" w:hAnsi="Garamond" w:cs="Times New Roman"/>
        </w:rPr>
        <w:t>For bleeding fuel for thy altar’s flame,</w:t>
      </w:r>
    </w:p>
    <w:p w14:paraId="771D0E61" w14:textId="77777777" w:rsidR="00162224" w:rsidRPr="003037D2" w:rsidRDefault="00162224" w:rsidP="00162224">
      <w:pPr>
        <w:ind w:left="1440"/>
        <w:rPr>
          <w:rFonts w:ascii="Garamond" w:eastAsia="Calibri" w:hAnsi="Garamond" w:cs="Times New Roman"/>
        </w:rPr>
      </w:pPr>
      <w:r w:rsidRPr="003037D2">
        <w:rPr>
          <w:rFonts w:ascii="Garamond" w:eastAsia="Calibri" w:hAnsi="Garamond" w:cs="Times New Roman"/>
        </w:rPr>
        <w:t>         To gain thy grace what boots it me to bring?</w:t>
      </w:r>
    </w:p>
    <w:p w14:paraId="30BD976D" w14:textId="77777777" w:rsidR="00162224" w:rsidRPr="003037D2" w:rsidRDefault="00162224" w:rsidP="00162224">
      <w:pPr>
        <w:ind w:left="1440"/>
        <w:rPr>
          <w:rFonts w:ascii="Garamond" w:eastAsia="Calibri" w:hAnsi="Garamond" w:cs="Times New Roman"/>
        </w:rPr>
      </w:pPr>
      <w:r w:rsidRPr="003037D2">
        <w:rPr>
          <w:rFonts w:ascii="Garamond" w:eastAsia="Calibri" w:hAnsi="Garamond" w:cs="Times New Roman"/>
        </w:rPr>
        <w:t>         Burnt-</w:t>
      </w:r>
      <w:proofErr w:type="spellStart"/>
      <w:r w:rsidRPr="003037D2">
        <w:rPr>
          <w:rFonts w:ascii="Garamond" w:eastAsia="Calibri" w:hAnsi="Garamond" w:cs="Times New Roman"/>
        </w:rPr>
        <w:t>off’rings</w:t>
      </w:r>
      <w:proofErr w:type="spellEnd"/>
      <w:r w:rsidRPr="003037D2">
        <w:rPr>
          <w:rFonts w:ascii="Garamond" w:eastAsia="Calibri" w:hAnsi="Garamond" w:cs="Times New Roman"/>
        </w:rPr>
        <w:t xml:space="preserve"> are to thee no pleasant thing.</w:t>
      </w:r>
    </w:p>
    <w:p w14:paraId="7466F18F" w14:textId="77777777" w:rsidR="00162224" w:rsidRPr="003037D2" w:rsidRDefault="00162224" w:rsidP="00162224">
      <w:pPr>
        <w:ind w:left="1440"/>
        <w:rPr>
          <w:rFonts w:ascii="Garamond" w:eastAsia="Calibri" w:hAnsi="Garamond" w:cs="Times New Roman"/>
        </w:rPr>
      </w:pPr>
      <w:r w:rsidRPr="003037D2">
        <w:rPr>
          <w:rFonts w:ascii="Garamond" w:eastAsia="Calibri" w:hAnsi="Garamond" w:cs="Times New Roman"/>
        </w:rPr>
        <w:t>               The sacrifice that God will hold respected,</w:t>
      </w:r>
    </w:p>
    <w:p w14:paraId="2C4DE74C" w14:textId="77777777" w:rsidR="00162224" w:rsidRPr="003037D2" w:rsidRDefault="00162224" w:rsidP="00162224">
      <w:pPr>
        <w:ind w:left="1440"/>
        <w:rPr>
          <w:rFonts w:ascii="Garamond" w:eastAsia="Calibri" w:hAnsi="Garamond" w:cs="Times New Roman"/>
        </w:rPr>
      </w:pPr>
      <w:r w:rsidRPr="003037D2">
        <w:rPr>
          <w:rFonts w:ascii="Garamond" w:eastAsia="Calibri" w:hAnsi="Garamond" w:cs="Times New Roman"/>
        </w:rPr>
        <w:t xml:space="preserve">               Is the heart-broken soul, the sprite </w:t>
      </w:r>
      <w:proofErr w:type="gramStart"/>
      <w:r w:rsidRPr="003037D2">
        <w:rPr>
          <w:rFonts w:ascii="Garamond" w:eastAsia="Calibri" w:hAnsi="Garamond" w:cs="Times New Roman"/>
        </w:rPr>
        <w:t>dejected.</w:t>
      </w:r>
      <w:proofErr w:type="gramEnd"/>
    </w:p>
    <w:p w14:paraId="43AF1B43" w14:textId="77777777" w:rsidR="00162224" w:rsidRPr="003037D2" w:rsidRDefault="00162224" w:rsidP="00162224">
      <w:pPr>
        <w:spacing w:line="360" w:lineRule="auto"/>
        <w:rPr>
          <w:rFonts w:ascii="Garamond" w:eastAsia="Calibri" w:hAnsi="Garamond" w:cs="Times New Roman"/>
          <w:i/>
          <w:iCs/>
        </w:rPr>
      </w:pPr>
    </w:p>
    <w:p w14:paraId="2FB5AC36" w14:textId="77777777" w:rsidR="00162224" w:rsidRPr="003037D2" w:rsidRDefault="00162224" w:rsidP="00162224">
      <w:pPr>
        <w:spacing w:line="360" w:lineRule="auto"/>
        <w:rPr>
          <w:rFonts w:ascii="Garamond" w:eastAsia="Calibri" w:hAnsi="Garamond" w:cs="Times New Roman"/>
          <w:iCs/>
          <w:shd w:val="clear" w:color="auto" w:fill="FFFFFF"/>
        </w:rPr>
      </w:pPr>
      <w:r w:rsidRPr="003037D2">
        <w:rPr>
          <w:rFonts w:ascii="Garamond" w:eastAsia="Calibri" w:hAnsi="Garamond" w:cs="Times New Roman"/>
          <w:i/>
          <w:iCs/>
        </w:rPr>
        <w:t xml:space="preserve">Metanoia </w:t>
      </w:r>
      <w:r w:rsidRPr="003037D2">
        <w:rPr>
          <w:rFonts w:ascii="Garamond" w:eastAsia="Calibri" w:hAnsi="Garamond" w:cs="Times New Roman"/>
        </w:rPr>
        <w:t>then</w:t>
      </w:r>
      <w:r w:rsidRPr="003037D2">
        <w:rPr>
          <w:rFonts w:ascii="Garamond" w:eastAsia="Calibri" w:hAnsi="Garamond" w:cs="Times New Roman"/>
          <w:i/>
          <w:iCs/>
        </w:rPr>
        <w:t xml:space="preserve"> </w:t>
      </w:r>
      <w:r w:rsidRPr="003037D2">
        <w:rPr>
          <w:rFonts w:ascii="Garamond" w:eastAsia="Calibri" w:hAnsi="Garamond" w:cs="Times New Roman"/>
        </w:rPr>
        <w:t xml:space="preserve">promotes repentance, regret, and reflection, bringing about a ‘change of heart’ that results in action. Sidney’s </w:t>
      </w:r>
      <w:r w:rsidRPr="003037D2">
        <w:rPr>
          <w:rFonts w:ascii="Garamond" w:eastAsia="Calibri" w:hAnsi="Garamond" w:cs="Times New Roman"/>
          <w:iCs/>
          <w:shd w:val="clear" w:color="auto" w:fill="FFFFFF"/>
        </w:rPr>
        <w:t xml:space="preserve">speaker describes how through their experience of converting from sin, </w:t>
      </w:r>
      <w:r w:rsidRPr="003037D2">
        <w:rPr>
          <w:rFonts w:ascii="Garamond" w:eastAsia="Calibri" w:hAnsi="Garamond" w:cs="Times New Roman"/>
          <w:i/>
          <w:iCs/>
          <w:shd w:val="clear" w:color="auto" w:fill="FFFFFF"/>
        </w:rPr>
        <w:t xml:space="preserve">metanoia, </w:t>
      </w:r>
      <w:r w:rsidRPr="003037D2">
        <w:rPr>
          <w:rFonts w:ascii="Garamond" w:eastAsia="Calibri" w:hAnsi="Garamond" w:cs="Times New Roman"/>
          <w:iCs/>
          <w:shd w:val="clear" w:color="auto" w:fill="FFFFFF"/>
        </w:rPr>
        <w:t xml:space="preserve">can make them a guide to others: </w:t>
      </w:r>
    </w:p>
    <w:p w14:paraId="7684BA28" w14:textId="77777777" w:rsidR="00162224" w:rsidRPr="003037D2" w:rsidRDefault="00162224" w:rsidP="00162224">
      <w:pPr>
        <w:ind w:left="2160"/>
        <w:rPr>
          <w:rFonts w:ascii="Garamond" w:eastAsia="Calibri" w:hAnsi="Garamond" w:cs="Times New Roman"/>
        </w:rPr>
      </w:pPr>
      <w:proofErr w:type="gramStart"/>
      <w:r w:rsidRPr="003037D2">
        <w:rPr>
          <w:rFonts w:ascii="Garamond" w:eastAsia="Calibri" w:hAnsi="Garamond" w:cs="Times New Roman"/>
        </w:rPr>
        <w:t>So</w:t>
      </w:r>
      <w:proofErr w:type="gramEnd"/>
      <w:r w:rsidRPr="003037D2">
        <w:rPr>
          <w:rFonts w:ascii="Garamond" w:eastAsia="Calibri" w:hAnsi="Garamond" w:cs="Times New Roman"/>
        </w:rPr>
        <w:t xml:space="preserve"> I to them a guiding hand will be,</w:t>
      </w:r>
    </w:p>
    <w:p w14:paraId="5CE688A4"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 xml:space="preserve">         Whose faulty feet have wandered from thy way,</w:t>
      </w:r>
    </w:p>
    <w:p w14:paraId="1314DC04"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And turned from sin will make return to thee,</w:t>
      </w:r>
    </w:p>
    <w:p w14:paraId="2249302A" w14:textId="77777777" w:rsidR="00162224" w:rsidRPr="003037D2" w:rsidRDefault="00162224" w:rsidP="00162224">
      <w:pPr>
        <w:tabs>
          <w:tab w:val="left" w:pos="8200"/>
        </w:tabs>
        <w:ind w:left="2160"/>
        <w:rPr>
          <w:rFonts w:ascii="Garamond" w:eastAsia="Calibri" w:hAnsi="Garamond" w:cs="Times New Roman"/>
        </w:rPr>
      </w:pPr>
      <w:r w:rsidRPr="003037D2">
        <w:rPr>
          <w:rFonts w:ascii="Garamond" w:eastAsia="Calibri" w:hAnsi="Garamond" w:cs="Times New Roman"/>
        </w:rPr>
        <w:t xml:space="preserve">         Whom turned from thee sin </w:t>
      </w:r>
      <w:proofErr w:type="spellStart"/>
      <w:r w:rsidRPr="003037D2">
        <w:rPr>
          <w:rFonts w:ascii="Garamond" w:eastAsia="Calibri" w:hAnsi="Garamond" w:cs="Times New Roman"/>
        </w:rPr>
        <w:t>erst</w:t>
      </w:r>
      <w:proofErr w:type="spellEnd"/>
      <w:r w:rsidRPr="003037D2">
        <w:rPr>
          <w:rFonts w:ascii="Garamond" w:eastAsia="Calibri" w:hAnsi="Garamond" w:cs="Times New Roman"/>
        </w:rPr>
        <w:t xml:space="preserve"> had led astray.</w:t>
      </w:r>
    </w:p>
    <w:p w14:paraId="6CC98343" w14:textId="77777777" w:rsidR="00162224" w:rsidRPr="003037D2" w:rsidRDefault="00162224" w:rsidP="00162224">
      <w:pPr>
        <w:tabs>
          <w:tab w:val="left" w:pos="8200"/>
        </w:tabs>
        <w:ind w:left="2160"/>
        <w:rPr>
          <w:rFonts w:ascii="Garamond" w:eastAsia="Calibri" w:hAnsi="Garamond" w:cs="Times New Roman"/>
        </w:rPr>
      </w:pPr>
    </w:p>
    <w:p w14:paraId="09BD9089" w14:textId="77777777" w:rsidR="00162224" w:rsidRPr="003037D2" w:rsidRDefault="00162224" w:rsidP="00162224">
      <w:pPr>
        <w:tabs>
          <w:tab w:val="left" w:pos="8200"/>
        </w:tabs>
        <w:spacing w:line="360" w:lineRule="auto"/>
        <w:rPr>
          <w:rFonts w:ascii="Garamond" w:eastAsia="Calibri" w:hAnsi="Garamond" w:cs="Times New Roman"/>
        </w:rPr>
      </w:pPr>
      <w:r w:rsidRPr="003037D2">
        <w:rPr>
          <w:rFonts w:ascii="Garamond" w:eastAsia="Calibri" w:hAnsi="Garamond" w:cs="Times New Roman"/>
        </w:rPr>
        <w:t>Similarly, the ‘penitent sinner’ of Lock’s verse declares:</w:t>
      </w:r>
    </w:p>
    <w:p w14:paraId="485EA086" w14:textId="77777777" w:rsidR="00162224" w:rsidRPr="003037D2" w:rsidRDefault="00162224" w:rsidP="00162224">
      <w:pPr>
        <w:tabs>
          <w:tab w:val="left" w:pos="8200"/>
        </w:tabs>
        <w:ind w:left="2160"/>
        <w:rPr>
          <w:rFonts w:ascii="Garamond" w:eastAsia="Calibri" w:hAnsi="Garamond" w:cs="Times New Roman"/>
        </w:rPr>
      </w:pPr>
      <w:r w:rsidRPr="003037D2">
        <w:rPr>
          <w:rFonts w:ascii="Garamond" w:eastAsia="Calibri" w:hAnsi="Garamond" w:cs="Times New Roman"/>
        </w:rPr>
        <w:t xml:space="preserve"> By mercy saved, thy mercy shall I tell.</w:t>
      </w:r>
    </w:p>
    <w:p w14:paraId="71411CD4" w14:textId="77777777" w:rsidR="00162224" w:rsidRPr="003037D2" w:rsidRDefault="00162224" w:rsidP="00162224">
      <w:pPr>
        <w:tabs>
          <w:tab w:val="left" w:pos="8200"/>
        </w:tabs>
        <w:ind w:left="2160"/>
        <w:rPr>
          <w:rFonts w:ascii="Garamond" w:eastAsia="Calibri" w:hAnsi="Garamond" w:cs="Times New Roman"/>
        </w:rPr>
      </w:pPr>
      <w:r w:rsidRPr="003037D2">
        <w:rPr>
          <w:rFonts w:ascii="Garamond" w:eastAsia="Calibri" w:hAnsi="Garamond" w:cs="Times New Roman"/>
        </w:rPr>
        <w:t xml:space="preserve">The wicked I will teach </w:t>
      </w:r>
      <w:proofErr w:type="spellStart"/>
      <w:r w:rsidRPr="003037D2">
        <w:rPr>
          <w:rFonts w:ascii="Garamond" w:eastAsia="Calibri" w:hAnsi="Garamond" w:cs="Times New Roman"/>
        </w:rPr>
        <w:t>thyne</w:t>
      </w:r>
      <w:proofErr w:type="spellEnd"/>
      <w:r w:rsidRPr="003037D2">
        <w:rPr>
          <w:rFonts w:ascii="Garamond" w:eastAsia="Calibri" w:hAnsi="Garamond" w:cs="Times New Roman"/>
        </w:rPr>
        <w:t xml:space="preserve"> only way… </w:t>
      </w:r>
    </w:p>
    <w:p w14:paraId="69FBDD49" w14:textId="77777777" w:rsidR="00162224" w:rsidRPr="003037D2" w:rsidRDefault="00162224" w:rsidP="00162224">
      <w:pPr>
        <w:tabs>
          <w:tab w:val="left" w:pos="8200"/>
        </w:tabs>
        <w:ind w:left="2160"/>
        <w:rPr>
          <w:rFonts w:ascii="Garamond" w:eastAsia="Calibri" w:hAnsi="Garamond" w:cs="Times New Roman"/>
        </w:rPr>
      </w:pPr>
      <w:r w:rsidRPr="003037D2">
        <w:rPr>
          <w:rFonts w:ascii="Garamond" w:eastAsia="Calibri" w:hAnsi="Garamond" w:cs="Times New Roman"/>
        </w:rPr>
        <w:t xml:space="preserve">To rue </w:t>
      </w:r>
      <w:proofErr w:type="spellStart"/>
      <w:r w:rsidRPr="003037D2">
        <w:rPr>
          <w:rFonts w:ascii="Garamond" w:eastAsia="Calibri" w:hAnsi="Garamond" w:cs="Times New Roman"/>
        </w:rPr>
        <w:t>theyr</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errour</w:t>
      </w:r>
      <w:proofErr w:type="spellEnd"/>
      <w:r w:rsidRPr="003037D2">
        <w:rPr>
          <w:rFonts w:ascii="Garamond" w:eastAsia="Calibri" w:hAnsi="Garamond" w:cs="Times New Roman"/>
        </w:rPr>
        <w:t xml:space="preserve"> and </w:t>
      </w:r>
      <w:proofErr w:type="spellStart"/>
      <w:r w:rsidRPr="003037D2">
        <w:rPr>
          <w:rFonts w:ascii="Garamond" w:eastAsia="Calibri" w:hAnsi="Garamond" w:cs="Times New Roman"/>
        </w:rPr>
        <w:t>returne</w:t>
      </w:r>
      <w:proofErr w:type="spellEnd"/>
      <w:r w:rsidRPr="003037D2">
        <w:rPr>
          <w:rFonts w:ascii="Garamond" w:eastAsia="Calibri" w:hAnsi="Garamond" w:cs="Times New Roman"/>
        </w:rPr>
        <w:t xml:space="preserve"> to thee.</w:t>
      </w:r>
    </w:p>
    <w:p w14:paraId="7E65257D" w14:textId="77777777" w:rsidR="00162224" w:rsidRPr="003037D2" w:rsidRDefault="00162224" w:rsidP="00162224">
      <w:pPr>
        <w:tabs>
          <w:tab w:val="left" w:pos="8200"/>
        </w:tabs>
        <w:ind w:left="2160"/>
        <w:rPr>
          <w:rFonts w:ascii="Garamond" w:eastAsia="Calibri" w:hAnsi="Garamond" w:cs="Times New Roman"/>
        </w:rPr>
      </w:pPr>
      <w:r w:rsidRPr="003037D2">
        <w:rPr>
          <w:rFonts w:ascii="Garamond" w:eastAsia="Calibri" w:hAnsi="Garamond" w:cs="Times New Roman"/>
        </w:rPr>
        <w:t xml:space="preserve"> So shall the </w:t>
      </w:r>
      <w:proofErr w:type="spellStart"/>
      <w:r w:rsidRPr="003037D2">
        <w:rPr>
          <w:rFonts w:ascii="Garamond" w:eastAsia="Calibri" w:hAnsi="Garamond" w:cs="Times New Roman"/>
        </w:rPr>
        <w:t>profe</w:t>
      </w:r>
      <w:proofErr w:type="spellEnd"/>
      <w:r w:rsidRPr="003037D2">
        <w:rPr>
          <w:rFonts w:ascii="Garamond" w:eastAsia="Calibri" w:hAnsi="Garamond" w:cs="Times New Roman"/>
        </w:rPr>
        <w:t xml:space="preserve"> of </w:t>
      </w:r>
      <w:proofErr w:type="spellStart"/>
      <w:r w:rsidRPr="003037D2">
        <w:rPr>
          <w:rFonts w:ascii="Garamond" w:eastAsia="Calibri" w:hAnsi="Garamond" w:cs="Times New Roman"/>
        </w:rPr>
        <w:t>myne</w:t>
      </w:r>
      <w:proofErr w:type="spellEnd"/>
      <w:r w:rsidRPr="003037D2">
        <w:rPr>
          <w:rFonts w:ascii="Garamond" w:eastAsia="Calibri" w:hAnsi="Garamond" w:cs="Times New Roman"/>
        </w:rPr>
        <w:t xml:space="preserve"> example </w:t>
      </w:r>
      <w:proofErr w:type="spellStart"/>
      <w:r w:rsidRPr="003037D2">
        <w:rPr>
          <w:rFonts w:ascii="Garamond" w:eastAsia="Calibri" w:hAnsi="Garamond" w:cs="Times New Roman"/>
        </w:rPr>
        <w:t>preache</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372"/>
      </w:r>
    </w:p>
    <w:p w14:paraId="095C22CD" w14:textId="77777777" w:rsidR="00162224" w:rsidRPr="003037D2" w:rsidRDefault="00162224" w:rsidP="00162224">
      <w:pPr>
        <w:tabs>
          <w:tab w:val="left" w:pos="8200"/>
        </w:tabs>
        <w:ind w:left="2160"/>
        <w:rPr>
          <w:rFonts w:ascii="Garamond" w:eastAsia="Calibri" w:hAnsi="Garamond" w:cs="Times New Roman"/>
        </w:rPr>
      </w:pPr>
    </w:p>
    <w:p w14:paraId="2EAFC5A6" w14:textId="2B3C47D8" w:rsidR="00162224" w:rsidRPr="003037D2" w:rsidRDefault="00162224" w:rsidP="00162224">
      <w:pPr>
        <w:tabs>
          <w:tab w:val="left" w:pos="8200"/>
        </w:tabs>
        <w:spacing w:line="360" w:lineRule="auto"/>
        <w:rPr>
          <w:rFonts w:ascii="Garamond" w:eastAsia="Calibri" w:hAnsi="Garamond" w:cs="Times New Roman"/>
        </w:rPr>
      </w:pPr>
      <w:r w:rsidRPr="003037D2">
        <w:rPr>
          <w:rFonts w:ascii="Garamond" w:eastAsia="Calibri" w:hAnsi="Garamond" w:cs="Times New Roman"/>
        </w:rPr>
        <w:lastRenderedPageBreak/>
        <w:t xml:space="preserve">The psalmist claims that it is their very error and sin that will enable them to lead others in this same movement. Returning to Perkins’s ‘description of Theologies’ in the ‘Golden </w:t>
      </w:r>
      <w:proofErr w:type="spellStart"/>
      <w:r w:rsidRPr="003037D2">
        <w:rPr>
          <w:rFonts w:ascii="Garamond" w:eastAsia="Calibri" w:hAnsi="Garamond" w:cs="Times New Roman"/>
        </w:rPr>
        <w:t>Chaine</w:t>
      </w:r>
      <w:proofErr w:type="spellEnd"/>
      <w:r w:rsidRPr="003037D2">
        <w:rPr>
          <w:rFonts w:ascii="Garamond" w:eastAsia="Calibri" w:hAnsi="Garamond" w:cs="Times New Roman"/>
        </w:rPr>
        <w:t xml:space="preserve">’, we see a similar pattern being set out, both visual and textual. Perkins frames this diagram as a means of widening the scope of the catechism, delivering it to even those who cannot read: ‘it may be </w:t>
      </w:r>
      <w:proofErr w:type="spellStart"/>
      <w:r w:rsidRPr="003037D2">
        <w:rPr>
          <w:rFonts w:ascii="Garamond" w:eastAsia="Calibri" w:hAnsi="Garamond" w:cs="Times New Roman"/>
        </w:rPr>
        <w:t>in stead</w:t>
      </w:r>
      <w:proofErr w:type="spellEnd"/>
      <w:r w:rsidRPr="003037D2">
        <w:rPr>
          <w:rFonts w:ascii="Garamond" w:eastAsia="Calibri" w:hAnsi="Garamond" w:cs="Times New Roman"/>
        </w:rPr>
        <w:t xml:space="preserve"> of a </w:t>
      </w:r>
      <w:r w:rsidRPr="003037D2">
        <w:rPr>
          <w:rFonts w:ascii="Garamond" w:eastAsia="Calibri" w:hAnsi="Garamond" w:cs="Times New Roman"/>
          <w:i/>
          <w:iCs/>
        </w:rPr>
        <w:t xml:space="preserve">ocular </w:t>
      </w:r>
      <w:proofErr w:type="spellStart"/>
      <w:r w:rsidRPr="003037D2">
        <w:rPr>
          <w:rFonts w:ascii="Garamond" w:eastAsia="Calibri" w:hAnsi="Garamond" w:cs="Times New Roman"/>
          <w:i/>
          <w:iCs/>
        </w:rPr>
        <w:t>Catechisme</w:t>
      </w:r>
      <w:proofErr w:type="spellEnd"/>
      <w:r w:rsidRPr="003037D2">
        <w:rPr>
          <w:rFonts w:ascii="Garamond" w:eastAsia="Calibri" w:hAnsi="Garamond" w:cs="Times New Roman"/>
          <w:i/>
          <w:iCs/>
        </w:rPr>
        <w:t xml:space="preserve"> </w:t>
      </w:r>
      <w:r w:rsidRPr="003037D2">
        <w:rPr>
          <w:rFonts w:ascii="Garamond" w:eastAsia="Calibri" w:hAnsi="Garamond" w:cs="Times New Roman"/>
        </w:rPr>
        <w:t>to them who cannot read for by the pointing of the finger, they may sensibly perceive the chief points of religion, and the order of them’.</w:t>
      </w:r>
      <w:r w:rsidRPr="003037D2">
        <w:rPr>
          <w:rFonts w:ascii="Garamond" w:eastAsia="Calibri" w:hAnsi="Garamond" w:cs="Times New Roman"/>
          <w:vertAlign w:val="superscript"/>
        </w:rPr>
        <w:footnoteReference w:id="373"/>
      </w:r>
      <w:r w:rsidRPr="003037D2">
        <w:rPr>
          <w:rFonts w:ascii="Garamond" w:eastAsia="Calibri" w:hAnsi="Garamond" w:cs="Times New Roman"/>
        </w:rPr>
        <w:t xml:space="preserve"> Ferrell argues that the ‘hands-on’ nature of this guide was crucial both to its mission, and its success: ‘[t]he engagingly tactile formats of such books embodied a fundamentally encouraging pedagogical message: you can grasp this idea as freely, and as </w:t>
      </w:r>
      <w:proofErr w:type="spellStart"/>
      <w:r w:rsidRPr="003037D2">
        <w:rPr>
          <w:rFonts w:ascii="Garamond" w:eastAsia="Calibri" w:hAnsi="Garamond" w:cs="Times New Roman"/>
        </w:rPr>
        <w:t>skilfully</w:t>
      </w:r>
      <w:proofErr w:type="spellEnd"/>
      <w:r w:rsidRPr="003037D2">
        <w:rPr>
          <w:rFonts w:ascii="Garamond" w:eastAsia="Calibri" w:hAnsi="Garamond" w:cs="Times New Roman"/>
        </w:rPr>
        <w:t>, as you do this page’.</w:t>
      </w:r>
      <w:r w:rsidRPr="003037D2">
        <w:rPr>
          <w:rFonts w:ascii="Garamond" w:eastAsia="Calibri" w:hAnsi="Garamond" w:cs="Times New Roman"/>
          <w:vertAlign w:val="superscript"/>
        </w:rPr>
        <w:footnoteReference w:id="374"/>
      </w:r>
      <w:r w:rsidRPr="003037D2">
        <w:rPr>
          <w:rFonts w:ascii="Garamond" w:eastAsia="Calibri" w:hAnsi="Garamond" w:cs="Times New Roman"/>
        </w:rPr>
        <w:t xml:space="preserve"> The evidence from the annotated almanacs suggest that this process of turning backwards and forwards through a book, through different frames of reference, different temporal planes, was a common experience in the early modern period, written into both erudite works of theology, and objects as ordinary as the pocket almanac. Lock and Sidney</w:t>
      </w:r>
      <w:r w:rsidR="002F1250">
        <w:rPr>
          <w:rFonts w:ascii="Garamond" w:eastAsia="Calibri" w:hAnsi="Garamond" w:cs="Times New Roman"/>
        </w:rPr>
        <w:t xml:space="preserve"> Herbert</w:t>
      </w:r>
      <w:r w:rsidRPr="003037D2">
        <w:rPr>
          <w:rFonts w:ascii="Garamond" w:eastAsia="Calibri" w:hAnsi="Garamond" w:cs="Times New Roman"/>
        </w:rPr>
        <w:t xml:space="preserve"> are offering an emotive, rather than diagrammatic, guide to their readers. It is to be experienced concurrently with the ever-suffering penitent, rather than</w:t>
      </w:r>
      <w:r w:rsidR="00F27EB0" w:rsidRPr="003037D2">
        <w:rPr>
          <w:rFonts w:ascii="Garamond" w:eastAsia="Calibri" w:hAnsi="Garamond" w:cs="Times New Roman"/>
        </w:rPr>
        <w:t xml:space="preserve"> as</w:t>
      </w:r>
      <w:r w:rsidRPr="003037D2">
        <w:rPr>
          <w:rFonts w:ascii="Garamond" w:eastAsia="Calibri" w:hAnsi="Garamond" w:cs="Times New Roman"/>
        </w:rPr>
        <w:t xml:space="preserve"> a historical, dispassionate look back on what they have experienced.  </w:t>
      </w:r>
    </w:p>
    <w:p w14:paraId="283E4D78" w14:textId="77777777" w:rsidR="00162224" w:rsidRPr="003037D2" w:rsidRDefault="00162224" w:rsidP="00162224">
      <w:pPr>
        <w:tabs>
          <w:tab w:val="left" w:pos="8200"/>
        </w:tabs>
        <w:spacing w:line="360" w:lineRule="auto"/>
        <w:ind w:left="2160"/>
        <w:rPr>
          <w:rFonts w:ascii="Garamond" w:eastAsia="Calibri" w:hAnsi="Garamond" w:cs="Times New Roman"/>
        </w:rPr>
      </w:pPr>
    </w:p>
    <w:p w14:paraId="792EB81A" w14:textId="77777777" w:rsidR="00162224" w:rsidRPr="003037D2" w:rsidRDefault="00162224" w:rsidP="00162224">
      <w:pPr>
        <w:tabs>
          <w:tab w:val="left" w:pos="8200"/>
        </w:tabs>
        <w:spacing w:line="360" w:lineRule="auto"/>
        <w:ind w:left="2160"/>
        <w:rPr>
          <w:rFonts w:ascii="Garamond" w:eastAsia="Calibri" w:hAnsi="Garamond" w:cs="Times New Roman"/>
        </w:rPr>
      </w:pPr>
    </w:p>
    <w:p w14:paraId="1059B08A" w14:textId="0A76551E" w:rsidR="00162224" w:rsidRPr="003037D2" w:rsidRDefault="00162224" w:rsidP="00470D01">
      <w:pPr>
        <w:spacing w:line="360" w:lineRule="auto"/>
        <w:rPr>
          <w:rFonts w:ascii="Garamond" w:eastAsia="Calibri" w:hAnsi="Garamond" w:cs="Times New Roman"/>
        </w:rPr>
      </w:pPr>
      <w:r w:rsidRPr="003037D2">
        <w:rPr>
          <w:rFonts w:ascii="Garamond" w:eastAsia="Calibri" w:hAnsi="Garamond" w:cs="Times New Roman"/>
        </w:rPr>
        <w:tab/>
        <w:t xml:space="preserve">The emphasis upon </w:t>
      </w:r>
      <w:r w:rsidRPr="003037D2">
        <w:rPr>
          <w:rFonts w:ascii="Garamond" w:eastAsia="Calibri" w:hAnsi="Garamond" w:cs="Times New Roman"/>
          <w:i/>
        </w:rPr>
        <w:t xml:space="preserve">metanoia </w:t>
      </w:r>
      <w:r w:rsidRPr="003037D2">
        <w:rPr>
          <w:rFonts w:ascii="Garamond" w:eastAsia="Calibri" w:hAnsi="Garamond" w:cs="Times New Roman"/>
        </w:rPr>
        <w:t>and temporal change in these renditions allows Lock and Sidney</w:t>
      </w:r>
      <w:r w:rsidR="002F1250">
        <w:rPr>
          <w:rFonts w:ascii="Garamond" w:eastAsia="Calibri" w:hAnsi="Garamond" w:cs="Times New Roman"/>
        </w:rPr>
        <w:t xml:space="preserve"> Herbert</w:t>
      </w:r>
      <w:r w:rsidRPr="003037D2">
        <w:rPr>
          <w:rFonts w:ascii="Garamond" w:eastAsia="Calibri" w:hAnsi="Garamond" w:cs="Times New Roman"/>
        </w:rPr>
        <w:t xml:space="preserve"> to transform backward-looking penance into a moment of opportunity: a possible elision of </w:t>
      </w:r>
      <w:r w:rsidRPr="003037D2">
        <w:rPr>
          <w:rFonts w:ascii="Garamond" w:eastAsia="Calibri" w:hAnsi="Garamond" w:cs="Times New Roman"/>
          <w:i/>
        </w:rPr>
        <w:t xml:space="preserve">Kairos </w:t>
      </w:r>
      <w:r w:rsidRPr="003037D2">
        <w:rPr>
          <w:rFonts w:ascii="Garamond" w:eastAsia="Calibri" w:hAnsi="Garamond" w:cs="Times New Roman"/>
        </w:rPr>
        <w:t xml:space="preserve">and </w:t>
      </w:r>
      <w:r w:rsidRPr="003037D2">
        <w:rPr>
          <w:rFonts w:ascii="Garamond" w:eastAsia="Calibri" w:hAnsi="Garamond" w:cs="Times New Roman"/>
          <w:i/>
        </w:rPr>
        <w:t xml:space="preserve">metanoia. </w:t>
      </w:r>
      <w:r w:rsidRPr="003037D2">
        <w:rPr>
          <w:rFonts w:ascii="Garamond" w:eastAsia="Calibri" w:hAnsi="Garamond" w:cs="Times New Roman"/>
        </w:rPr>
        <w:t>With the knowledge and insight prompted by penance, these Protestant women could appropriate the words of a biblical King, fitting them to the present moment and proffering a guide for the future. Sidney</w:t>
      </w:r>
      <w:r w:rsidR="002F1250">
        <w:rPr>
          <w:rFonts w:ascii="Garamond" w:eastAsia="Calibri" w:hAnsi="Garamond" w:cs="Times New Roman"/>
        </w:rPr>
        <w:t xml:space="preserve"> Herbert</w:t>
      </w:r>
      <w:r w:rsidRPr="003037D2">
        <w:rPr>
          <w:rFonts w:ascii="Garamond" w:eastAsia="Calibri" w:hAnsi="Garamond" w:cs="Times New Roman"/>
        </w:rPr>
        <w:t xml:space="preserve"> appeals to God, ‘Unlock my lips, shut up with sinful shame:/ Then shall my mouth, O Lord, thy </w:t>
      </w:r>
      <w:proofErr w:type="spellStart"/>
      <w:r w:rsidRPr="003037D2">
        <w:rPr>
          <w:rFonts w:ascii="Garamond" w:eastAsia="Calibri" w:hAnsi="Garamond" w:cs="Times New Roman"/>
        </w:rPr>
        <w:t>honour</w:t>
      </w:r>
      <w:proofErr w:type="spellEnd"/>
      <w:r w:rsidRPr="003037D2">
        <w:rPr>
          <w:rFonts w:ascii="Garamond" w:eastAsia="Calibri" w:hAnsi="Garamond" w:cs="Times New Roman"/>
        </w:rPr>
        <w:t xml:space="preserve"> sing</w:t>
      </w:r>
      <w:r w:rsidR="00470D01">
        <w:rPr>
          <w:rFonts w:ascii="Garamond" w:eastAsia="Calibri" w:hAnsi="Garamond" w:cs="Times New Roman"/>
        </w:rPr>
        <w:t>’</w:t>
      </w:r>
      <w:r w:rsidRPr="003037D2">
        <w:rPr>
          <w:rFonts w:ascii="Garamond" w:eastAsia="Calibri" w:hAnsi="Garamond" w:cs="Times New Roman"/>
        </w:rPr>
        <w:t xml:space="preserve">. The memory of past sins, both personal and those of David, could be a powerful creative prompt. The Book of Psalms is the only book of the Bible in which the speaker addresses themselves directly to God. This problem of how to communicate with God was part of a wider concern regarding the role of the senses in worship and devotion. Returning to Bakhtin’s words on the difference between the time of the epic, and the time of the novel, here is a clear example of how the Psalms can be both a timeless tradition to be followed, and an </w:t>
      </w:r>
      <w:r w:rsidRPr="003037D2">
        <w:rPr>
          <w:rFonts w:ascii="Garamond" w:eastAsia="Calibri" w:hAnsi="Garamond" w:cs="Times New Roman"/>
        </w:rPr>
        <w:lastRenderedPageBreak/>
        <w:t>individuated speech act situated in the present. Bakhtin argued that the dialogue form, beginning with Socrates, marked the ‘birth… of a new artistic-prose model for the novel’.</w:t>
      </w:r>
      <w:r w:rsidRPr="003037D2">
        <w:rPr>
          <w:rFonts w:ascii="Garamond" w:eastAsia="Calibri" w:hAnsi="Garamond" w:cs="Times New Roman"/>
          <w:vertAlign w:val="superscript"/>
        </w:rPr>
        <w:footnoteReference w:id="375"/>
      </w:r>
      <w:r w:rsidRPr="003037D2">
        <w:rPr>
          <w:rFonts w:ascii="Garamond" w:eastAsia="Calibri" w:hAnsi="Garamond" w:cs="Times New Roman"/>
        </w:rPr>
        <w:t xml:space="preserve"> Dialogues must be rooted in the present, and so: </w:t>
      </w:r>
    </w:p>
    <w:p w14:paraId="48059F58" w14:textId="77777777" w:rsidR="00162224" w:rsidRPr="003037D2" w:rsidRDefault="00162224" w:rsidP="00162224">
      <w:pPr>
        <w:ind w:left="737" w:right="737"/>
        <w:rPr>
          <w:rFonts w:ascii="Garamond" w:eastAsia="Calibri" w:hAnsi="Garamond" w:cs="Times New Roman"/>
        </w:rPr>
      </w:pPr>
      <w:r w:rsidRPr="003037D2">
        <w:rPr>
          <w:rFonts w:ascii="Garamond" w:eastAsia="Calibri" w:hAnsi="Garamond" w:cs="Times New Roman"/>
        </w:rPr>
        <w:t xml:space="preserve">time and world lose their </w:t>
      </w:r>
      <w:proofErr w:type="spellStart"/>
      <w:r w:rsidRPr="003037D2">
        <w:rPr>
          <w:rFonts w:ascii="Garamond" w:eastAsia="Calibri" w:hAnsi="Garamond" w:cs="Times New Roman"/>
        </w:rPr>
        <w:t>completedness</w:t>
      </w:r>
      <w:proofErr w:type="spellEnd"/>
      <w:r w:rsidRPr="003037D2">
        <w:rPr>
          <w:rFonts w:ascii="Garamond" w:eastAsia="Calibri" w:hAnsi="Garamond" w:cs="Times New Roman"/>
        </w:rPr>
        <w:t xml:space="preserve">... The temporal model of the world changes radically: it becomes a world in which there is no first word (no ideal word), and the final word has not yet been spoken… time and the world become historical: they unfold… as an uninterrupted movement into a real future…  Every event, every </w:t>
      </w:r>
      <w:proofErr w:type="gramStart"/>
      <w:r w:rsidRPr="003037D2">
        <w:rPr>
          <w:rFonts w:ascii="Garamond" w:eastAsia="Calibri" w:hAnsi="Garamond" w:cs="Times New Roman"/>
        </w:rPr>
        <w:t>phenomena</w:t>
      </w:r>
      <w:proofErr w:type="gramEnd"/>
      <w:r w:rsidRPr="003037D2">
        <w:rPr>
          <w:rFonts w:ascii="Garamond" w:eastAsia="Calibri" w:hAnsi="Garamond" w:cs="Times New Roman"/>
        </w:rPr>
        <w:t xml:space="preserve">… loses its </w:t>
      </w:r>
      <w:proofErr w:type="spellStart"/>
      <w:r w:rsidRPr="003037D2">
        <w:rPr>
          <w:rFonts w:ascii="Garamond" w:eastAsia="Calibri" w:hAnsi="Garamond" w:cs="Times New Roman"/>
        </w:rPr>
        <w:t>completedness</w:t>
      </w:r>
      <w:proofErr w:type="spellEnd"/>
      <w:r w:rsidRPr="003037D2">
        <w:rPr>
          <w:rFonts w:ascii="Garamond" w:eastAsia="Calibri" w:hAnsi="Garamond" w:cs="Times New Roman"/>
        </w:rPr>
        <w:t>, its hopelessly finished quality and its immutability that had been so essential to it in the world of the epic ‘absolute past’, walled off by an unapproachable boundary form the continuing and unfinished present.</w:t>
      </w:r>
      <w:r w:rsidRPr="003037D2">
        <w:rPr>
          <w:rFonts w:ascii="Garamond" w:eastAsia="Calibri" w:hAnsi="Garamond" w:cs="Times New Roman"/>
          <w:vertAlign w:val="superscript"/>
        </w:rPr>
        <w:footnoteReference w:id="376"/>
      </w:r>
    </w:p>
    <w:p w14:paraId="1ABECC5C" w14:textId="77777777" w:rsidR="00162224" w:rsidRPr="003037D2" w:rsidRDefault="00162224" w:rsidP="00162224">
      <w:pPr>
        <w:spacing w:line="360" w:lineRule="auto"/>
        <w:rPr>
          <w:rFonts w:ascii="Garamond" w:eastAsia="Calibri" w:hAnsi="Garamond" w:cs="Times New Roman"/>
        </w:rPr>
      </w:pPr>
    </w:p>
    <w:p w14:paraId="24B2B3A6" w14:textId="77777777" w:rsidR="00162224" w:rsidRPr="003037D2" w:rsidRDefault="00162224" w:rsidP="00162224">
      <w:pPr>
        <w:spacing w:line="360" w:lineRule="auto"/>
        <w:rPr>
          <w:rFonts w:ascii="Garamond" w:eastAsia="Calibri" w:hAnsi="Garamond" w:cs="Times New Roman"/>
        </w:rPr>
      </w:pPr>
    </w:p>
    <w:p w14:paraId="76A2B30E" w14:textId="1800EDEC"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Critics including Simpson and Jonathan Willis have argued that post-Reformation faith was </w:t>
      </w:r>
      <w:proofErr w:type="spellStart"/>
      <w:r w:rsidRPr="003037D2">
        <w:rPr>
          <w:rFonts w:ascii="Garamond" w:eastAsia="Calibri" w:hAnsi="Garamond" w:cs="Times New Roman"/>
        </w:rPr>
        <w:t>characterised</w:t>
      </w:r>
      <w:proofErr w:type="spellEnd"/>
      <w:r w:rsidRPr="003037D2">
        <w:rPr>
          <w:rFonts w:ascii="Garamond" w:eastAsia="Calibri" w:hAnsi="Garamond" w:cs="Times New Roman"/>
        </w:rPr>
        <w:t xml:space="preserve"> by a turn towards </w:t>
      </w:r>
      <w:proofErr w:type="spellStart"/>
      <w:r w:rsidRPr="003037D2">
        <w:rPr>
          <w:rFonts w:ascii="Garamond" w:eastAsia="Calibri" w:hAnsi="Garamond" w:cs="Times New Roman"/>
        </w:rPr>
        <w:t>personalised</w:t>
      </w:r>
      <w:proofErr w:type="spellEnd"/>
      <w:r w:rsidRPr="003037D2">
        <w:rPr>
          <w:rFonts w:ascii="Garamond" w:eastAsia="Calibri" w:hAnsi="Garamond" w:cs="Times New Roman"/>
        </w:rPr>
        <w:t>, direct communication with God. The turn away from complex ecclesiastical hierarchies is seen to have encouraged a more individuated, self-directed relationship with the deity and morality. Simpson argues that Christian individuality rose ‘dramatically in profile precisely because self-consciousness is enlarged as it confronts a single and menacing source of absolute power’.</w:t>
      </w:r>
      <w:r w:rsidRPr="003037D2">
        <w:rPr>
          <w:rFonts w:ascii="Garamond" w:eastAsia="Calibri" w:hAnsi="Garamond" w:cs="Times New Roman"/>
          <w:vertAlign w:val="superscript"/>
        </w:rPr>
        <w:footnoteReference w:id="377"/>
      </w:r>
      <w:r w:rsidRPr="003037D2">
        <w:rPr>
          <w:rFonts w:ascii="Garamond" w:eastAsia="Calibri" w:hAnsi="Garamond" w:cs="Times New Roman"/>
        </w:rPr>
        <w:t xml:space="preserve"> However, this came with its own attendant anxieties. Eloquence could be suspect in a religious context for early modern readers; the controversial Protestant theologian Thomas Cartwright argued that ‘the </w:t>
      </w:r>
      <w:proofErr w:type="spellStart"/>
      <w:r w:rsidRPr="003037D2">
        <w:rPr>
          <w:rFonts w:ascii="Garamond" w:eastAsia="Calibri" w:hAnsi="Garamond" w:cs="Times New Roman"/>
        </w:rPr>
        <w:t>stutting</w:t>
      </w:r>
      <w:proofErr w:type="spellEnd"/>
      <w:r w:rsidRPr="003037D2">
        <w:rPr>
          <w:rFonts w:ascii="Garamond" w:eastAsia="Calibri" w:hAnsi="Garamond" w:cs="Times New Roman"/>
        </w:rPr>
        <w:t xml:space="preserve"> tongue of the lisping babe </w:t>
      </w:r>
      <w:proofErr w:type="spellStart"/>
      <w:r w:rsidRPr="003037D2">
        <w:rPr>
          <w:rFonts w:ascii="Garamond" w:eastAsia="Calibri" w:hAnsi="Garamond" w:cs="Times New Roman"/>
        </w:rPr>
        <w:t>deserveth</w:t>
      </w:r>
      <w:proofErr w:type="spellEnd"/>
      <w:r w:rsidRPr="003037D2">
        <w:rPr>
          <w:rFonts w:ascii="Garamond" w:eastAsia="Calibri" w:hAnsi="Garamond" w:cs="Times New Roman"/>
        </w:rPr>
        <w:t xml:space="preserve"> more </w:t>
      </w:r>
      <w:proofErr w:type="spellStart"/>
      <w:r w:rsidRPr="003037D2">
        <w:rPr>
          <w:rFonts w:ascii="Garamond" w:eastAsia="Calibri" w:hAnsi="Garamond" w:cs="Times New Roman"/>
        </w:rPr>
        <w:t>favour</w:t>
      </w:r>
      <w:proofErr w:type="spellEnd"/>
      <w:r w:rsidRPr="003037D2">
        <w:rPr>
          <w:rFonts w:ascii="Garamond" w:eastAsia="Calibri" w:hAnsi="Garamond" w:cs="Times New Roman"/>
        </w:rPr>
        <w:t xml:space="preserve"> then the gracious speech of the eloquent man’.</w:t>
      </w:r>
      <w:r w:rsidRPr="003037D2">
        <w:rPr>
          <w:rFonts w:ascii="Garamond" w:eastAsia="Calibri" w:hAnsi="Garamond" w:cs="Times New Roman"/>
          <w:vertAlign w:val="superscript"/>
        </w:rPr>
        <w:footnoteReference w:id="378"/>
      </w:r>
      <w:r w:rsidRPr="003037D2">
        <w:rPr>
          <w:rFonts w:ascii="Garamond" w:eastAsia="Calibri" w:hAnsi="Garamond" w:cs="Times New Roman"/>
        </w:rPr>
        <w:t xml:space="preserve"> Worries about overusing eloquent language were particularly pertinent for a female poet, as speech was so often associated with lewdness in women. Paul’s directive in the first letter to the Corinthians, ‘Let your women </w:t>
      </w:r>
      <w:proofErr w:type="spellStart"/>
      <w:r w:rsidRPr="003037D2">
        <w:rPr>
          <w:rFonts w:ascii="Garamond" w:eastAsia="Calibri" w:hAnsi="Garamond" w:cs="Times New Roman"/>
        </w:rPr>
        <w:t>kepe</w:t>
      </w:r>
      <w:proofErr w:type="spellEnd"/>
      <w:r w:rsidRPr="003037D2">
        <w:rPr>
          <w:rFonts w:ascii="Garamond" w:eastAsia="Calibri" w:hAnsi="Garamond" w:cs="Times New Roman"/>
        </w:rPr>
        <w:t xml:space="preserve"> silence in the Churches: for it is not permitted unto them to </w:t>
      </w:r>
      <w:proofErr w:type="spellStart"/>
      <w:r w:rsidRPr="003037D2">
        <w:rPr>
          <w:rFonts w:ascii="Garamond" w:eastAsia="Calibri" w:hAnsi="Garamond" w:cs="Times New Roman"/>
        </w:rPr>
        <w:t>speake</w:t>
      </w:r>
      <w:proofErr w:type="spellEnd"/>
      <w:r w:rsidRPr="003037D2">
        <w:rPr>
          <w:rFonts w:ascii="Garamond" w:eastAsia="Calibri" w:hAnsi="Garamond" w:cs="Times New Roman"/>
        </w:rPr>
        <w:t>’ (1 Corinthians 14:34) reverberated in ongoing debates regarding the right of women to speak on religious matters. Iona Hine has demonstrated that early modern biblical exegesis often praised silence in women even when it was utterly unjustified by the biblical text.</w:t>
      </w:r>
      <w:r w:rsidRPr="003037D2">
        <w:rPr>
          <w:rFonts w:ascii="Garamond" w:eastAsia="Calibri" w:hAnsi="Garamond" w:cs="Times New Roman"/>
          <w:vertAlign w:val="superscript"/>
        </w:rPr>
        <w:footnoteReference w:id="379"/>
      </w:r>
      <w:r w:rsidRPr="003037D2">
        <w:rPr>
          <w:rFonts w:ascii="Garamond" w:eastAsia="Calibri" w:hAnsi="Garamond" w:cs="Times New Roman"/>
        </w:rPr>
        <w:t xml:space="preserve"> Indeed, there are examples in the </w:t>
      </w:r>
      <w:r w:rsidRPr="003037D2">
        <w:rPr>
          <w:rFonts w:ascii="Garamond" w:eastAsia="Calibri" w:hAnsi="Garamond" w:cs="Times New Roman"/>
        </w:rPr>
        <w:lastRenderedPageBreak/>
        <w:t xml:space="preserve">Sidney </w:t>
      </w:r>
      <w:r w:rsidR="002F1250">
        <w:rPr>
          <w:rFonts w:ascii="Garamond" w:eastAsia="Calibri" w:hAnsi="Garamond" w:cs="Times New Roman"/>
        </w:rPr>
        <w:t xml:space="preserve">Herbert </w:t>
      </w:r>
      <w:r w:rsidRPr="003037D2">
        <w:rPr>
          <w:rFonts w:ascii="Garamond" w:eastAsia="Calibri" w:hAnsi="Garamond" w:cs="Times New Roman"/>
        </w:rPr>
        <w:t xml:space="preserve">psalter itself where eloquence is treated with suspicion. In Psalm 120, </w:t>
      </w:r>
      <w:r w:rsidRPr="003037D2">
        <w:rPr>
          <w:rFonts w:ascii="Garamond" w:eastAsia="Calibri" w:hAnsi="Garamond" w:cs="Times New Roman"/>
          <w:i/>
          <w:iCs/>
        </w:rPr>
        <w:t xml:space="preserve">Ad </w:t>
      </w:r>
      <w:proofErr w:type="spellStart"/>
      <w:r w:rsidRPr="003037D2">
        <w:rPr>
          <w:rFonts w:ascii="Garamond" w:eastAsia="Calibri" w:hAnsi="Garamond" w:cs="Times New Roman"/>
          <w:i/>
          <w:iCs/>
        </w:rPr>
        <w:t>Domine</w:t>
      </w:r>
      <w:proofErr w:type="spellEnd"/>
      <w:r w:rsidRPr="003037D2">
        <w:rPr>
          <w:rFonts w:ascii="Garamond" w:eastAsia="Calibri" w:hAnsi="Garamond" w:cs="Times New Roman"/>
          <w:i/>
          <w:iCs/>
        </w:rPr>
        <w:t xml:space="preserve">, </w:t>
      </w:r>
      <w:r w:rsidRPr="003037D2">
        <w:rPr>
          <w:rFonts w:ascii="Garamond" w:eastAsia="Calibri" w:hAnsi="Garamond" w:cs="Times New Roman"/>
        </w:rPr>
        <w:t>Sidney</w:t>
      </w:r>
      <w:r w:rsidR="002F1250">
        <w:rPr>
          <w:rFonts w:ascii="Garamond" w:eastAsia="Calibri" w:hAnsi="Garamond" w:cs="Times New Roman"/>
        </w:rPr>
        <w:t xml:space="preserve"> Herbert</w:t>
      </w:r>
      <w:r w:rsidRPr="003037D2">
        <w:rPr>
          <w:rFonts w:ascii="Garamond" w:eastAsia="Calibri" w:hAnsi="Garamond" w:cs="Times New Roman"/>
        </w:rPr>
        <w:t xml:space="preserve"> begs: </w:t>
      </w:r>
    </w:p>
    <w:p w14:paraId="5ABC126D" w14:textId="77777777" w:rsidR="00162224" w:rsidRPr="003037D2" w:rsidRDefault="00162224" w:rsidP="00162224">
      <w:pPr>
        <w:ind w:left="1440" w:firstLine="720"/>
        <w:rPr>
          <w:rFonts w:ascii="Garamond" w:eastAsia="Calibri" w:hAnsi="Garamond" w:cs="Times New Roman"/>
        </w:rPr>
      </w:pPr>
      <w:r w:rsidRPr="003037D2">
        <w:rPr>
          <w:rFonts w:ascii="Garamond" w:eastAsia="Calibri" w:hAnsi="Garamond" w:cs="Times New Roman"/>
        </w:rPr>
        <w:t xml:space="preserve">Lord </w:t>
      </w:r>
      <w:proofErr w:type="spellStart"/>
      <w:r w:rsidRPr="003037D2">
        <w:rPr>
          <w:rFonts w:ascii="Garamond" w:eastAsia="Calibri" w:hAnsi="Garamond" w:cs="Times New Roman"/>
        </w:rPr>
        <w:t>ridd</w:t>
      </w:r>
      <w:proofErr w:type="spellEnd"/>
      <w:r w:rsidRPr="003037D2">
        <w:rPr>
          <w:rFonts w:ascii="Garamond" w:eastAsia="Calibri" w:hAnsi="Garamond" w:cs="Times New Roman"/>
        </w:rPr>
        <w:t xml:space="preserve"> my </w:t>
      </w:r>
      <w:proofErr w:type="spellStart"/>
      <w:r w:rsidRPr="003037D2">
        <w:rPr>
          <w:rFonts w:ascii="Garamond" w:eastAsia="Calibri" w:hAnsi="Garamond" w:cs="Times New Roman"/>
        </w:rPr>
        <w:t>soule</w:t>
      </w:r>
      <w:proofErr w:type="spellEnd"/>
      <w:r w:rsidRPr="003037D2">
        <w:rPr>
          <w:rFonts w:ascii="Garamond" w:eastAsia="Calibri" w:hAnsi="Garamond" w:cs="Times New Roman"/>
        </w:rPr>
        <w:t xml:space="preserve"> from treasonous eloquence: </w:t>
      </w:r>
    </w:p>
    <w:p w14:paraId="7C1BC0A0" w14:textId="77777777" w:rsidR="00162224" w:rsidRPr="003037D2" w:rsidRDefault="00162224" w:rsidP="00162224">
      <w:pPr>
        <w:ind w:left="1440" w:firstLine="720"/>
        <w:rPr>
          <w:rFonts w:ascii="Garamond" w:eastAsia="Calibri" w:hAnsi="Garamond" w:cs="Times New Roman"/>
        </w:rPr>
      </w:pPr>
      <w:r w:rsidRPr="003037D2">
        <w:rPr>
          <w:rFonts w:ascii="Garamond" w:eastAsia="Calibri" w:hAnsi="Garamond" w:cs="Times New Roman"/>
        </w:rPr>
        <w:t xml:space="preserve">Of filthy forgers craftily fraudulent: </w:t>
      </w:r>
    </w:p>
    <w:p w14:paraId="4FB9C2F2" w14:textId="77777777" w:rsidR="00162224" w:rsidRPr="003037D2" w:rsidRDefault="00162224" w:rsidP="00162224">
      <w:pPr>
        <w:ind w:left="1440" w:firstLine="720"/>
        <w:rPr>
          <w:rFonts w:ascii="Garamond" w:eastAsia="Calibri" w:hAnsi="Garamond" w:cs="Times New Roman"/>
        </w:rPr>
      </w:pPr>
      <w:r w:rsidRPr="003037D2">
        <w:rPr>
          <w:rFonts w:ascii="Garamond" w:eastAsia="Calibri" w:hAnsi="Garamond" w:cs="Times New Roman"/>
        </w:rPr>
        <w:t xml:space="preserve">And from the tongue where </w:t>
      </w:r>
      <w:proofErr w:type="spellStart"/>
      <w:r w:rsidRPr="003037D2">
        <w:rPr>
          <w:rFonts w:ascii="Garamond" w:eastAsia="Calibri" w:hAnsi="Garamond" w:cs="Times New Roman"/>
        </w:rPr>
        <w:t>log’d</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residth</w:t>
      </w:r>
      <w:proofErr w:type="spellEnd"/>
      <w:r w:rsidRPr="003037D2">
        <w:rPr>
          <w:rFonts w:ascii="Garamond" w:eastAsia="Calibri" w:hAnsi="Garamond" w:cs="Times New Roman"/>
        </w:rPr>
        <w:t xml:space="preserve"> </w:t>
      </w:r>
    </w:p>
    <w:p w14:paraId="24788B78" w14:textId="77777777" w:rsidR="00162224" w:rsidRPr="003037D2" w:rsidRDefault="00162224" w:rsidP="00162224">
      <w:pPr>
        <w:ind w:left="1440" w:firstLine="720"/>
        <w:rPr>
          <w:rFonts w:ascii="Garamond" w:eastAsia="Calibri" w:hAnsi="Garamond" w:cs="Times New Roman"/>
        </w:rPr>
      </w:pPr>
      <w:proofErr w:type="spellStart"/>
      <w:r w:rsidRPr="003037D2">
        <w:rPr>
          <w:rFonts w:ascii="Garamond" w:eastAsia="Calibri" w:hAnsi="Garamond" w:cs="Times New Roman"/>
        </w:rPr>
        <w:t>Poison’d</w:t>
      </w:r>
      <w:proofErr w:type="spellEnd"/>
      <w:r w:rsidRPr="003037D2">
        <w:rPr>
          <w:rFonts w:ascii="Garamond" w:eastAsia="Calibri" w:hAnsi="Garamond" w:cs="Times New Roman"/>
        </w:rPr>
        <w:t xml:space="preserve"> abuse, </w:t>
      </w:r>
      <w:proofErr w:type="spellStart"/>
      <w:r w:rsidRPr="003037D2">
        <w:rPr>
          <w:rFonts w:ascii="Garamond" w:eastAsia="Calibri" w:hAnsi="Garamond" w:cs="Times New Roman"/>
        </w:rPr>
        <w:t>ruine</w:t>
      </w:r>
      <w:proofErr w:type="spellEnd"/>
      <w:r w:rsidRPr="003037D2">
        <w:rPr>
          <w:rFonts w:ascii="Garamond" w:eastAsia="Calibri" w:hAnsi="Garamond" w:cs="Times New Roman"/>
        </w:rPr>
        <w:t xml:space="preserve"> of </w:t>
      </w:r>
      <w:proofErr w:type="spellStart"/>
      <w:r w:rsidRPr="003037D2">
        <w:rPr>
          <w:rFonts w:ascii="Garamond" w:eastAsia="Calibri" w:hAnsi="Garamond" w:cs="Times New Roman"/>
        </w:rPr>
        <w:t>beleevers</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380"/>
      </w:r>
      <w:r w:rsidRPr="003037D2">
        <w:rPr>
          <w:rFonts w:ascii="Garamond" w:eastAsia="Calibri" w:hAnsi="Garamond" w:cs="Times New Roman"/>
        </w:rPr>
        <w:t xml:space="preserve"> </w:t>
      </w:r>
    </w:p>
    <w:p w14:paraId="3F8B2DFF" w14:textId="77777777" w:rsidR="00162224" w:rsidRPr="003037D2" w:rsidRDefault="00162224" w:rsidP="00162224">
      <w:pPr>
        <w:ind w:left="1440" w:firstLine="720"/>
        <w:rPr>
          <w:rFonts w:ascii="Garamond" w:eastAsia="Calibri" w:hAnsi="Garamond" w:cs="Times New Roman"/>
        </w:rPr>
      </w:pPr>
    </w:p>
    <w:p w14:paraId="59705A57" w14:textId="14C873FA"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Eloquence is lik</w:t>
      </w:r>
      <w:r w:rsidR="00F27EB0" w:rsidRPr="003037D2">
        <w:rPr>
          <w:rFonts w:ascii="Garamond" w:eastAsia="Calibri" w:hAnsi="Garamond" w:cs="Times New Roman"/>
        </w:rPr>
        <w:t>en</w:t>
      </w:r>
      <w:r w:rsidRPr="003037D2">
        <w:rPr>
          <w:rFonts w:ascii="Garamond" w:eastAsia="Calibri" w:hAnsi="Garamond" w:cs="Times New Roman"/>
        </w:rPr>
        <w:t xml:space="preserve">ed to an untrustworthy artificer with the potential to disrupt society generally, linking back to the persuasive serpent who tempted Eve in to original sin.  In the Renaissance period, rhetoric was marked by a concern for timeliness: the right speech could only come at the right time. Isocrates’ dictum in </w:t>
      </w:r>
      <w:r w:rsidRPr="003037D2">
        <w:rPr>
          <w:rFonts w:ascii="Garamond" w:eastAsia="Calibri" w:hAnsi="Garamond" w:cs="Times New Roman"/>
          <w:i/>
        </w:rPr>
        <w:t xml:space="preserve">Ad </w:t>
      </w:r>
      <w:proofErr w:type="spellStart"/>
      <w:r w:rsidRPr="003037D2">
        <w:rPr>
          <w:rFonts w:ascii="Garamond" w:eastAsia="Calibri" w:hAnsi="Garamond" w:cs="Times New Roman"/>
          <w:i/>
        </w:rPr>
        <w:t>Demonicum</w:t>
      </w:r>
      <w:proofErr w:type="spellEnd"/>
      <w:r w:rsidRPr="003037D2">
        <w:rPr>
          <w:rFonts w:ascii="Garamond" w:eastAsia="Calibri" w:hAnsi="Garamond" w:cs="Times New Roman"/>
          <w:i/>
        </w:rPr>
        <w:t xml:space="preserve"> </w:t>
      </w:r>
      <w:r w:rsidRPr="003037D2">
        <w:rPr>
          <w:rFonts w:ascii="Garamond" w:eastAsia="Calibri" w:hAnsi="Garamond" w:cs="Times New Roman"/>
          <w:iCs/>
        </w:rPr>
        <w:t>was highly influential, arguing</w:t>
      </w:r>
      <w:r w:rsidRPr="003037D2">
        <w:rPr>
          <w:rFonts w:ascii="Garamond" w:eastAsia="Calibri" w:hAnsi="Garamond" w:cs="Times New Roman"/>
        </w:rPr>
        <w:t xml:space="preserve"> that there are only ‘two occasions for speech – when the subject is one which you thoroughly know and when it is one on which you are compelled to speak’.</w:t>
      </w:r>
      <w:r w:rsidRPr="003037D2">
        <w:rPr>
          <w:rFonts w:ascii="Garamond" w:eastAsia="Calibri" w:hAnsi="Garamond" w:cs="Times New Roman"/>
          <w:vertAlign w:val="superscript"/>
        </w:rPr>
        <w:footnoteReference w:id="381"/>
      </w:r>
      <w:r w:rsidRPr="003037D2">
        <w:rPr>
          <w:rFonts w:ascii="Garamond" w:eastAsia="Calibri" w:hAnsi="Garamond" w:cs="Times New Roman"/>
        </w:rPr>
        <w:t xml:space="preserve"> Renaissance theorists including Machiavelli and Thomas Elyot engaged with the question of when to speak, both in terms of decorum and </w:t>
      </w:r>
      <w:r w:rsidRPr="003037D2">
        <w:rPr>
          <w:rFonts w:ascii="Garamond" w:eastAsia="Calibri" w:hAnsi="Garamond" w:cs="Times New Roman"/>
          <w:i/>
          <w:iCs/>
        </w:rPr>
        <w:t>Kairos.</w:t>
      </w:r>
      <w:r w:rsidRPr="003037D2">
        <w:rPr>
          <w:rFonts w:ascii="Garamond" w:eastAsia="Calibri" w:hAnsi="Garamond" w:cs="Times New Roman"/>
          <w:i/>
          <w:iCs/>
          <w:vertAlign w:val="superscript"/>
        </w:rPr>
        <w:footnoteReference w:id="382"/>
      </w:r>
    </w:p>
    <w:p w14:paraId="4646991E" w14:textId="77777777" w:rsidR="00162224" w:rsidRPr="003037D2" w:rsidRDefault="00162224" w:rsidP="00162224">
      <w:pPr>
        <w:spacing w:line="360" w:lineRule="auto"/>
        <w:ind w:firstLine="720"/>
        <w:rPr>
          <w:rFonts w:ascii="Garamond" w:eastAsia="Calibri" w:hAnsi="Garamond" w:cs="Times New Roman"/>
        </w:rPr>
      </w:pPr>
    </w:p>
    <w:p w14:paraId="1D6CE1C0" w14:textId="6B2447F2"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Returning to Sidney </w:t>
      </w:r>
      <w:r w:rsidR="002F1250">
        <w:rPr>
          <w:rFonts w:ascii="Garamond" w:eastAsia="Calibri" w:hAnsi="Garamond" w:cs="Times New Roman"/>
        </w:rPr>
        <w:t xml:space="preserve">Herbert </w:t>
      </w:r>
      <w:r w:rsidRPr="003037D2">
        <w:rPr>
          <w:rFonts w:ascii="Garamond" w:eastAsia="Calibri" w:hAnsi="Garamond" w:cs="Times New Roman"/>
        </w:rPr>
        <w:t xml:space="preserve">and Lock’s translations of Psalm 51, in this context, this text seems a bold choice for two female poets. The psalmist not only demands salvation and forgiveness, but promises that in return, they can offer their voice as a guide to other sinners, stating ‘Then shall I teach thy ways unto the wicked, and sinners shall be converted unto thee. Deliver me from blood, O God… </w:t>
      </w:r>
      <w:r w:rsidRPr="003037D2">
        <w:rPr>
          <w:rFonts w:ascii="Garamond" w:eastAsia="Calibri" w:hAnsi="Garamond" w:cs="Times New Roman"/>
          <w:i/>
          <w:iCs/>
        </w:rPr>
        <w:t xml:space="preserve">and </w:t>
      </w:r>
      <w:r w:rsidRPr="003037D2">
        <w:rPr>
          <w:rFonts w:ascii="Garamond" w:eastAsia="Calibri" w:hAnsi="Garamond" w:cs="Times New Roman"/>
        </w:rPr>
        <w:t xml:space="preserve">my tongue shall sing joyfully of thy righteousness’ (Psalms 51:14-15). The psalmist not only accesses a predetermined pattern of repentance, but then themselves becomes a pattern for others to follow. This proposes a bargain with God, as reflected in the legal implications of the psalm as ‘protestation’ noted in </w:t>
      </w:r>
      <w:r w:rsidR="002F1250">
        <w:rPr>
          <w:rFonts w:ascii="Garamond" w:eastAsia="Calibri" w:hAnsi="Garamond" w:cs="Times New Roman"/>
          <w:i/>
        </w:rPr>
        <w:t>T</w:t>
      </w:r>
      <w:r w:rsidRPr="003037D2">
        <w:rPr>
          <w:rFonts w:ascii="Garamond" w:eastAsia="Calibri" w:hAnsi="Garamond" w:cs="Times New Roman"/>
          <w:i/>
        </w:rPr>
        <w:t>he Geneva Bible</w:t>
      </w:r>
      <w:r w:rsidRPr="003037D2">
        <w:rPr>
          <w:rFonts w:ascii="Garamond" w:eastAsia="Calibri" w:hAnsi="Garamond" w:cs="Times New Roman"/>
        </w:rPr>
        <w:t xml:space="preserve"> headnotes. A legal contract would demand reciprocity: the speaker is proposing that they are contracted to provide a response to God, a joyful song, in return for ‘deliverance’. Sidney</w:t>
      </w:r>
      <w:r w:rsidR="002F1250">
        <w:rPr>
          <w:rFonts w:ascii="Garamond" w:eastAsia="Calibri" w:hAnsi="Garamond" w:cs="Times New Roman"/>
        </w:rPr>
        <w:t xml:space="preserve"> Herbert</w:t>
      </w:r>
      <w:r w:rsidRPr="003037D2">
        <w:rPr>
          <w:rFonts w:ascii="Garamond" w:eastAsia="Calibri" w:hAnsi="Garamond" w:cs="Times New Roman"/>
        </w:rPr>
        <w:t xml:space="preserve"> draws on this legal language, referring to ‘my bloody crime’ and declaring: </w:t>
      </w:r>
    </w:p>
    <w:p w14:paraId="751D5205" w14:textId="77777777" w:rsidR="00162224" w:rsidRPr="003037D2" w:rsidRDefault="00162224" w:rsidP="00162224">
      <w:pPr>
        <w:ind w:left="2160" w:firstLine="720"/>
        <w:rPr>
          <w:rFonts w:ascii="Garamond" w:eastAsia="Calibri" w:hAnsi="Garamond" w:cs="Times New Roman"/>
        </w:rPr>
      </w:pPr>
      <w:r w:rsidRPr="003037D2">
        <w:rPr>
          <w:rFonts w:ascii="Garamond" w:eastAsia="Calibri" w:hAnsi="Garamond" w:cs="Times New Roman"/>
        </w:rPr>
        <w:t xml:space="preserve">… to thee I do confess, </w:t>
      </w:r>
    </w:p>
    <w:p w14:paraId="00E090C4" w14:textId="77777777" w:rsidR="00162224" w:rsidRPr="003037D2" w:rsidRDefault="00162224" w:rsidP="00162224">
      <w:pPr>
        <w:ind w:left="2160" w:firstLine="720"/>
        <w:rPr>
          <w:rFonts w:ascii="Garamond" w:eastAsia="Calibri" w:hAnsi="Garamond" w:cs="Times New Roman"/>
        </w:rPr>
      </w:pPr>
      <w:r w:rsidRPr="003037D2">
        <w:rPr>
          <w:rFonts w:ascii="Garamond" w:eastAsia="Calibri" w:hAnsi="Garamond" w:cs="Times New Roman"/>
        </w:rPr>
        <w:t xml:space="preserve">Just judge, true witness, that for righteousness </w:t>
      </w:r>
    </w:p>
    <w:p w14:paraId="421E67ED" w14:textId="77777777" w:rsidR="00162224" w:rsidRPr="003037D2" w:rsidRDefault="00162224" w:rsidP="00162224">
      <w:pPr>
        <w:ind w:left="2160" w:firstLine="720"/>
        <w:rPr>
          <w:rFonts w:ascii="Garamond" w:eastAsia="Calibri" w:hAnsi="Garamond" w:cs="Times New Roman"/>
        </w:rPr>
      </w:pPr>
      <w:r w:rsidRPr="003037D2">
        <w:rPr>
          <w:rFonts w:ascii="Garamond" w:eastAsia="Calibri" w:hAnsi="Garamond" w:cs="Times New Roman"/>
        </w:rPr>
        <w:t xml:space="preserve">Thy doom may pass against my guilt awarded, </w:t>
      </w:r>
      <w:r w:rsidRPr="003037D2">
        <w:rPr>
          <w:rFonts w:ascii="Garamond" w:eastAsia="Calibri" w:hAnsi="Garamond" w:cs="Times New Roman"/>
        </w:rPr>
        <w:br/>
      </w:r>
      <w:r w:rsidRPr="003037D2">
        <w:rPr>
          <w:rFonts w:ascii="Garamond" w:eastAsia="Calibri" w:hAnsi="Garamond" w:cs="Times New Roman"/>
        </w:rPr>
        <w:tab/>
        <w:t xml:space="preserve">Thy evidence for truth may be regarded. </w:t>
      </w:r>
    </w:p>
    <w:p w14:paraId="2385B5D5" w14:textId="77777777" w:rsidR="00162224" w:rsidRPr="003037D2" w:rsidRDefault="00162224" w:rsidP="00162224">
      <w:pPr>
        <w:ind w:left="2160" w:firstLine="720"/>
        <w:rPr>
          <w:rFonts w:ascii="Garamond" w:eastAsia="Calibri" w:hAnsi="Garamond" w:cs="Times New Roman"/>
        </w:rPr>
      </w:pPr>
    </w:p>
    <w:p w14:paraId="5B9D7D4D" w14:textId="77777777"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The legal context is expanded to a specifically mercantile one, as the psalmist requests, ‘Cancel the registers my sins contain’. Similarly, Lock argues ‘Lord, of thy mercy if thou </w:t>
      </w:r>
      <w:r w:rsidRPr="003037D2">
        <w:rPr>
          <w:rFonts w:ascii="Garamond" w:eastAsia="Calibri" w:hAnsi="Garamond" w:cs="Times New Roman"/>
        </w:rPr>
        <w:lastRenderedPageBreak/>
        <w:t xml:space="preserve">me withdraw/ From gaping </w:t>
      </w:r>
      <w:proofErr w:type="spellStart"/>
      <w:r w:rsidRPr="003037D2">
        <w:rPr>
          <w:rFonts w:ascii="Garamond" w:eastAsia="Calibri" w:hAnsi="Garamond" w:cs="Times New Roman"/>
        </w:rPr>
        <w:t>throte</w:t>
      </w:r>
      <w:proofErr w:type="spellEnd"/>
      <w:r w:rsidRPr="003037D2">
        <w:rPr>
          <w:rFonts w:ascii="Garamond" w:eastAsia="Calibri" w:hAnsi="Garamond" w:cs="Times New Roman"/>
        </w:rPr>
        <w:t xml:space="preserve"> of </w:t>
      </w:r>
      <w:proofErr w:type="spellStart"/>
      <w:r w:rsidRPr="003037D2">
        <w:rPr>
          <w:rFonts w:ascii="Garamond" w:eastAsia="Calibri" w:hAnsi="Garamond" w:cs="Times New Roman"/>
        </w:rPr>
        <w:t>depe</w:t>
      </w:r>
      <w:proofErr w:type="spellEnd"/>
      <w:r w:rsidRPr="003037D2">
        <w:rPr>
          <w:rFonts w:ascii="Garamond" w:eastAsia="Calibri" w:hAnsi="Garamond" w:cs="Times New Roman"/>
        </w:rPr>
        <w:t xml:space="preserve"> devouring </w:t>
      </w:r>
      <w:proofErr w:type="gramStart"/>
      <w:r w:rsidRPr="003037D2">
        <w:rPr>
          <w:rFonts w:ascii="Garamond" w:eastAsia="Calibri" w:hAnsi="Garamond" w:cs="Times New Roman"/>
        </w:rPr>
        <w:t>hell,/</w:t>
      </w:r>
      <w:proofErr w:type="gramEnd"/>
      <w:r w:rsidRPr="003037D2">
        <w:rPr>
          <w:rFonts w:ascii="Garamond" w:eastAsia="Calibri" w:hAnsi="Garamond" w:cs="Times New Roman"/>
        </w:rPr>
        <w:t xml:space="preserve"> </w:t>
      </w:r>
      <w:proofErr w:type="spellStart"/>
      <w:r w:rsidRPr="003037D2">
        <w:rPr>
          <w:rFonts w:ascii="Garamond" w:eastAsia="Calibri" w:hAnsi="Garamond" w:cs="Times New Roman"/>
        </w:rPr>
        <w:t>Loe</w:t>
      </w:r>
      <w:proofErr w:type="spellEnd"/>
      <w:r w:rsidRPr="003037D2">
        <w:rPr>
          <w:rFonts w:ascii="Garamond" w:eastAsia="Calibri" w:hAnsi="Garamond" w:cs="Times New Roman"/>
        </w:rPr>
        <w:t>, I shall preach the justice of thy law’.</w:t>
      </w:r>
      <w:r w:rsidRPr="003037D2">
        <w:rPr>
          <w:rFonts w:ascii="Garamond" w:eastAsia="Calibri" w:hAnsi="Garamond" w:cs="Times New Roman"/>
          <w:vertAlign w:val="superscript"/>
        </w:rPr>
        <w:footnoteReference w:id="383"/>
      </w:r>
      <w:r w:rsidRPr="003037D2">
        <w:rPr>
          <w:rFonts w:ascii="Garamond" w:eastAsia="Calibri" w:hAnsi="Garamond" w:cs="Times New Roman"/>
        </w:rPr>
        <w:t xml:space="preserve"> In this construction, the pact with God makes the psalmist’s praise contingent on their own salvation. As we are already hearing this praise, it logically follows that the psalmist has upheld their end of the bargain, and presumably God should now offer salvation. </w:t>
      </w:r>
    </w:p>
    <w:p w14:paraId="43DCD368" w14:textId="77777777" w:rsidR="00162224" w:rsidRPr="003037D2" w:rsidRDefault="00162224" w:rsidP="00162224">
      <w:pPr>
        <w:tabs>
          <w:tab w:val="left" w:pos="720"/>
          <w:tab w:val="left" w:pos="8200"/>
        </w:tabs>
        <w:spacing w:line="360" w:lineRule="auto"/>
        <w:rPr>
          <w:rFonts w:ascii="Garamond" w:eastAsia="Calibri" w:hAnsi="Garamond" w:cs="Times New Roman"/>
        </w:rPr>
      </w:pPr>
    </w:p>
    <w:p w14:paraId="09A70DDB" w14:textId="77777777" w:rsidR="00162224" w:rsidRPr="003037D2" w:rsidRDefault="00162224" w:rsidP="00162224">
      <w:pPr>
        <w:tabs>
          <w:tab w:val="left" w:pos="720"/>
          <w:tab w:val="left" w:pos="8200"/>
        </w:tabs>
        <w:spacing w:line="360" w:lineRule="auto"/>
        <w:rPr>
          <w:rFonts w:ascii="Garamond" w:eastAsia="Calibri" w:hAnsi="Garamond" w:cs="Times New Roman"/>
        </w:rPr>
      </w:pPr>
      <w:r w:rsidRPr="003037D2">
        <w:rPr>
          <w:rFonts w:ascii="Garamond" w:eastAsia="Calibri" w:hAnsi="Garamond" w:cs="Times New Roman"/>
        </w:rPr>
        <w:tab/>
        <w:t xml:space="preserve">Lock’s sonnet sequence was the first to be published in English, an achievement that has often been overlooked or diminished. In </w:t>
      </w:r>
      <w:r w:rsidRPr="003037D2">
        <w:rPr>
          <w:rFonts w:ascii="Garamond" w:eastAsia="Calibri" w:hAnsi="Garamond" w:cs="Times New Roman"/>
          <w:i/>
          <w:iCs/>
        </w:rPr>
        <w:t xml:space="preserve">The Development of the Sonnet, </w:t>
      </w:r>
      <w:r w:rsidRPr="003037D2">
        <w:rPr>
          <w:rFonts w:ascii="Garamond" w:eastAsia="Calibri" w:hAnsi="Garamond" w:cs="Times New Roman"/>
        </w:rPr>
        <w:t>Michael Spiller dismisses it as ‘probably without influence on contemporary poets’, despite the fact that Lock’s own son went on to write sacred sonnets.</w:t>
      </w:r>
      <w:r w:rsidRPr="003037D2">
        <w:rPr>
          <w:rFonts w:ascii="Garamond" w:eastAsia="Calibri" w:hAnsi="Garamond" w:cs="Times New Roman"/>
          <w:vertAlign w:val="superscript"/>
        </w:rPr>
        <w:footnoteReference w:id="384"/>
      </w:r>
      <w:r w:rsidRPr="003037D2">
        <w:rPr>
          <w:rFonts w:ascii="Garamond" w:eastAsia="Calibri" w:hAnsi="Garamond" w:cs="Times New Roman"/>
        </w:rPr>
        <w:t xml:space="preserve"> Indeed, it has been suggested that Lock’s use of the sonnet sequence was perhaps a creative error and that the form is incompatible with the ‘plainness’ that Protestant reformers so often praised in Bible translation.</w:t>
      </w:r>
      <w:r w:rsidRPr="003037D2">
        <w:rPr>
          <w:rFonts w:ascii="Garamond" w:eastAsia="Calibri" w:hAnsi="Garamond" w:cs="Times New Roman"/>
          <w:vertAlign w:val="superscript"/>
        </w:rPr>
        <w:footnoteReference w:id="385"/>
      </w:r>
      <w:r w:rsidRPr="003037D2">
        <w:rPr>
          <w:rFonts w:ascii="Garamond" w:eastAsia="Calibri" w:hAnsi="Garamond" w:cs="Times New Roman"/>
        </w:rPr>
        <w:t xml:space="preserve"> However, this overlooks the actual status of the psalms which were often </w:t>
      </w:r>
      <w:proofErr w:type="spellStart"/>
      <w:r w:rsidRPr="003037D2">
        <w:rPr>
          <w:rFonts w:ascii="Garamond" w:eastAsia="Calibri" w:hAnsi="Garamond" w:cs="Times New Roman"/>
        </w:rPr>
        <w:t>valorised</w:t>
      </w:r>
      <w:proofErr w:type="spellEnd"/>
      <w:r w:rsidRPr="003037D2">
        <w:rPr>
          <w:rFonts w:ascii="Garamond" w:eastAsia="Calibri" w:hAnsi="Garamond" w:cs="Times New Roman"/>
        </w:rPr>
        <w:t xml:space="preserve"> by poets for their literary qualities, with Petrarch effusively praising them as examples of the lyric mode.</w:t>
      </w:r>
      <w:r w:rsidRPr="003037D2">
        <w:rPr>
          <w:rFonts w:ascii="Garamond" w:eastAsia="Calibri" w:hAnsi="Garamond" w:cs="Times New Roman"/>
          <w:vertAlign w:val="superscript"/>
        </w:rPr>
        <w:footnoteReference w:id="386"/>
      </w:r>
      <w:r w:rsidRPr="003037D2">
        <w:rPr>
          <w:rFonts w:ascii="Garamond" w:eastAsia="Calibri" w:hAnsi="Garamond" w:cs="Times New Roman"/>
        </w:rPr>
        <w:t xml:space="preserve"> </w:t>
      </w:r>
      <w:r w:rsidRPr="003037D2">
        <w:rPr>
          <w:rFonts w:ascii="Garamond" w:eastAsia="Calibri" w:hAnsi="Garamond" w:cs="Times New Roman"/>
          <w:i/>
          <w:iCs/>
        </w:rPr>
        <w:t>The Geneva Prose Psalter</w:t>
      </w:r>
      <w:r w:rsidRPr="003037D2">
        <w:rPr>
          <w:rFonts w:ascii="Garamond" w:eastAsia="Calibri" w:hAnsi="Garamond" w:cs="Times New Roman"/>
        </w:rPr>
        <w:t xml:space="preserve">, published a year before Lock’s paraphrase, proposes that the psalmist should address God ‘with stammering and </w:t>
      </w:r>
      <w:proofErr w:type="spellStart"/>
      <w:r w:rsidRPr="003037D2">
        <w:rPr>
          <w:rFonts w:ascii="Garamond" w:eastAsia="Calibri" w:hAnsi="Garamond" w:cs="Times New Roman"/>
        </w:rPr>
        <w:t>stutting</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387"/>
      </w:r>
      <w:r w:rsidRPr="003037D2">
        <w:rPr>
          <w:rFonts w:ascii="Garamond" w:eastAsia="Calibri" w:hAnsi="Garamond" w:cs="Times New Roman"/>
        </w:rPr>
        <w:t xml:space="preserve"> Lock follows this directive, combining a devout, unassuming inarticulacy with a powerful poetic voice, using broken phrases and repetition to create a life-like impression of the speaker in a state of panic and confusion:</w:t>
      </w:r>
    </w:p>
    <w:p w14:paraId="68CB5290"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 xml:space="preserve">… I in </w:t>
      </w:r>
      <w:proofErr w:type="spellStart"/>
      <w:r w:rsidRPr="003037D2">
        <w:rPr>
          <w:rFonts w:ascii="Garamond" w:eastAsia="Calibri" w:hAnsi="Garamond" w:cs="Times New Roman"/>
        </w:rPr>
        <w:t>darke</w:t>
      </w:r>
      <w:proofErr w:type="spellEnd"/>
      <w:r w:rsidRPr="003037D2">
        <w:rPr>
          <w:rFonts w:ascii="Garamond" w:eastAsia="Calibri" w:hAnsi="Garamond" w:cs="Times New Roman"/>
        </w:rPr>
        <w:t xml:space="preserve"> of everlasting night</w:t>
      </w:r>
    </w:p>
    <w:p w14:paraId="5B2B4D81"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 xml:space="preserve"> </w:t>
      </w:r>
      <w:proofErr w:type="spellStart"/>
      <w:r w:rsidRPr="003037D2">
        <w:rPr>
          <w:rFonts w:ascii="Garamond" w:eastAsia="Calibri" w:hAnsi="Garamond" w:cs="Times New Roman"/>
        </w:rPr>
        <w:t>Bewayle</w:t>
      </w:r>
      <w:proofErr w:type="spellEnd"/>
      <w:r w:rsidRPr="003037D2">
        <w:rPr>
          <w:rFonts w:ascii="Garamond" w:eastAsia="Calibri" w:hAnsi="Garamond" w:cs="Times New Roman"/>
        </w:rPr>
        <w:t xml:space="preserve"> my woeful and unhappy case,</w:t>
      </w:r>
    </w:p>
    <w:p w14:paraId="27493CFC"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 xml:space="preserve">And fret my </w:t>
      </w:r>
      <w:proofErr w:type="spellStart"/>
      <w:r w:rsidRPr="003037D2">
        <w:rPr>
          <w:rFonts w:ascii="Garamond" w:eastAsia="Calibri" w:hAnsi="Garamond" w:cs="Times New Roman"/>
        </w:rPr>
        <w:t>dyeng</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soule</w:t>
      </w:r>
      <w:proofErr w:type="spellEnd"/>
      <w:r w:rsidRPr="003037D2">
        <w:rPr>
          <w:rFonts w:ascii="Garamond" w:eastAsia="Calibri" w:hAnsi="Garamond" w:cs="Times New Roman"/>
        </w:rPr>
        <w:t xml:space="preserve"> with gnawing </w:t>
      </w:r>
      <w:proofErr w:type="spellStart"/>
      <w:r w:rsidRPr="003037D2">
        <w:rPr>
          <w:rFonts w:ascii="Garamond" w:eastAsia="Calibri" w:hAnsi="Garamond" w:cs="Times New Roman"/>
        </w:rPr>
        <w:t>paine</w:t>
      </w:r>
      <w:proofErr w:type="spellEnd"/>
      <w:r w:rsidRPr="003037D2">
        <w:rPr>
          <w:rFonts w:ascii="Garamond" w:eastAsia="Calibri" w:hAnsi="Garamond" w:cs="Times New Roman"/>
        </w:rPr>
        <w:t xml:space="preserve">. </w:t>
      </w:r>
    </w:p>
    <w:p w14:paraId="3FB55156"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 xml:space="preserve">Yet </w:t>
      </w:r>
      <w:proofErr w:type="spellStart"/>
      <w:r w:rsidRPr="003037D2">
        <w:rPr>
          <w:rFonts w:ascii="Garamond" w:eastAsia="Calibri" w:hAnsi="Garamond" w:cs="Times New Roman"/>
        </w:rPr>
        <w:t>blinde</w:t>
      </w:r>
      <w:proofErr w:type="spellEnd"/>
      <w:r w:rsidRPr="003037D2">
        <w:rPr>
          <w:rFonts w:ascii="Garamond" w:eastAsia="Calibri" w:hAnsi="Garamond" w:cs="Times New Roman"/>
        </w:rPr>
        <w:t xml:space="preserve">, alas, I </w:t>
      </w:r>
      <w:proofErr w:type="spellStart"/>
      <w:r w:rsidRPr="003037D2">
        <w:rPr>
          <w:rFonts w:ascii="Garamond" w:eastAsia="Calibri" w:hAnsi="Garamond" w:cs="Times New Roman"/>
        </w:rPr>
        <w:t>groape</w:t>
      </w:r>
      <w:proofErr w:type="spellEnd"/>
      <w:r w:rsidRPr="003037D2">
        <w:rPr>
          <w:rFonts w:ascii="Garamond" w:eastAsia="Calibri" w:hAnsi="Garamond" w:cs="Times New Roman"/>
        </w:rPr>
        <w:t xml:space="preserve"> about for grace. </w:t>
      </w:r>
    </w:p>
    <w:p w14:paraId="29FE1627"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 xml:space="preserve">While </w:t>
      </w:r>
      <w:proofErr w:type="spellStart"/>
      <w:r w:rsidRPr="003037D2">
        <w:rPr>
          <w:rFonts w:ascii="Garamond" w:eastAsia="Calibri" w:hAnsi="Garamond" w:cs="Times New Roman"/>
        </w:rPr>
        <w:t>blinde</w:t>
      </w:r>
      <w:proofErr w:type="spellEnd"/>
      <w:r w:rsidRPr="003037D2">
        <w:rPr>
          <w:rFonts w:ascii="Garamond" w:eastAsia="Calibri" w:hAnsi="Garamond" w:cs="Times New Roman"/>
        </w:rPr>
        <w:t xml:space="preserve"> for grace I </w:t>
      </w:r>
      <w:proofErr w:type="spellStart"/>
      <w:r w:rsidRPr="003037D2">
        <w:rPr>
          <w:rFonts w:ascii="Garamond" w:eastAsia="Calibri" w:hAnsi="Garamond" w:cs="Times New Roman"/>
        </w:rPr>
        <w:t>groape</w:t>
      </w:r>
      <w:proofErr w:type="spellEnd"/>
      <w:r w:rsidRPr="003037D2">
        <w:rPr>
          <w:rFonts w:ascii="Garamond" w:eastAsia="Calibri" w:hAnsi="Garamond" w:cs="Times New Roman"/>
        </w:rPr>
        <w:t xml:space="preserve"> about in </w:t>
      </w:r>
      <w:proofErr w:type="spellStart"/>
      <w:r w:rsidRPr="003037D2">
        <w:rPr>
          <w:rFonts w:ascii="Garamond" w:eastAsia="Calibri" w:hAnsi="Garamond" w:cs="Times New Roman"/>
        </w:rPr>
        <w:t>vaine</w:t>
      </w:r>
      <w:proofErr w:type="spellEnd"/>
      <w:r w:rsidRPr="003037D2">
        <w:rPr>
          <w:rFonts w:ascii="Garamond" w:eastAsia="Calibri" w:hAnsi="Garamond" w:cs="Times New Roman"/>
        </w:rPr>
        <w:t xml:space="preserve">, </w:t>
      </w:r>
    </w:p>
    <w:p w14:paraId="13A49BB4"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 xml:space="preserve">My fainting breath I gather up and </w:t>
      </w:r>
      <w:proofErr w:type="spellStart"/>
      <w:r w:rsidRPr="003037D2">
        <w:rPr>
          <w:rFonts w:ascii="Garamond" w:eastAsia="Calibri" w:hAnsi="Garamond" w:cs="Times New Roman"/>
        </w:rPr>
        <w:t>straine</w:t>
      </w:r>
      <w:proofErr w:type="spellEnd"/>
      <w:r w:rsidRPr="003037D2">
        <w:rPr>
          <w:rFonts w:ascii="Garamond" w:eastAsia="Calibri" w:hAnsi="Garamond" w:cs="Times New Roman"/>
        </w:rPr>
        <w:t xml:space="preserve">, </w:t>
      </w:r>
      <w:r w:rsidRPr="003037D2">
        <w:rPr>
          <w:rFonts w:ascii="Garamond" w:eastAsia="Calibri" w:hAnsi="Garamond" w:cs="Times New Roman"/>
        </w:rPr>
        <w:br/>
      </w:r>
      <w:proofErr w:type="spellStart"/>
      <w:r w:rsidRPr="003037D2">
        <w:rPr>
          <w:rFonts w:ascii="Garamond" w:eastAsia="Calibri" w:hAnsi="Garamond" w:cs="Times New Roman"/>
        </w:rPr>
        <w:t>Mercie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mercie</w:t>
      </w:r>
      <w:proofErr w:type="spellEnd"/>
      <w:r w:rsidRPr="003037D2">
        <w:rPr>
          <w:rFonts w:ascii="Garamond" w:eastAsia="Calibri" w:hAnsi="Garamond" w:cs="Times New Roman"/>
        </w:rPr>
        <w:t xml:space="preserve"> to </w:t>
      </w:r>
      <w:proofErr w:type="spellStart"/>
      <w:r w:rsidRPr="003037D2">
        <w:rPr>
          <w:rFonts w:ascii="Garamond" w:eastAsia="Calibri" w:hAnsi="Garamond" w:cs="Times New Roman"/>
        </w:rPr>
        <w:t>crye</w:t>
      </w:r>
      <w:proofErr w:type="spellEnd"/>
      <w:r w:rsidRPr="003037D2">
        <w:rPr>
          <w:rFonts w:ascii="Garamond" w:eastAsia="Calibri" w:hAnsi="Garamond" w:cs="Times New Roman"/>
        </w:rPr>
        <w:t xml:space="preserve"> and </w:t>
      </w:r>
      <w:proofErr w:type="spellStart"/>
      <w:r w:rsidRPr="003037D2">
        <w:rPr>
          <w:rFonts w:ascii="Garamond" w:eastAsia="Calibri" w:hAnsi="Garamond" w:cs="Times New Roman"/>
        </w:rPr>
        <w:t>crye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againe</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388"/>
      </w:r>
      <w:r w:rsidRPr="003037D2">
        <w:rPr>
          <w:rFonts w:ascii="Garamond" w:eastAsia="Calibri" w:hAnsi="Garamond" w:cs="Times New Roman"/>
        </w:rPr>
        <w:t xml:space="preserve"> </w:t>
      </w:r>
    </w:p>
    <w:p w14:paraId="2CF61172" w14:textId="77777777" w:rsidR="00162224" w:rsidRPr="003037D2" w:rsidRDefault="00162224" w:rsidP="00162224">
      <w:pPr>
        <w:spacing w:line="360" w:lineRule="auto"/>
        <w:ind w:left="2160"/>
        <w:rPr>
          <w:rFonts w:ascii="Garamond" w:eastAsia="Calibri" w:hAnsi="Garamond" w:cs="Times New Roman"/>
        </w:rPr>
      </w:pPr>
    </w:p>
    <w:p w14:paraId="77082012" w14:textId="711421C5" w:rsidR="00162224" w:rsidRPr="003037D2" w:rsidRDefault="00162224" w:rsidP="002F1250">
      <w:pPr>
        <w:spacing w:line="360" w:lineRule="auto"/>
        <w:rPr>
          <w:rFonts w:ascii="Garamond" w:eastAsia="Calibri" w:hAnsi="Garamond" w:cs="Times New Roman"/>
        </w:rPr>
      </w:pPr>
      <w:r w:rsidRPr="003037D2">
        <w:rPr>
          <w:rFonts w:ascii="Garamond" w:eastAsia="Calibri" w:hAnsi="Garamond" w:cs="Times New Roman"/>
        </w:rPr>
        <w:t>As previously mentioned, both Lock and Sidney</w:t>
      </w:r>
      <w:r w:rsidR="002F1250">
        <w:rPr>
          <w:rFonts w:ascii="Garamond" w:eastAsia="Calibri" w:hAnsi="Garamond" w:cs="Times New Roman"/>
        </w:rPr>
        <w:t xml:space="preserve"> Herbert</w:t>
      </w:r>
      <w:r w:rsidRPr="003037D2">
        <w:rPr>
          <w:rFonts w:ascii="Garamond" w:eastAsia="Calibri" w:hAnsi="Garamond" w:cs="Times New Roman"/>
        </w:rPr>
        <w:t xml:space="preserve"> draw attention to the oral nature of their </w:t>
      </w:r>
      <w:proofErr w:type="spellStart"/>
      <w:r w:rsidRPr="003037D2">
        <w:rPr>
          <w:rFonts w:ascii="Garamond" w:eastAsia="Calibri" w:hAnsi="Garamond" w:cs="Times New Roman"/>
        </w:rPr>
        <w:t>psalmic</w:t>
      </w:r>
      <w:proofErr w:type="spellEnd"/>
      <w:r w:rsidRPr="003037D2">
        <w:rPr>
          <w:rFonts w:ascii="Garamond" w:eastAsia="Calibri" w:hAnsi="Garamond" w:cs="Times New Roman"/>
        </w:rPr>
        <w:t xml:space="preserve"> translations. However, it is notable that they </w:t>
      </w:r>
      <w:proofErr w:type="gramStart"/>
      <w:r w:rsidRPr="003037D2">
        <w:rPr>
          <w:rFonts w:ascii="Garamond" w:eastAsia="Calibri" w:hAnsi="Garamond" w:cs="Times New Roman"/>
        </w:rPr>
        <w:t>are able to</w:t>
      </w:r>
      <w:proofErr w:type="gramEnd"/>
      <w:r w:rsidRPr="003037D2">
        <w:rPr>
          <w:rFonts w:ascii="Garamond" w:eastAsia="Calibri" w:hAnsi="Garamond" w:cs="Times New Roman"/>
        </w:rPr>
        <w:t xml:space="preserve"> distance themselves from these speech acts, both through the act of translation and by hiding their own authorship. Lock claimed that the poem was ‘delivered me by my </w:t>
      </w:r>
      <w:proofErr w:type="spellStart"/>
      <w:r w:rsidRPr="003037D2">
        <w:rPr>
          <w:rFonts w:ascii="Garamond" w:eastAsia="Calibri" w:hAnsi="Garamond" w:cs="Times New Roman"/>
        </w:rPr>
        <w:t>frend</w:t>
      </w:r>
      <w:proofErr w:type="spellEnd"/>
      <w:r w:rsidRPr="003037D2">
        <w:rPr>
          <w:rFonts w:ascii="Garamond" w:eastAsia="Calibri" w:hAnsi="Garamond" w:cs="Times New Roman"/>
        </w:rPr>
        <w:t xml:space="preserve"> with </w:t>
      </w:r>
      <w:r w:rsidRPr="003037D2">
        <w:rPr>
          <w:rFonts w:ascii="Garamond" w:eastAsia="Calibri" w:hAnsi="Garamond" w:cs="Times New Roman"/>
        </w:rPr>
        <w:lastRenderedPageBreak/>
        <w:t xml:space="preserve">whom I knew I might be so </w:t>
      </w:r>
      <w:proofErr w:type="spellStart"/>
      <w:r w:rsidRPr="003037D2">
        <w:rPr>
          <w:rFonts w:ascii="Garamond" w:eastAsia="Calibri" w:hAnsi="Garamond" w:cs="Times New Roman"/>
        </w:rPr>
        <w:t>bolde</w:t>
      </w:r>
      <w:proofErr w:type="spellEnd"/>
      <w:r w:rsidRPr="003037D2">
        <w:rPr>
          <w:rFonts w:ascii="Garamond" w:eastAsia="Calibri" w:hAnsi="Garamond" w:cs="Times New Roman"/>
        </w:rPr>
        <w:t xml:space="preserve"> to use and </w:t>
      </w:r>
      <w:proofErr w:type="spellStart"/>
      <w:r w:rsidRPr="003037D2">
        <w:rPr>
          <w:rFonts w:ascii="Garamond" w:eastAsia="Calibri" w:hAnsi="Garamond" w:cs="Times New Roman"/>
        </w:rPr>
        <w:t>publishe</w:t>
      </w:r>
      <w:proofErr w:type="spellEnd"/>
      <w:r w:rsidRPr="003037D2">
        <w:rPr>
          <w:rFonts w:ascii="Garamond" w:eastAsia="Calibri" w:hAnsi="Garamond" w:cs="Times New Roman"/>
        </w:rPr>
        <w:t xml:space="preserve"> it as pleased me’.</w:t>
      </w:r>
      <w:r w:rsidRPr="003037D2">
        <w:rPr>
          <w:rFonts w:ascii="Garamond" w:eastAsia="Calibri" w:hAnsi="Garamond" w:cs="Times New Roman"/>
          <w:vertAlign w:val="superscript"/>
        </w:rPr>
        <w:footnoteReference w:id="389"/>
      </w:r>
      <w:r w:rsidRPr="003037D2">
        <w:rPr>
          <w:rFonts w:ascii="Garamond" w:eastAsia="Calibri" w:hAnsi="Garamond" w:cs="Times New Roman"/>
        </w:rPr>
        <w:t xml:space="preserve"> Similarly, Sidney</w:t>
      </w:r>
      <w:r w:rsidR="002F1250">
        <w:rPr>
          <w:rFonts w:ascii="Garamond" w:eastAsia="Calibri" w:hAnsi="Garamond" w:cs="Times New Roman"/>
        </w:rPr>
        <w:t xml:space="preserve"> Herbert</w:t>
      </w:r>
      <w:r w:rsidRPr="003037D2">
        <w:rPr>
          <w:rFonts w:ascii="Garamond" w:eastAsia="Calibri" w:hAnsi="Garamond" w:cs="Times New Roman"/>
        </w:rPr>
        <w:t xml:space="preserve"> presented her brother Philip Sidney</w:t>
      </w:r>
      <w:r w:rsidR="002F1250">
        <w:rPr>
          <w:rFonts w:ascii="Garamond" w:eastAsia="Calibri" w:hAnsi="Garamond" w:cs="Times New Roman"/>
        </w:rPr>
        <w:t xml:space="preserve"> </w:t>
      </w:r>
      <w:r w:rsidRPr="003037D2">
        <w:rPr>
          <w:rFonts w:ascii="Garamond" w:eastAsia="Calibri" w:hAnsi="Garamond" w:cs="Times New Roman"/>
        </w:rPr>
        <w:t xml:space="preserve">as the primary translator of the psalms, despite the fact that she completed the bulk of them following his death. In Louise </w:t>
      </w:r>
      <w:proofErr w:type="spellStart"/>
      <w:r w:rsidRPr="003037D2">
        <w:rPr>
          <w:rFonts w:ascii="Garamond" w:eastAsia="Calibri" w:hAnsi="Garamond" w:cs="Times New Roman"/>
        </w:rPr>
        <w:t>Schleiner’s</w:t>
      </w:r>
      <w:proofErr w:type="spellEnd"/>
      <w:r w:rsidRPr="003037D2">
        <w:rPr>
          <w:rFonts w:ascii="Garamond" w:eastAsia="Calibri" w:hAnsi="Garamond" w:cs="Times New Roman"/>
        </w:rPr>
        <w:t xml:space="preserve"> words, ‘she found an </w:t>
      </w:r>
      <w:r w:rsidR="002F1250">
        <w:rPr>
          <w:rFonts w:ascii="Garamond" w:eastAsia="Calibri" w:hAnsi="Garamond" w:cs="Times New Roman"/>
        </w:rPr>
        <w:t xml:space="preserve">enabling authorial identity as “sister unto </w:t>
      </w:r>
      <w:proofErr w:type="spellStart"/>
      <w:r w:rsidR="002F1250">
        <w:rPr>
          <w:rFonts w:ascii="Garamond" w:eastAsia="Calibri" w:hAnsi="Garamond" w:cs="Times New Roman"/>
        </w:rPr>
        <w:t>Astrophil</w:t>
      </w:r>
      <w:proofErr w:type="spellEnd"/>
      <w:r w:rsidR="002F1250">
        <w:rPr>
          <w:rFonts w:ascii="Garamond" w:eastAsia="Calibri" w:hAnsi="Garamond" w:cs="Times New Roman"/>
        </w:rPr>
        <w:t xml:space="preserve">” </w:t>
      </w:r>
      <w:r w:rsidRPr="003037D2">
        <w:rPr>
          <w:rFonts w:ascii="Garamond" w:eastAsia="Calibri" w:hAnsi="Garamond" w:cs="Times New Roman"/>
        </w:rPr>
        <w:t xml:space="preserve">by partially assuming the male one of her </w:t>
      </w:r>
      <w:proofErr w:type="gramStart"/>
      <w:r w:rsidRPr="003037D2">
        <w:rPr>
          <w:rFonts w:ascii="Garamond" w:eastAsia="Calibri" w:hAnsi="Garamond" w:cs="Times New Roman"/>
        </w:rPr>
        <w:t>brother</w:t>
      </w:r>
      <w:proofErr w:type="gramEnd"/>
      <w:r w:rsidRPr="003037D2">
        <w:rPr>
          <w:rFonts w:ascii="Garamond" w:eastAsia="Calibri" w:hAnsi="Garamond" w:cs="Times New Roman"/>
        </w:rPr>
        <w:t>’.</w:t>
      </w:r>
      <w:r w:rsidRPr="003037D2">
        <w:rPr>
          <w:rFonts w:ascii="Garamond" w:eastAsia="Calibri" w:hAnsi="Garamond" w:cs="Times New Roman"/>
          <w:vertAlign w:val="superscript"/>
        </w:rPr>
        <w:footnoteReference w:id="390"/>
      </w:r>
      <w:r w:rsidRPr="003037D2">
        <w:rPr>
          <w:rFonts w:ascii="Garamond" w:eastAsia="Calibri" w:hAnsi="Garamond" w:cs="Times New Roman"/>
        </w:rPr>
        <w:t xml:space="preserve"> In both examples, the psalmist voice is neither explicitly male or female. The retelling of David’s psalm is joined with references to biblical women, including Hannah and Miriam.</w:t>
      </w:r>
      <w:r w:rsidRPr="003037D2">
        <w:rPr>
          <w:rFonts w:ascii="Garamond" w:eastAsia="Calibri" w:hAnsi="Garamond" w:cs="Times New Roman"/>
          <w:vertAlign w:val="superscript"/>
        </w:rPr>
        <w:footnoteReference w:id="391"/>
      </w:r>
      <w:r w:rsidRPr="003037D2">
        <w:rPr>
          <w:rFonts w:ascii="Garamond" w:eastAsia="Calibri" w:hAnsi="Garamond" w:cs="Times New Roman"/>
        </w:rPr>
        <w:t xml:space="preserve"> This allows for Sidney</w:t>
      </w:r>
      <w:r w:rsidR="002F1250">
        <w:rPr>
          <w:rFonts w:ascii="Garamond" w:eastAsia="Calibri" w:hAnsi="Garamond" w:cs="Times New Roman"/>
        </w:rPr>
        <w:t xml:space="preserve"> Herbert</w:t>
      </w:r>
      <w:r w:rsidRPr="003037D2">
        <w:rPr>
          <w:rFonts w:ascii="Garamond" w:eastAsia="Calibri" w:hAnsi="Garamond" w:cs="Times New Roman"/>
        </w:rPr>
        <w:t xml:space="preserve"> and Lock to negotiate the constraints of their gender whilst drawing on the authority of David’s voice. </w:t>
      </w:r>
    </w:p>
    <w:p w14:paraId="0DC354B1" w14:textId="77777777" w:rsidR="00162224" w:rsidRPr="003037D2" w:rsidRDefault="00162224" w:rsidP="00162224">
      <w:pPr>
        <w:spacing w:line="360" w:lineRule="auto"/>
        <w:rPr>
          <w:rFonts w:ascii="Garamond" w:eastAsia="Calibri" w:hAnsi="Garamond" w:cs="Times New Roman"/>
        </w:rPr>
      </w:pPr>
    </w:p>
    <w:p w14:paraId="1994D169" w14:textId="4CAC6B75"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Simpson states that for seventeenth</w:t>
      </w:r>
      <w:r w:rsidR="0038415A" w:rsidRPr="003037D2">
        <w:rPr>
          <w:rFonts w:ascii="Garamond" w:eastAsia="Calibri" w:hAnsi="Garamond" w:cs="Times New Roman"/>
        </w:rPr>
        <w:t>-</w:t>
      </w:r>
      <w:r w:rsidRPr="003037D2">
        <w:rPr>
          <w:rFonts w:ascii="Garamond" w:eastAsia="Calibri" w:hAnsi="Garamond" w:cs="Times New Roman"/>
        </w:rPr>
        <w:t>century readers, scripture was not useful as a source of rules, but ‘as a source of abject feelings, for feelings were signs: if you felt good (that is, bad) about the reading… that was a sign that God’s election had gone your way’.</w:t>
      </w:r>
      <w:r w:rsidRPr="003037D2">
        <w:rPr>
          <w:rFonts w:ascii="Garamond" w:eastAsia="Calibri" w:hAnsi="Garamond" w:cs="Times New Roman"/>
          <w:vertAlign w:val="superscript"/>
        </w:rPr>
        <w:footnoteReference w:id="392"/>
      </w:r>
      <w:r w:rsidRPr="003037D2">
        <w:rPr>
          <w:rFonts w:ascii="Garamond" w:eastAsia="Calibri" w:hAnsi="Garamond" w:cs="Times New Roman"/>
        </w:rPr>
        <w:t xml:space="preserve"> The Psalms were the ultimate source for feelings, as vividly emotional first personal accounts of theological pain, which could be co-opted and adapted by a range of different poetic voices. Matthew Parker argued that whilst in other books of the Bible ‘we </w:t>
      </w:r>
      <w:proofErr w:type="spellStart"/>
      <w:r w:rsidRPr="003037D2">
        <w:rPr>
          <w:rFonts w:ascii="Garamond" w:eastAsia="Calibri" w:hAnsi="Garamond" w:cs="Times New Roman"/>
        </w:rPr>
        <w:t>reade</w:t>
      </w:r>
      <w:proofErr w:type="spellEnd"/>
      <w:r w:rsidRPr="003037D2">
        <w:rPr>
          <w:rFonts w:ascii="Garamond" w:eastAsia="Calibri" w:hAnsi="Garamond" w:cs="Times New Roman"/>
        </w:rPr>
        <w:t xml:space="preserve"> such </w:t>
      </w:r>
      <w:proofErr w:type="spellStart"/>
      <w:r w:rsidRPr="003037D2">
        <w:rPr>
          <w:rFonts w:ascii="Garamond" w:eastAsia="Calibri" w:hAnsi="Garamond" w:cs="Times New Roman"/>
        </w:rPr>
        <w:t>thinges</w:t>
      </w:r>
      <w:proofErr w:type="spellEnd"/>
      <w:r w:rsidRPr="003037D2">
        <w:rPr>
          <w:rFonts w:ascii="Garamond" w:eastAsia="Calibri" w:hAnsi="Garamond" w:cs="Times New Roman"/>
        </w:rPr>
        <w:t xml:space="preserve"> as the holy fathers </w:t>
      </w:r>
      <w:proofErr w:type="spellStart"/>
      <w:r w:rsidRPr="003037D2">
        <w:rPr>
          <w:rFonts w:ascii="Garamond" w:eastAsia="Calibri" w:hAnsi="Garamond" w:cs="Times New Roman"/>
        </w:rPr>
        <w:t>eyther</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spake</w:t>
      </w:r>
      <w:proofErr w:type="spellEnd"/>
      <w:r w:rsidRPr="003037D2">
        <w:rPr>
          <w:rFonts w:ascii="Garamond" w:eastAsia="Calibri" w:hAnsi="Garamond" w:cs="Times New Roman"/>
        </w:rPr>
        <w:t xml:space="preserve"> in </w:t>
      </w:r>
      <w:proofErr w:type="spellStart"/>
      <w:r w:rsidRPr="003037D2">
        <w:rPr>
          <w:rFonts w:ascii="Garamond" w:eastAsia="Calibri" w:hAnsi="Garamond" w:cs="Times New Roman"/>
        </w:rPr>
        <w:t>worde</w:t>
      </w:r>
      <w:proofErr w:type="spellEnd"/>
      <w:r w:rsidRPr="003037D2">
        <w:rPr>
          <w:rFonts w:ascii="Garamond" w:eastAsia="Calibri" w:hAnsi="Garamond" w:cs="Times New Roman"/>
        </w:rPr>
        <w:t xml:space="preserve"> or did leave in writings’ and ‘straight way… conceive… that they be other </w:t>
      </w:r>
      <w:proofErr w:type="spellStart"/>
      <w:r w:rsidRPr="003037D2">
        <w:rPr>
          <w:rFonts w:ascii="Garamond" w:eastAsia="Calibri" w:hAnsi="Garamond" w:cs="Times New Roman"/>
        </w:rPr>
        <w:t>mens</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wordes</w:t>
      </w:r>
      <w:proofErr w:type="spellEnd"/>
      <w:r w:rsidRPr="003037D2">
        <w:rPr>
          <w:rFonts w:ascii="Garamond" w:eastAsia="Calibri" w:hAnsi="Garamond" w:cs="Times New Roman"/>
        </w:rPr>
        <w:t xml:space="preserve"> and </w:t>
      </w:r>
      <w:proofErr w:type="spellStart"/>
      <w:r w:rsidRPr="003037D2">
        <w:rPr>
          <w:rFonts w:ascii="Garamond" w:eastAsia="Calibri" w:hAnsi="Garamond" w:cs="Times New Roman"/>
        </w:rPr>
        <w:t>dedes</w:t>
      </w:r>
      <w:proofErr w:type="spellEnd"/>
      <w:r w:rsidRPr="003037D2">
        <w:rPr>
          <w:rFonts w:ascii="Garamond" w:eastAsia="Calibri" w:hAnsi="Garamond" w:cs="Times New Roman"/>
        </w:rPr>
        <w:t xml:space="preserve"> that they </w:t>
      </w:r>
      <w:proofErr w:type="spellStart"/>
      <w:r w:rsidRPr="003037D2">
        <w:rPr>
          <w:rFonts w:ascii="Garamond" w:eastAsia="Calibri" w:hAnsi="Garamond" w:cs="Times New Roman"/>
        </w:rPr>
        <w:t>heare</w:t>
      </w:r>
      <w:proofErr w:type="spellEnd"/>
      <w:r w:rsidRPr="003037D2">
        <w:rPr>
          <w:rFonts w:ascii="Garamond" w:eastAsia="Calibri" w:hAnsi="Garamond" w:cs="Times New Roman"/>
        </w:rPr>
        <w:t>’, the Psalms operate differently:</w:t>
      </w:r>
    </w:p>
    <w:p w14:paraId="7D326B14" w14:textId="77777777" w:rsidR="00162224" w:rsidRPr="003037D2" w:rsidRDefault="00162224" w:rsidP="00162224">
      <w:pPr>
        <w:ind w:left="737" w:right="737"/>
        <w:rPr>
          <w:rFonts w:ascii="Garamond" w:eastAsia="Calibri" w:hAnsi="Garamond" w:cs="Times New Roman"/>
        </w:rPr>
      </w:pPr>
      <w:r w:rsidRPr="003037D2">
        <w:rPr>
          <w:rFonts w:ascii="Garamond" w:eastAsia="Calibri" w:hAnsi="Garamond" w:cs="Times New Roman"/>
        </w:rPr>
        <w:t xml:space="preserve">whosoever take this </w:t>
      </w:r>
      <w:proofErr w:type="spellStart"/>
      <w:r w:rsidRPr="003037D2">
        <w:rPr>
          <w:rFonts w:ascii="Garamond" w:eastAsia="Calibri" w:hAnsi="Garamond" w:cs="Times New Roman"/>
        </w:rPr>
        <w:t>booke</w:t>
      </w:r>
      <w:proofErr w:type="spellEnd"/>
      <w:r w:rsidRPr="003037D2">
        <w:rPr>
          <w:rFonts w:ascii="Garamond" w:eastAsia="Calibri" w:hAnsi="Garamond" w:cs="Times New Roman"/>
        </w:rPr>
        <w:t xml:space="preserve"> [i.e. the Psalms] in his </w:t>
      </w:r>
      <w:proofErr w:type="spellStart"/>
      <w:r w:rsidRPr="003037D2">
        <w:rPr>
          <w:rFonts w:ascii="Garamond" w:eastAsia="Calibri" w:hAnsi="Garamond" w:cs="Times New Roman"/>
        </w:rPr>
        <w:t>hande</w:t>
      </w:r>
      <w:proofErr w:type="spellEnd"/>
      <w:r w:rsidRPr="003037D2">
        <w:rPr>
          <w:rFonts w:ascii="Garamond" w:eastAsia="Calibri" w:hAnsi="Garamond" w:cs="Times New Roman"/>
        </w:rPr>
        <w:t xml:space="preserve">, he </w:t>
      </w:r>
      <w:proofErr w:type="spellStart"/>
      <w:r w:rsidRPr="003037D2">
        <w:rPr>
          <w:rFonts w:ascii="Garamond" w:eastAsia="Calibri" w:hAnsi="Garamond" w:cs="Times New Roman"/>
        </w:rPr>
        <w:t>reputeth</w:t>
      </w:r>
      <w:proofErr w:type="spellEnd"/>
      <w:r w:rsidRPr="003037D2">
        <w:rPr>
          <w:rFonts w:ascii="Garamond" w:eastAsia="Calibri" w:hAnsi="Garamond" w:cs="Times New Roman"/>
        </w:rPr>
        <w:t xml:space="preserve"> &amp; thinketh all the </w:t>
      </w:r>
      <w:proofErr w:type="spellStart"/>
      <w:r w:rsidRPr="003037D2">
        <w:rPr>
          <w:rFonts w:ascii="Garamond" w:eastAsia="Calibri" w:hAnsi="Garamond" w:cs="Times New Roman"/>
        </w:rPr>
        <w:t>wordes</w:t>
      </w:r>
      <w:proofErr w:type="spellEnd"/>
      <w:r w:rsidRPr="003037D2">
        <w:rPr>
          <w:rFonts w:ascii="Garamond" w:eastAsia="Calibri" w:hAnsi="Garamond" w:cs="Times New Roman"/>
        </w:rPr>
        <w:t xml:space="preserve"> he </w:t>
      </w:r>
      <w:proofErr w:type="spellStart"/>
      <w:r w:rsidRPr="003037D2">
        <w:rPr>
          <w:rFonts w:ascii="Garamond" w:eastAsia="Calibri" w:hAnsi="Garamond" w:cs="Times New Roman"/>
        </w:rPr>
        <w:t>readeth</w:t>
      </w:r>
      <w:proofErr w:type="spellEnd"/>
      <w:r w:rsidRPr="003037D2">
        <w:rPr>
          <w:rFonts w:ascii="Garamond" w:eastAsia="Calibri" w:hAnsi="Garamond" w:cs="Times New Roman"/>
        </w:rPr>
        <w:t xml:space="preserve">… To be as his very </w:t>
      </w:r>
      <w:proofErr w:type="spellStart"/>
      <w:r w:rsidRPr="003037D2">
        <w:rPr>
          <w:rFonts w:ascii="Garamond" w:eastAsia="Calibri" w:hAnsi="Garamond" w:cs="Times New Roman"/>
        </w:rPr>
        <w:t>owne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wordes</w:t>
      </w:r>
      <w:proofErr w:type="spellEnd"/>
      <w:r w:rsidRPr="003037D2">
        <w:rPr>
          <w:rFonts w:ascii="Garamond" w:eastAsia="Calibri" w:hAnsi="Garamond" w:cs="Times New Roman"/>
        </w:rPr>
        <w:t xml:space="preserve"> spoken in his </w:t>
      </w:r>
      <w:proofErr w:type="spellStart"/>
      <w:r w:rsidRPr="003037D2">
        <w:rPr>
          <w:rFonts w:ascii="Garamond" w:eastAsia="Calibri" w:hAnsi="Garamond" w:cs="Times New Roman"/>
        </w:rPr>
        <w:t>owne</w:t>
      </w:r>
      <w:proofErr w:type="spellEnd"/>
      <w:r w:rsidRPr="003037D2">
        <w:rPr>
          <w:rFonts w:ascii="Garamond" w:eastAsia="Calibri" w:hAnsi="Garamond" w:cs="Times New Roman"/>
        </w:rPr>
        <w:t xml:space="preserve"> person, yeah and whosoever do but here them </w:t>
      </w:r>
      <w:proofErr w:type="spellStart"/>
      <w:r w:rsidRPr="003037D2">
        <w:rPr>
          <w:rFonts w:ascii="Garamond" w:eastAsia="Calibri" w:hAnsi="Garamond" w:cs="Times New Roman"/>
        </w:rPr>
        <w:t>reade</w:t>
      </w:r>
      <w:proofErr w:type="spellEnd"/>
      <w:r w:rsidRPr="003037D2">
        <w:rPr>
          <w:rFonts w:ascii="Garamond" w:eastAsia="Calibri" w:hAnsi="Garamond" w:cs="Times New Roman"/>
        </w:rPr>
        <w:t xml:space="preserve">, he is so affected to them, as he were the very man that read them, or first </w:t>
      </w:r>
      <w:proofErr w:type="spellStart"/>
      <w:r w:rsidRPr="003037D2">
        <w:rPr>
          <w:rFonts w:ascii="Garamond" w:eastAsia="Calibri" w:hAnsi="Garamond" w:cs="Times New Roman"/>
        </w:rPr>
        <w:t>spake</w:t>
      </w:r>
      <w:proofErr w:type="spellEnd"/>
      <w:r w:rsidRPr="003037D2">
        <w:rPr>
          <w:rFonts w:ascii="Garamond" w:eastAsia="Calibri" w:hAnsi="Garamond" w:cs="Times New Roman"/>
        </w:rPr>
        <w:t xml:space="preserve"> them, and so is disposed to </w:t>
      </w:r>
      <w:proofErr w:type="spellStart"/>
      <w:r w:rsidRPr="003037D2">
        <w:rPr>
          <w:rFonts w:ascii="Garamond" w:eastAsia="Calibri" w:hAnsi="Garamond" w:cs="Times New Roman"/>
        </w:rPr>
        <w:t>warde</w:t>
      </w:r>
      <w:proofErr w:type="spellEnd"/>
      <w:r w:rsidRPr="003037D2">
        <w:rPr>
          <w:rFonts w:ascii="Garamond" w:eastAsia="Calibri" w:hAnsi="Garamond" w:cs="Times New Roman"/>
        </w:rPr>
        <w:t xml:space="preserve"> the </w:t>
      </w:r>
      <w:proofErr w:type="spellStart"/>
      <w:r w:rsidRPr="003037D2">
        <w:rPr>
          <w:rFonts w:ascii="Garamond" w:eastAsia="Calibri" w:hAnsi="Garamond" w:cs="Times New Roman"/>
        </w:rPr>
        <w:t>wordes</w:t>
      </w:r>
      <w:proofErr w:type="spellEnd"/>
      <w:r w:rsidRPr="003037D2">
        <w:rPr>
          <w:rFonts w:ascii="Garamond" w:eastAsia="Calibri" w:hAnsi="Garamond" w:cs="Times New Roman"/>
        </w:rPr>
        <w:t xml:space="preserve"> of the verses, when they be uttered, as they were </w:t>
      </w:r>
      <w:proofErr w:type="spellStart"/>
      <w:r w:rsidRPr="003037D2">
        <w:rPr>
          <w:rFonts w:ascii="Garamond" w:eastAsia="Calibri" w:hAnsi="Garamond" w:cs="Times New Roman"/>
        </w:rPr>
        <w:t>properlye</w:t>
      </w:r>
      <w:proofErr w:type="spellEnd"/>
      <w:r w:rsidRPr="003037D2">
        <w:rPr>
          <w:rFonts w:ascii="Garamond" w:eastAsia="Calibri" w:hAnsi="Garamond" w:cs="Times New Roman"/>
        </w:rPr>
        <w:t xml:space="preserve"> his </w:t>
      </w:r>
      <w:proofErr w:type="spellStart"/>
      <w:r w:rsidRPr="003037D2">
        <w:rPr>
          <w:rFonts w:ascii="Garamond" w:eastAsia="Calibri" w:hAnsi="Garamond" w:cs="Times New Roman"/>
        </w:rPr>
        <w:t>owne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onelye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wordes</w:t>
      </w:r>
      <w:proofErr w:type="spellEnd"/>
      <w:r w:rsidRPr="003037D2">
        <w:rPr>
          <w:rFonts w:ascii="Garamond" w:eastAsia="Calibri" w:hAnsi="Garamond" w:cs="Times New Roman"/>
        </w:rPr>
        <w:t xml:space="preserve">, first by him </w:t>
      </w:r>
      <w:proofErr w:type="spellStart"/>
      <w:r w:rsidRPr="003037D2">
        <w:rPr>
          <w:rFonts w:ascii="Garamond" w:eastAsia="Calibri" w:hAnsi="Garamond" w:cs="Times New Roman"/>
        </w:rPr>
        <w:t>conceyved</w:t>
      </w:r>
      <w:proofErr w:type="spellEnd"/>
      <w:r w:rsidRPr="003037D2">
        <w:rPr>
          <w:rFonts w:ascii="Garamond" w:eastAsia="Calibri" w:hAnsi="Garamond" w:cs="Times New Roman"/>
        </w:rPr>
        <w:t xml:space="preserve"> and pronounced.</w:t>
      </w:r>
      <w:r w:rsidRPr="003037D2">
        <w:rPr>
          <w:rFonts w:ascii="Garamond" w:eastAsia="Calibri" w:hAnsi="Garamond" w:cs="Times New Roman"/>
          <w:vertAlign w:val="superscript"/>
        </w:rPr>
        <w:footnoteReference w:id="393"/>
      </w:r>
    </w:p>
    <w:p w14:paraId="1242D87A" w14:textId="77777777" w:rsidR="00162224" w:rsidRPr="003037D2" w:rsidRDefault="00162224" w:rsidP="00162224">
      <w:pPr>
        <w:spacing w:line="360" w:lineRule="auto"/>
        <w:rPr>
          <w:rFonts w:ascii="Garamond" w:eastAsia="Calibri" w:hAnsi="Garamond" w:cs="Times New Roman"/>
        </w:rPr>
      </w:pPr>
    </w:p>
    <w:p w14:paraId="29777DB0" w14:textId="1F928237"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The personal scale on which the Psalms were written makes them immensely accessible to the Christian reader, enabling them to co-opt and engage with the Biblical words with immediacy. In Lo</w:t>
      </w:r>
      <w:r w:rsidR="00805301" w:rsidRPr="003037D2">
        <w:rPr>
          <w:rFonts w:ascii="Garamond" w:eastAsia="Calibri" w:hAnsi="Garamond" w:cs="Times New Roman"/>
        </w:rPr>
        <w:t>c</w:t>
      </w:r>
      <w:r w:rsidRPr="003037D2">
        <w:rPr>
          <w:rFonts w:ascii="Garamond" w:eastAsia="Calibri" w:hAnsi="Garamond" w:cs="Times New Roman"/>
        </w:rPr>
        <w:t>k</w:t>
      </w:r>
      <w:r w:rsidR="00805301" w:rsidRPr="003037D2">
        <w:rPr>
          <w:rFonts w:ascii="Garamond" w:eastAsia="Calibri" w:hAnsi="Garamond" w:cs="Times New Roman"/>
        </w:rPr>
        <w:t>’s</w:t>
      </w:r>
      <w:r w:rsidRPr="003037D2">
        <w:rPr>
          <w:rFonts w:ascii="Garamond" w:eastAsia="Calibri" w:hAnsi="Garamond" w:cs="Times New Roman"/>
        </w:rPr>
        <w:t xml:space="preserve"> and Sidney</w:t>
      </w:r>
      <w:r w:rsidR="002F1250">
        <w:rPr>
          <w:rFonts w:ascii="Garamond" w:eastAsia="Calibri" w:hAnsi="Garamond" w:cs="Times New Roman"/>
        </w:rPr>
        <w:t xml:space="preserve"> Herbert</w:t>
      </w:r>
      <w:r w:rsidRPr="003037D2">
        <w:rPr>
          <w:rFonts w:ascii="Garamond" w:eastAsia="Calibri" w:hAnsi="Garamond" w:cs="Times New Roman"/>
        </w:rPr>
        <w:t xml:space="preserve">’s paraphrases of Psalm 51 penance is transformed into a means to educate others, ‘a guiding hand’ to those ‘whose faulty feet have wandered from thy way’.  </w:t>
      </w:r>
    </w:p>
    <w:p w14:paraId="681D99B5" w14:textId="77777777" w:rsidR="00162224" w:rsidRPr="003037D2" w:rsidRDefault="00162224" w:rsidP="00162224">
      <w:pPr>
        <w:spacing w:line="360" w:lineRule="auto"/>
        <w:rPr>
          <w:rFonts w:ascii="Garamond" w:eastAsia="Calibri" w:hAnsi="Garamond" w:cs="Times New Roman"/>
        </w:rPr>
      </w:pPr>
    </w:p>
    <w:p w14:paraId="74DFF8F3" w14:textId="28697CB5" w:rsidR="00162224" w:rsidRPr="003037D2" w:rsidRDefault="00162224" w:rsidP="00164AB4">
      <w:pPr>
        <w:pStyle w:val="Heading3"/>
        <w:numPr>
          <w:ilvl w:val="0"/>
          <w:numId w:val="26"/>
        </w:numPr>
        <w:rPr>
          <w:rFonts w:ascii="Garamond" w:hAnsi="Garamond"/>
          <w:color w:val="000000" w:themeColor="text1"/>
          <w:sz w:val="28"/>
        </w:rPr>
      </w:pPr>
      <w:bookmarkStart w:id="42" w:name="_Toc3967178"/>
      <w:r w:rsidRPr="003037D2">
        <w:rPr>
          <w:rFonts w:ascii="Garamond" w:hAnsi="Garamond"/>
          <w:color w:val="000000" w:themeColor="text1"/>
          <w:sz w:val="28"/>
        </w:rPr>
        <w:t>Revelation through retrospect</w:t>
      </w:r>
      <w:bookmarkEnd w:id="42"/>
      <w:r w:rsidRPr="003037D2">
        <w:rPr>
          <w:rFonts w:ascii="Garamond" w:hAnsi="Garamond"/>
          <w:color w:val="000000" w:themeColor="text1"/>
          <w:sz w:val="28"/>
        </w:rPr>
        <w:t xml:space="preserve"> </w:t>
      </w:r>
    </w:p>
    <w:p w14:paraId="4F5E7883" w14:textId="77777777" w:rsidR="00162224" w:rsidRPr="003037D2" w:rsidRDefault="00162224" w:rsidP="00162224">
      <w:pPr>
        <w:spacing w:line="360" w:lineRule="auto"/>
        <w:rPr>
          <w:rFonts w:ascii="Garamond" w:eastAsia="Calibri" w:hAnsi="Garamond" w:cs="Times New Roman"/>
        </w:rPr>
      </w:pPr>
    </w:p>
    <w:p w14:paraId="76422BB4" w14:textId="77777777"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ab/>
        <w:t xml:space="preserve">In John Donne’s series of sermons on Psalm 38, he acknowledges the ‘disposition of… my spiritual appetite carries me still, upon the </w:t>
      </w:r>
      <w:proofErr w:type="spellStart"/>
      <w:r w:rsidRPr="003037D2">
        <w:rPr>
          <w:rFonts w:ascii="Garamond" w:eastAsia="Calibri" w:hAnsi="Garamond" w:cs="Times New Roman"/>
          <w:i/>
          <w:iCs/>
        </w:rPr>
        <w:t>Psalmes</w:t>
      </w:r>
      <w:proofErr w:type="spellEnd"/>
      <w:r w:rsidRPr="003037D2">
        <w:rPr>
          <w:rFonts w:ascii="Garamond" w:eastAsia="Calibri" w:hAnsi="Garamond" w:cs="Times New Roman"/>
          <w:i/>
          <w:iCs/>
        </w:rPr>
        <w:t xml:space="preserve"> of David, </w:t>
      </w:r>
      <w:r w:rsidRPr="003037D2">
        <w:rPr>
          <w:rFonts w:ascii="Garamond" w:eastAsia="Calibri" w:hAnsi="Garamond" w:cs="Times New Roman"/>
        </w:rPr>
        <w:t>for a first course’ and so he most commonly preaches upon them to his congregation.</w:t>
      </w:r>
      <w:r w:rsidRPr="003037D2">
        <w:rPr>
          <w:rFonts w:ascii="Garamond" w:eastAsia="Calibri" w:hAnsi="Garamond" w:cs="Times New Roman"/>
          <w:vertAlign w:val="superscript"/>
        </w:rPr>
        <w:footnoteReference w:id="394"/>
      </w:r>
      <w:r w:rsidRPr="003037D2">
        <w:rPr>
          <w:rFonts w:ascii="Garamond" w:eastAsia="Calibri" w:hAnsi="Garamond" w:cs="Times New Roman"/>
        </w:rPr>
        <w:t xml:space="preserve"> He links the worth of the psalms to their form:</w:t>
      </w:r>
    </w:p>
    <w:p w14:paraId="63938ABB" w14:textId="29593206" w:rsidR="00162224" w:rsidRDefault="00162224" w:rsidP="00162224">
      <w:pPr>
        <w:ind w:left="737" w:right="737"/>
        <w:rPr>
          <w:rFonts w:ascii="Garamond" w:eastAsia="Calibri" w:hAnsi="Garamond" w:cs="Times New Roman"/>
        </w:rPr>
      </w:pPr>
      <w:r w:rsidRPr="003037D2">
        <w:rPr>
          <w:rFonts w:ascii="Garamond" w:eastAsia="Calibri" w:hAnsi="Garamond" w:cs="Times New Roman"/>
        </w:rPr>
        <w:t xml:space="preserve">being Poems: for, God gives us, not </w:t>
      </w:r>
      <w:proofErr w:type="spellStart"/>
      <w:r w:rsidRPr="003037D2">
        <w:rPr>
          <w:rFonts w:ascii="Garamond" w:eastAsia="Calibri" w:hAnsi="Garamond" w:cs="Times New Roman"/>
        </w:rPr>
        <w:t>onely</w:t>
      </w:r>
      <w:proofErr w:type="spellEnd"/>
      <w:r w:rsidRPr="003037D2">
        <w:rPr>
          <w:rFonts w:ascii="Garamond" w:eastAsia="Calibri" w:hAnsi="Garamond" w:cs="Times New Roman"/>
        </w:rPr>
        <w:t xml:space="preserve"> that which is merely necessary, but that which is convenient too; He does not </w:t>
      </w:r>
      <w:proofErr w:type="spellStart"/>
      <w:r w:rsidRPr="003037D2">
        <w:rPr>
          <w:rFonts w:ascii="Garamond" w:eastAsia="Calibri" w:hAnsi="Garamond" w:cs="Times New Roman"/>
        </w:rPr>
        <w:t>onely</w:t>
      </w:r>
      <w:proofErr w:type="spellEnd"/>
      <w:r w:rsidRPr="003037D2">
        <w:rPr>
          <w:rFonts w:ascii="Garamond" w:eastAsia="Calibri" w:hAnsi="Garamond" w:cs="Times New Roman"/>
        </w:rPr>
        <w:t xml:space="preserve"> feed us, but </w:t>
      </w:r>
      <w:r w:rsidRPr="003037D2">
        <w:rPr>
          <w:rFonts w:ascii="Garamond" w:eastAsia="Calibri" w:hAnsi="Garamond" w:cs="Times New Roman"/>
          <w:i/>
          <w:iCs/>
        </w:rPr>
        <w:t xml:space="preserve">feed us with marrow, and with </w:t>
      </w:r>
      <w:proofErr w:type="spellStart"/>
      <w:r w:rsidRPr="003037D2">
        <w:rPr>
          <w:rFonts w:ascii="Garamond" w:eastAsia="Calibri" w:hAnsi="Garamond" w:cs="Times New Roman"/>
          <w:i/>
          <w:iCs/>
        </w:rPr>
        <w:t>fatnesse</w:t>
      </w:r>
      <w:proofErr w:type="spellEnd"/>
      <w:r w:rsidRPr="003037D2">
        <w:rPr>
          <w:rFonts w:ascii="Garamond" w:eastAsia="Calibri" w:hAnsi="Garamond" w:cs="Times New Roman"/>
          <w:i/>
          <w:iCs/>
        </w:rPr>
        <w:t xml:space="preserve">; </w:t>
      </w:r>
      <w:r w:rsidRPr="003037D2">
        <w:rPr>
          <w:rFonts w:ascii="Garamond" w:eastAsia="Calibri" w:hAnsi="Garamond" w:cs="Times New Roman"/>
        </w:rPr>
        <w:t xml:space="preserve">he gives us our instruction in </w:t>
      </w:r>
      <w:proofErr w:type="spellStart"/>
      <w:r w:rsidRPr="003037D2">
        <w:rPr>
          <w:rFonts w:ascii="Garamond" w:eastAsia="Calibri" w:hAnsi="Garamond" w:cs="Times New Roman"/>
        </w:rPr>
        <w:t>cheerfull</w:t>
      </w:r>
      <w:proofErr w:type="spellEnd"/>
      <w:r w:rsidRPr="003037D2">
        <w:rPr>
          <w:rFonts w:ascii="Garamond" w:eastAsia="Calibri" w:hAnsi="Garamond" w:cs="Times New Roman"/>
        </w:rPr>
        <w:t xml:space="preserve"> forms… but </w:t>
      </w:r>
      <w:proofErr w:type="spellStart"/>
      <w:r w:rsidRPr="003037D2">
        <w:rPr>
          <w:rFonts w:ascii="Garamond" w:eastAsia="Calibri" w:hAnsi="Garamond" w:cs="Times New Roman"/>
        </w:rPr>
        <w:t>cheerfull</w:t>
      </w:r>
      <w:proofErr w:type="spellEnd"/>
      <w:r w:rsidRPr="003037D2">
        <w:rPr>
          <w:rFonts w:ascii="Garamond" w:eastAsia="Calibri" w:hAnsi="Garamond" w:cs="Times New Roman"/>
        </w:rPr>
        <w:t xml:space="preserve">, in </w:t>
      </w:r>
      <w:r w:rsidRPr="003037D2">
        <w:rPr>
          <w:rFonts w:ascii="Garamond" w:eastAsia="Calibri" w:hAnsi="Garamond" w:cs="Times New Roman"/>
          <w:i/>
          <w:iCs/>
        </w:rPr>
        <w:t xml:space="preserve">Psalms, </w:t>
      </w:r>
      <w:r w:rsidRPr="003037D2">
        <w:rPr>
          <w:rFonts w:ascii="Garamond" w:eastAsia="Calibri" w:hAnsi="Garamond" w:cs="Times New Roman"/>
        </w:rPr>
        <w:t>which is also a limited, and a restrained form.</w:t>
      </w:r>
      <w:r w:rsidRPr="003037D2">
        <w:rPr>
          <w:rFonts w:ascii="Garamond" w:eastAsia="Calibri" w:hAnsi="Garamond" w:cs="Times New Roman"/>
          <w:vertAlign w:val="superscript"/>
        </w:rPr>
        <w:footnoteReference w:id="395"/>
      </w:r>
      <w:r w:rsidRPr="003037D2">
        <w:rPr>
          <w:rFonts w:ascii="Garamond" w:eastAsia="Calibri" w:hAnsi="Garamond" w:cs="Times New Roman"/>
        </w:rPr>
        <w:t xml:space="preserve"> </w:t>
      </w:r>
    </w:p>
    <w:p w14:paraId="5DE0EA04" w14:textId="77777777" w:rsidR="00667CD5" w:rsidRPr="003037D2" w:rsidRDefault="00667CD5" w:rsidP="00162224">
      <w:pPr>
        <w:ind w:left="737" w:right="737"/>
        <w:rPr>
          <w:rFonts w:ascii="Garamond" w:eastAsia="Calibri" w:hAnsi="Garamond" w:cs="Times New Roman"/>
        </w:rPr>
      </w:pPr>
    </w:p>
    <w:p w14:paraId="2E3E08F8" w14:textId="77777777"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This passage subtly reminds his Lincoln’s Inn audience of his own past as a poet. In a characteristically visceral manner, Donne vividly describes the arrows of the text: ‘For thine arrows stick fast in me, and thy hand </w:t>
      </w:r>
      <w:proofErr w:type="spellStart"/>
      <w:r w:rsidRPr="003037D2">
        <w:rPr>
          <w:rFonts w:ascii="Garamond" w:eastAsia="Calibri" w:hAnsi="Garamond" w:cs="Times New Roman"/>
        </w:rPr>
        <w:t>presseth</w:t>
      </w:r>
      <w:proofErr w:type="spellEnd"/>
      <w:r w:rsidRPr="003037D2">
        <w:rPr>
          <w:rFonts w:ascii="Garamond" w:eastAsia="Calibri" w:hAnsi="Garamond" w:cs="Times New Roman"/>
        </w:rPr>
        <w:t xml:space="preserve"> me sore’. These ‘evils;’ and ‘</w:t>
      </w:r>
      <w:proofErr w:type="spellStart"/>
      <w:r w:rsidRPr="003037D2">
        <w:rPr>
          <w:rFonts w:ascii="Garamond" w:eastAsia="Calibri" w:hAnsi="Garamond" w:cs="Times New Roman"/>
        </w:rPr>
        <w:t>tentations</w:t>
      </w:r>
      <w:proofErr w:type="spellEnd"/>
      <w:r w:rsidRPr="003037D2">
        <w:rPr>
          <w:rFonts w:ascii="Garamond" w:eastAsia="Calibri" w:hAnsi="Garamond" w:cs="Times New Roman"/>
        </w:rPr>
        <w:t xml:space="preserve">’ are presented as sins. Donne explains how we can inflict sins upon ourselves, often by turning backwards: </w:t>
      </w:r>
    </w:p>
    <w:p w14:paraId="1CEACE30" w14:textId="77777777" w:rsidR="00162224" w:rsidRPr="003037D2" w:rsidRDefault="00162224" w:rsidP="00162224">
      <w:pPr>
        <w:ind w:left="737" w:right="737"/>
        <w:rPr>
          <w:rFonts w:ascii="Garamond" w:eastAsia="Calibri" w:hAnsi="Garamond" w:cs="Times New Roman"/>
        </w:rPr>
      </w:pPr>
      <w:r w:rsidRPr="003037D2">
        <w:rPr>
          <w:rFonts w:ascii="Garamond" w:eastAsia="Calibri" w:hAnsi="Garamond" w:cs="Times New Roman"/>
        </w:rPr>
        <w:t xml:space="preserve">After </w:t>
      </w:r>
      <w:proofErr w:type="spellStart"/>
      <w:r w:rsidRPr="003037D2">
        <w:rPr>
          <w:rFonts w:ascii="Garamond" w:eastAsia="Calibri" w:hAnsi="Garamond" w:cs="Times New Roman"/>
        </w:rPr>
        <w:t>wee</w:t>
      </w:r>
      <w:proofErr w:type="spellEnd"/>
      <w:r w:rsidRPr="003037D2">
        <w:rPr>
          <w:rFonts w:ascii="Garamond" w:eastAsia="Calibri" w:hAnsi="Garamond" w:cs="Times New Roman"/>
        </w:rPr>
        <w:t xml:space="preserve"> have </w:t>
      </w:r>
      <w:proofErr w:type="spellStart"/>
      <w:r w:rsidRPr="003037D2">
        <w:rPr>
          <w:rFonts w:ascii="Garamond" w:eastAsia="Calibri" w:hAnsi="Garamond" w:cs="Times New Roman"/>
        </w:rPr>
        <w:t>parled</w:t>
      </w:r>
      <w:proofErr w:type="spellEnd"/>
      <w:r w:rsidRPr="003037D2">
        <w:rPr>
          <w:rFonts w:ascii="Garamond" w:eastAsia="Calibri" w:hAnsi="Garamond" w:cs="Times New Roman"/>
        </w:rPr>
        <w:t xml:space="preserve"> with a </w:t>
      </w:r>
      <w:proofErr w:type="spellStart"/>
      <w:r w:rsidRPr="003037D2">
        <w:rPr>
          <w:rFonts w:ascii="Garamond" w:eastAsia="Calibri" w:hAnsi="Garamond" w:cs="Times New Roman"/>
        </w:rPr>
        <w:t>tentation</w:t>
      </w:r>
      <w:proofErr w:type="spellEnd"/>
      <w:r w:rsidRPr="003037D2">
        <w:rPr>
          <w:rFonts w:ascii="Garamond" w:eastAsia="Calibri" w:hAnsi="Garamond" w:cs="Times New Roman"/>
        </w:rPr>
        <w:t xml:space="preserve">, debated whether we should embrace it or no, and entertained some discourse with it, though some </w:t>
      </w:r>
      <w:proofErr w:type="spellStart"/>
      <w:r w:rsidRPr="003037D2">
        <w:rPr>
          <w:rFonts w:ascii="Garamond" w:eastAsia="Calibri" w:hAnsi="Garamond" w:cs="Times New Roman"/>
        </w:rPr>
        <w:t>tendernesse</w:t>
      </w:r>
      <w:proofErr w:type="spellEnd"/>
      <w:r w:rsidRPr="003037D2">
        <w:rPr>
          <w:rFonts w:ascii="Garamond" w:eastAsia="Calibri" w:hAnsi="Garamond" w:cs="Times New Roman"/>
        </w:rPr>
        <w:t xml:space="preserve">, some remorse, make us turn our back upon it, and depart a little from it, yet the arrow overtakes us; some </w:t>
      </w:r>
      <w:proofErr w:type="spellStart"/>
      <w:r w:rsidRPr="003037D2">
        <w:rPr>
          <w:rFonts w:ascii="Garamond" w:eastAsia="Calibri" w:hAnsi="Garamond" w:cs="Times New Roman"/>
          <w:i/>
          <w:iCs/>
        </w:rPr>
        <w:t>reclinations</w:t>
      </w:r>
      <w:proofErr w:type="spellEnd"/>
      <w:r w:rsidRPr="003037D2">
        <w:rPr>
          <w:rFonts w:ascii="Garamond" w:eastAsia="Calibri" w:hAnsi="Garamond" w:cs="Times New Roman"/>
          <w:i/>
          <w:iCs/>
        </w:rPr>
        <w:t xml:space="preserve">, </w:t>
      </w:r>
      <w:r w:rsidRPr="003037D2">
        <w:rPr>
          <w:rFonts w:ascii="Garamond" w:eastAsia="Calibri" w:hAnsi="Garamond" w:cs="Times New Roman"/>
        </w:rPr>
        <w:t xml:space="preserve">some </w:t>
      </w:r>
      <w:proofErr w:type="spellStart"/>
      <w:r w:rsidRPr="003037D2">
        <w:rPr>
          <w:rFonts w:ascii="Garamond" w:eastAsia="Calibri" w:hAnsi="Garamond" w:cs="Times New Roman"/>
          <w:i/>
          <w:iCs/>
        </w:rPr>
        <w:t>retrospects</w:t>
      </w:r>
      <w:proofErr w:type="spellEnd"/>
      <w:r w:rsidRPr="003037D2">
        <w:rPr>
          <w:rFonts w:ascii="Garamond" w:eastAsia="Calibri" w:hAnsi="Garamond" w:cs="Times New Roman"/>
          <w:i/>
          <w:iCs/>
        </w:rPr>
        <w:t xml:space="preserve"> </w:t>
      </w:r>
      <w:r w:rsidRPr="003037D2">
        <w:rPr>
          <w:rFonts w:ascii="Garamond" w:eastAsia="Calibri" w:hAnsi="Garamond" w:cs="Times New Roman"/>
        </w:rPr>
        <w:t xml:space="preserve">we have, a little of </w:t>
      </w:r>
      <w:r w:rsidRPr="003037D2">
        <w:rPr>
          <w:rFonts w:ascii="Garamond" w:eastAsia="Calibri" w:hAnsi="Garamond" w:cs="Times New Roman"/>
          <w:i/>
          <w:iCs/>
        </w:rPr>
        <w:t xml:space="preserve">Lots wife </w:t>
      </w:r>
      <w:r w:rsidRPr="003037D2">
        <w:rPr>
          <w:rFonts w:ascii="Garamond" w:eastAsia="Calibri" w:hAnsi="Garamond" w:cs="Times New Roman"/>
        </w:rPr>
        <w:t xml:space="preserve">is in us, a little </w:t>
      </w:r>
      <w:proofErr w:type="spellStart"/>
      <w:r w:rsidRPr="003037D2">
        <w:rPr>
          <w:rFonts w:ascii="Garamond" w:eastAsia="Calibri" w:hAnsi="Garamond" w:cs="Times New Roman"/>
          <w:i/>
          <w:iCs/>
        </w:rPr>
        <w:t>sociablenesse</w:t>
      </w:r>
      <w:proofErr w:type="spellEnd"/>
      <w:r w:rsidRPr="003037D2">
        <w:rPr>
          <w:rFonts w:ascii="Garamond" w:eastAsia="Calibri" w:hAnsi="Garamond" w:cs="Times New Roman"/>
          <w:i/>
          <w:iCs/>
        </w:rPr>
        <w:t xml:space="preserve">, </w:t>
      </w:r>
      <w:r w:rsidRPr="003037D2">
        <w:rPr>
          <w:rFonts w:ascii="Garamond" w:eastAsia="Calibri" w:hAnsi="Garamond" w:cs="Times New Roman"/>
        </w:rPr>
        <w:t xml:space="preserve">and </w:t>
      </w:r>
      <w:r w:rsidRPr="003037D2">
        <w:rPr>
          <w:rFonts w:ascii="Garamond" w:eastAsia="Calibri" w:hAnsi="Garamond" w:cs="Times New Roman"/>
          <w:i/>
          <w:iCs/>
        </w:rPr>
        <w:t xml:space="preserve">conversation… for want of </w:t>
      </w:r>
      <w:r w:rsidRPr="003037D2">
        <w:rPr>
          <w:rFonts w:ascii="Garamond" w:eastAsia="Calibri" w:hAnsi="Garamond" w:cs="Times New Roman"/>
        </w:rPr>
        <w:t>us,</w:t>
      </w:r>
      <w:r w:rsidRPr="003037D2">
        <w:rPr>
          <w:rFonts w:ascii="Garamond" w:eastAsia="Calibri" w:hAnsi="Garamond" w:cs="Times New Roman"/>
          <w:i/>
          <w:iCs/>
        </w:rPr>
        <w:t xml:space="preserve"> </w:t>
      </w:r>
      <w:r w:rsidRPr="003037D2">
        <w:rPr>
          <w:rFonts w:ascii="Garamond" w:eastAsia="Calibri" w:hAnsi="Garamond" w:cs="Times New Roman"/>
        </w:rPr>
        <w:t xml:space="preserve">a little of this, </w:t>
      </w:r>
      <w:proofErr w:type="spellStart"/>
      <w:r w:rsidRPr="003037D2">
        <w:rPr>
          <w:rFonts w:ascii="Garamond" w:eastAsia="Calibri" w:hAnsi="Garamond" w:cs="Times New Roman"/>
        </w:rPr>
        <w:t>whichis</w:t>
      </w:r>
      <w:proofErr w:type="spellEnd"/>
      <w:r w:rsidRPr="003037D2">
        <w:rPr>
          <w:rFonts w:ascii="Garamond" w:eastAsia="Calibri" w:hAnsi="Garamond" w:cs="Times New Roman"/>
        </w:rPr>
        <w:t xml:space="preserve"> but the good nature of the </w:t>
      </w:r>
      <w:proofErr w:type="spellStart"/>
      <w:r w:rsidRPr="003037D2">
        <w:rPr>
          <w:rFonts w:ascii="Garamond" w:eastAsia="Calibri" w:hAnsi="Garamond" w:cs="Times New Roman"/>
          <w:i/>
          <w:iCs/>
        </w:rPr>
        <w:t>Devill</w:t>
      </w:r>
      <w:proofErr w:type="spellEnd"/>
      <w:r w:rsidRPr="003037D2">
        <w:rPr>
          <w:rFonts w:ascii="Garamond" w:eastAsia="Calibri" w:hAnsi="Garamond" w:cs="Times New Roman"/>
          <w:i/>
          <w:iCs/>
        </w:rPr>
        <w:t xml:space="preserve">, </w:t>
      </w:r>
      <w:r w:rsidRPr="003037D2">
        <w:rPr>
          <w:rFonts w:ascii="Garamond" w:eastAsia="Calibri" w:hAnsi="Garamond" w:cs="Times New Roman"/>
        </w:rPr>
        <w:t xml:space="preserve">arrests us, stops us, fixes us, till the arrow, the </w:t>
      </w:r>
      <w:proofErr w:type="spellStart"/>
      <w:r w:rsidRPr="003037D2">
        <w:rPr>
          <w:rFonts w:ascii="Garamond" w:eastAsia="Calibri" w:hAnsi="Garamond" w:cs="Times New Roman"/>
        </w:rPr>
        <w:t>tentation</w:t>
      </w:r>
      <w:proofErr w:type="spellEnd"/>
      <w:r w:rsidRPr="003037D2">
        <w:rPr>
          <w:rFonts w:ascii="Garamond" w:eastAsia="Calibri" w:hAnsi="Garamond" w:cs="Times New Roman"/>
        </w:rPr>
        <w:t xml:space="preserve"> shoot us in the back, even when </w:t>
      </w:r>
      <w:proofErr w:type="spellStart"/>
      <w:r w:rsidRPr="003037D2">
        <w:rPr>
          <w:rFonts w:ascii="Garamond" w:eastAsia="Calibri" w:hAnsi="Garamond" w:cs="Times New Roman"/>
        </w:rPr>
        <w:t>wee</w:t>
      </w:r>
      <w:proofErr w:type="spellEnd"/>
      <w:r w:rsidRPr="003037D2">
        <w:rPr>
          <w:rFonts w:ascii="Garamond" w:eastAsia="Calibri" w:hAnsi="Garamond" w:cs="Times New Roman"/>
        </w:rPr>
        <w:t xml:space="preserve"> had a purpose of departing from that sin, and </w:t>
      </w:r>
      <w:proofErr w:type="spellStart"/>
      <w:r w:rsidRPr="003037D2">
        <w:rPr>
          <w:rFonts w:ascii="Garamond" w:eastAsia="Calibri" w:hAnsi="Garamond" w:cs="Times New Roman"/>
        </w:rPr>
        <w:t>kil</w:t>
      </w:r>
      <w:proofErr w:type="spellEnd"/>
      <w:r w:rsidRPr="003037D2">
        <w:rPr>
          <w:rFonts w:ascii="Garamond" w:eastAsia="Calibri" w:hAnsi="Garamond" w:cs="Times New Roman"/>
        </w:rPr>
        <w:t xml:space="preserve"> us over again.</w:t>
      </w:r>
      <w:r w:rsidRPr="003037D2">
        <w:rPr>
          <w:rFonts w:ascii="Garamond" w:eastAsia="Calibri" w:hAnsi="Garamond" w:cs="Times New Roman"/>
          <w:vertAlign w:val="superscript"/>
        </w:rPr>
        <w:footnoteReference w:id="396"/>
      </w:r>
    </w:p>
    <w:p w14:paraId="76F4D4D6" w14:textId="77777777" w:rsidR="00162224" w:rsidRPr="003037D2" w:rsidRDefault="00162224" w:rsidP="00162224">
      <w:pPr>
        <w:spacing w:line="360" w:lineRule="auto"/>
        <w:rPr>
          <w:rFonts w:ascii="Garamond" w:eastAsia="Calibri" w:hAnsi="Garamond" w:cs="Times New Roman"/>
        </w:rPr>
      </w:pPr>
    </w:p>
    <w:p w14:paraId="299607EF" w14:textId="77777777"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The urge for ‘retrospection’, here used to mean ‘the action or an act of contemplating the past, esp. with reference to one’s own life or experience’ in a coinage predating the OED’s current earliest use of this term, can be a dangerous one.</w:t>
      </w:r>
      <w:r w:rsidRPr="003037D2">
        <w:rPr>
          <w:rFonts w:ascii="Garamond" w:eastAsia="Calibri" w:hAnsi="Garamond" w:cs="Times New Roman"/>
          <w:vertAlign w:val="superscript"/>
        </w:rPr>
        <w:footnoteReference w:id="397"/>
      </w:r>
      <w:r w:rsidRPr="003037D2">
        <w:rPr>
          <w:rFonts w:ascii="Garamond" w:eastAsia="Calibri" w:hAnsi="Garamond" w:cs="Times New Roman"/>
        </w:rPr>
        <w:t xml:space="preserve">  </w:t>
      </w:r>
    </w:p>
    <w:p w14:paraId="7BBB2EC4" w14:textId="77777777" w:rsidR="00162224" w:rsidRPr="003037D2" w:rsidRDefault="00162224" w:rsidP="00162224">
      <w:pPr>
        <w:spacing w:line="360" w:lineRule="auto"/>
        <w:rPr>
          <w:rFonts w:ascii="Garamond" w:eastAsia="Calibri" w:hAnsi="Garamond" w:cs="Times New Roman"/>
        </w:rPr>
      </w:pPr>
    </w:p>
    <w:p w14:paraId="56FE1854" w14:textId="77777777"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This turning back can indicate weakness. However, as Donne states towards the end of the sermon: </w:t>
      </w:r>
    </w:p>
    <w:p w14:paraId="6CF8238F" w14:textId="4CFDDE33" w:rsidR="00162224" w:rsidRDefault="00162224" w:rsidP="00162224">
      <w:pPr>
        <w:ind w:left="737" w:right="737"/>
        <w:rPr>
          <w:rFonts w:ascii="Garamond" w:eastAsia="Calibri" w:hAnsi="Garamond" w:cs="Times New Roman"/>
          <w:i/>
          <w:iCs/>
        </w:rPr>
      </w:pPr>
      <w:r w:rsidRPr="003037D2">
        <w:rPr>
          <w:rFonts w:ascii="Garamond" w:eastAsia="Calibri" w:hAnsi="Garamond" w:cs="Times New Roman"/>
        </w:rPr>
        <w:t xml:space="preserve">The Psalm hath a </w:t>
      </w:r>
      <w:r w:rsidRPr="003037D2">
        <w:rPr>
          <w:rFonts w:ascii="Garamond" w:eastAsia="Calibri" w:hAnsi="Garamond" w:cs="Times New Roman"/>
          <w:i/>
          <w:iCs/>
        </w:rPr>
        <w:t xml:space="preserve">retrospect </w:t>
      </w:r>
      <w:r w:rsidRPr="003037D2">
        <w:rPr>
          <w:rFonts w:ascii="Garamond" w:eastAsia="Calibri" w:hAnsi="Garamond" w:cs="Times New Roman"/>
        </w:rPr>
        <w:t xml:space="preserve">too, it looks back to Adam, and to every </w:t>
      </w:r>
      <w:proofErr w:type="gramStart"/>
      <w:r w:rsidRPr="003037D2">
        <w:rPr>
          <w:rFonts w:ascii="Garamond" w:eastAsia="Calibri" w:hAnsi="Garamond" w:cs="Times New Roman"/>
        </w:rPr>
        <w:t>particular man</w:t>
      </w:r>
      <w:proofErr w:type="gramEnd"/>
      <w:r w:rsidRPr="003037D2">
        <w:rPr>
          <w:rFonts w:ascii="Garamond" w:eastAsia="Calibri" w:hAnsi="Garamond" w:cs="Times New Roman"/>
        </w:rPr>
        <w:t xml:space="preserve"> in his </w:t>
      </w:r>
      <w:proofErr w:type="spellStart"/>
      <w:r w:rsidRPr="003037D2">
        <w:rPr>
          <w:rFonts w:ascii="Garamond" w:eastAsia="Calibri" w:hAnsi="Garamond" w:cs="Times New Roman"/>
        </w:rPr>
        <w:t>loines</w:t>
      </w:r>
      <w:proofErr w:type="spellEnd"/>
      <w:r w:rsidRPr="003037D2">
        <w:rPr>
          <w:rFonts w:ascii="Garamond" w:eastAsia="Calibri" w:hAnsi="Garamond" w:cs="Times New Roman"/>
        </w:rPr>
        <w:t xml:space="preserve">, and so, </w:t>
      </w:r>
      <w:proofErr w:type="spellStart"/>
      <w:r w:rsidRPr="003037D2">
        <w:rPr>
          <w:rFonts w:ascii="Garamond" w:eastAsia="Calibri" w:hAnsi="Garamond" w:cs="Times New Roman"/>
          <w:i/>
          <w:iCs/>
        </w:rPr>
        <w:t>Davids</w:t>
      </w:r>
      <w:proofErr w:type="spellEnd"/>
      <w:r w:rsidRPr="003037D2">
        <w:rPr>
          <w:rFonts w:ascii="Garamond" w:eastAsia="Calibri" w:hAnsi="Garamond" w:cs="Times New Roman"/>
          <w:i/>
          <w:iCs/>
        </w:rPr>
        <w:t xml:space="preserve"> </w:t>
      </w:r>
      <w:r w:rsidRPr="003037D2">
        <w:rPr>
          <w:rFonts w:ascii="Garamond" w:eastAsia="Calibri" w:hAnsi="Garamond" w:cs="Times New Roman"/>
        </w:rPr>
        <w:t xml:space="preserve">case is our case, and all these arrows stick in all us. But the Psalm and the text hath also a </w:t>
      </w:r>
      <w:r w:rsidRPr="003037D2">
        <w:rPr>
          <w:rFonts w:ascii="Garamond" w:eastAsia="Calibri" w:hAnsi="Garamond" w:cs="Times New Roman"/>
          <w:i/>
          <w:iCs/>
        </w:rPr>
        <w:t xml:space="preserve">prospect, </w:t>
      </w:r>
      <w:r w:rsidRPr="003037D2">
        <w:rPr>
          <w:rFonts w:ascii="Garamond" w:eastAsia="Calibri" w:hAnsi="Garamond" w:cs="Times New Roman"/>
        </w:rPr>
        <w:t xml:space="preserve">and </w:t>
      </w:r>
      <w:r w:rsidRPr="003037D2">
        <w:rPr>
          <w:rFonts w:ascii="Garamond" w:eastAsia="Calibri" w:hAnsi="Garamond" w:cs="Times New Roman"/>
        </w:rPr>
        <w:lastRenderedPageBreak/>
        <w:t xml:space="preserve">hath a </w:t>
      </w:r>
      <w:proofErr w:type="spellStart"/>
      <w:r w:rsidRPr="003037D2">
        <w:rPr>
          <w:rFonts w:ascii="Garamond" w:eastAsia="Calibri" w:hAnsi="Garamond" w:cs="Times New Roman"/>
          <w:i/>
          <w:iCs/>
        </w:rPr>
        <w:t>propheticall</w:t>
      </w:r>
      <w:proofErr w:type="spellEnd"/>
      <w:r w:rsidRPr="003037D2">
        <w:rPr>
          <w:rFonts w:ascii="Garamond" w:eastAsia="Calibri" w:hAnsi="Garamond" w:cs="Times New Roman"/>
          <w:i/>
          <w:iCs/>
        </w:rPr>
        <w:t xml:space="preserve"> </w:t>
      </w:r>
      <w:r w:rsidRPr="003037D2">
        <w:rPr>
          <w:rFonts w:ascii="Garamond" w:eastAsia="Calibri" w:hAnsi="Garamond" w:cs="Times New Roman"/>
        </w:rPr>
        <w:t xml:space="preserve">relation from David to our </w:t>
      </w:r>
      <w:proofErr w:type="spellStart"/>
      <w:r w:rsidRPr="003037D2">
        <w:rPr>
          <w:rFonts w:ascii="Garamond" w:eastAsia="Calibri" w:hAnsi="Garamond" w:cs="Times New Roman"/>
        </w:rPr>
        <w:t>saviour</w:t>
      </w:r>
      <w:proofErr w:type="spellEnd"/>
      <w:r w:rsidRPr="003037D2">
        <w:rPr>
          <w:rFonts w:ascii="Garamond" w:eastAsia="Calibri" w:hAnsi="Garamond" w:cs="Times New Roman"/>
        </w:rPr>
        <w:t xml:space="preserve"> Christ Jesus…. </w:t>
      </w:r>
      <w:proofErr w:type="spellStart"/>
      <w:r w:rsidRPr="003037D2">
        <w:rPr>
          <w:rFonts w:ascii="Garamond" w:eastAsia="Calibri" w:hAnsi="Garamond" w:cs="Times New Roman"/>
        </w:rPr>
        <w:t>Turne</w:t>
      </w:r>
      <w:proofErr w:type="spellEnd"/>
      <w:r w:rsidRPr="003037D2">
        <w:rPr>
          <w:rFonts w:ascii="Garamond" w:eastAsia="Calibri" w:hAnsi="Garamond" w:cs="Times New Roman"/>
        </w:rPr>
        <w:t xml:space="preserve"> we therefore to him, before we </w:t>
      </w:r>
      <w:proofErr w:type="spellStart"/>
      <w:r w:rsidRPr="003037D2">
        <w:rPr>
          <w:rFonts w:ascii="Garamond" w:eastAsia="Calibri" w:hAnsi="Garamond" w:cs="Times New Roman"/>
        </w:rPr>
        <w:t>goe</w:t>
      </w:r>
      <w:proofErr w:type="spellEnd"/>
      <w:r w:rsidRPr="003037D2">
        <w:rPr>
          <w:rFonts w:ascii="Garamond" w:eastAsia="Calibri" w:hAnsi="Garamond" w:cs="Times New Roman"/>
        </w:rPr>
        <w:t>, and he shall return home with us.</w:t>
      </w:r>
      <w:r w:rsidRPr="003037D2">
        <w:rPr>
          <w:rFonts w:ascii="Garamond" w:eastAsia="Calibri" w:hAnsi="Garamond" w:cs="Times New Roman"/>
          <w:vertAlign w:val="superscript"/>
        </w:rPr>
        <w:footnoteReference w:id="398"/>
      </w:r>
      <w:r w:rsidRPr="003037D2">
        <w:rPr>
          <w:rFonts w:ascii="Garamond" w:eastAsia="Calibri" w:hAnsi="Garamond" w:cs="Times New Roman"/>
          <w:i/>
          <w:iCs/>
        </w:rPr>
        <w:t xml:space="preserve"> </w:t>
      </w:r>
    </w:p>
    <w:p w14:paraId="4242391F" w14:textId="77777777" w:rsidR="00667CD5" w:rsidRPr="003037D2" w:rsidRDefault="00667CD5" w:rsidP="00162224">
      <w:pPr>
        <w:ind w:left="737" w:right="737"/>
        <w:rPr>
          <w:rFonts w:ascii="Garamond" w:eastAsia="Calibri" w:hAnsi="Garamond" w:cs="Times New Roman"/>
          <w:i/>
          <w:iCs/>
        </w:rPr>
      </w:pPr>
    </w:p>
    <w:p w14:paraId="06790503" w14:textId="77777777"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The turn is prophetic, inducing a response from Christ. The ‘retrospective’ nature of the Psalm is in many ways its strength: offering access to an unbroken chain of biblical </w:t>
      </w:r>
      <w:proofErr w:type="gramStart"/>
      <w:r w:rsidRPr="003037D2">
        <w:rPr>
          <w:rFonts w:ascii="Garamond" w:eastAsia="Calibri" w:hAnsi="Garamond" w:cs="Times New Roman"/>
        </w:rPr>
        <w:t>figures, and</w:t>
      </w:r>
      <w:proofErr w:type="gramEnd"/>
      <w:r w:rsidRPr="003037D2">
        <w:rPr>
          <w:rFonts w:ascii="Garamond" w:eastAsia="Calibri" w:hAnsi="Garamond" w:cs="Times New Roman"/>
        </w:rPr>
        <w:t xml:space="preserve"> bringing the reader and the auditor of the sermon into personal contact, and identification with, David. However, this backwards turn has its mirror image, in the ‘prospect’ and ‘prophetical relation’ between David and Christ. The time which is being looked back on is one which has prophetical powers, and so in the action of accessing the past, the reader ensures a future communion, Christ returning ‘home with </w:t>
      </w:r>
      <w:proofErr w:type="gramStart"/>
      <w:r w:rsidRPr="003037D2">
        <w:rPr>
          <w:rFonts w:ascii="Garamond" w:eastAsia="Calibri" w:hAnsi="Garamond" w:cs="Times New Roman"/>
        </w:rPr>
        <w:t>us’</w:t>
      </w:r>
      <w:proofErr w:type="gramEnd"/>
      <w:r w:rsidRPr="003037D2">
        <w:rPr>
          <w:rFonts w:ascii="Garamond" w:eastAsia="Calibri" w:hAnsi="Garamond" w:cs="Times New Roman"/>
        </w:rPr>
        <w:t xml:space="preserve">. In Philip Sidney’s rendering of Psalm 38, </w:t>
      </w:r>
      <w:proofErr w:type="spellStart"/>
      <w:r w:rsidRPr="003037D2">
        <w:rPr>
          <w:rFonts w:ascii="Garamond" w:eastAsia="Calibri" w:hAnsi="Garamond" w:cs="Times New Roman"/>
          <w:i/>
          <w:iCs/>
        </w:rPr>
        <w:t>Domine</w:t>
      </w:r>
      <w:proofErr w:type="spellEnd"/>
      <w:r w:rsidRPr="003037D2">
        <w:rPr>
          <w:rFonts w:ascii="Garamond" w:eastAsia="Calibri" w:hAnsi="Garamond" w:cs="Times New Roman"/>
          <w:i/>
          <w:iCs/>
        </w:rPr>
        <w:t xml:space="preserve">, ne in </w:t>
      </w:r>
      <w:proofErr w:type="spellStart"/>
      <w:r w:rsidRPr="003037D2">
        <w:rPr>
          <w:rFonts w:ascii="Garamond" w:eastAsia="Calibri" w:hAnsi="Garamond" w:cs="Times New Roman"/>
          <w:i/>
          <w:iCs/>
        </w:rPr>
        <w:t>Furore</w:t>
      </w:r>
      <w:proofErr w:type="spellEnd"/>
      <w:r w:rsidRPr="003037D2">
        <w:rPr>
          <w:rFonts w:ascii="Garamond" w:eastAsia="Calibri" w:hAnsi="Garamond" w:cs="Times New Roman"/>
          <w:i/>
          <w:iCs/>
        </w:rPr>
        <w:t xml:space="preserve">, </w:t>
      </w:r>
      <w:r w:rsidRPr="003037D2">
        <w:rPr>
          <w:rFonts w:ascii="Garamond" w:eastAsia="Calibri" w:hAnsi="Garamond" w:cs="Times New Roman"/>
        </w:rPr>
        <w:t>he similarly depicts a bent and turning psalmist, one who’s ‘</w:t>
      </w:r>
      <w:proofErr w:type="spellStart"/>
      <w:r w:rsidRPr="003037D2">
        <w:rPr>
          <w:rFonts w:ascii="Garamond" w:eastAsia="Calibri" w:hAnsi="Garamond" w:cs="Times New Roman"/>
        </w:rPr>
        <w:t>woundes</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putrify</w:t>
      </w:r>
      <w:proofErr w:type="spellEnd"/>
      <w:r w:rsidRPr="003037D2">
        <w:rPr>
          <w:rFonts w:ascii="Garamond" w:eastAsia="Calibri" w:hAnsi="Garamond" w:cs="Times New Roman"/>
        </w:rPr>
        <w:t xml:space="preserve"> and </w:t>
      </w:r>
      <w:proofErr w:type="spellStart"/>
      <w:r w:rsidRPr="003037D2">
        <w:rPr>
          <w:rFonts w:ascii="Garamond" w:eastAsia="Calibri" w:hAnsi="Garamond" w:cs="Times New Roman"/>
        </w:rPr>
        <w:t>stinck</w:t>
      </w:r>
      <w:proofErr w:type="spellEnd"/>
      <w:r w:rsidRPr="003037D2">
        <w:rPr>
          <w:rFonts w:ascii="Garamond" w:eastAsia="Calibri" w:hAnsi="Garamond" w:cs="Times New Roman"/>
        </w:rPr>
        <w:t>’ and declares ‘Earthly I do bow and crook’, oppressed by the ‘</w:t>
      </w:r>
      <w:proofErr w:type="spellStart"/>
      <w:r w:rsidRPr="003037D2">
        <w:rPr>
          <w:rFonts w:ascii="Garamond" w:eastAsia="Calibri" w:hAnsi="Garamond" w:cs="Times New Roman"/>
        </w:rPr>
        <w:t>foule</w:t>
      </w:r>
      <w:proofErr w:type="spellEnd"/>
      <w:r w:rsidRPr="003037D2">
        <w:rPr>
          <w:rFonts w:ascii="Garamond" w:eastAsia="Calibri" w:hAnsi="Garamond" w:cs="Times New Roman"/>
        </w:rPr>
        <w:t xml:space="preserve"> weights’ of their sins. However, as in Psalm 51, this is balanced by recourse to speech:</w:t>
      </w:r>
    </w:p>
    <w:p w14:paraId="6BC1F278"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 xml:space="preserve">But I, like a </w:t>
      </w:r>
      <w:proofErr w:type="spellStart"/>
      <w:r w:rsidRPr="003037D2">
        <w:rPr>
          <w:rFonts w:ascii="Garamond" w:eastAsia="Calibri" w:hAnsi="Garamond" w:cs="Times New Roman"/>
        </w:rPr>
        <w:t>mann</w:t>
      </w:r>
      <w:proofErr w:type="spellEnd"/>
      <w:r w:rsidRPr="003037D2">
        <w:rPr>
          <w:rFonts w:ascii="Garamond" w:eastAsia="Calibri" w:hAnsi="Garamond" w:cs="Times New Roman"/>
        </w:rPr>
        <w:t xml:space="preserve"> become</w:t>
      </w:r>
    </w:p>
    <w:p w14:paraId="0A7FD025"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ab/>
      </w:r>
      <w:proofErr w:type="spellStart"/>
      <w:r w:rsidRPr="003037D2">
        <w:rPr>
          <w:rFonts w:ascii="Garamond" w:eastAsia="Calibri" w:hAnsi="Garamond" w:cs="Times New Roman"/>
        </w:rPr>
        <w:t>Deafe</w:t>
      </w:r>
      <w:proofErr w:type="spellEnd"/>
      <w:r w:rsidRPr="003037D2">
        <w:rPr>
          <w:rFonts w:ascii="Garamond" w:eastAsia="Calibri" w:hAnsi="Garamond" w:cs="Times New Roman"/>
        </w:rPr>
        <w:t xml:space="preserve"> and dumb, </w:t>
      </w:r>
    </w:p>
    <w:p w14:paraId="6460DA4E"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 xml:space="preserve">Little hearing, speaking </w:t>
      </w:r>
      <w:proofErr w:type="spellStart"/>
      <w:r w:rsidRPr="003037D2">
        <w:rPr>
          <w:rFonts w:ascii="Garamond" w:eastAsia="Calibri" w:hAnsi="Garamond" w:cs="Times New Roman"/>
        </w:rPr>
        <w:t>lesse</w:t>
      </w:r>
      <w:proofErr w:type="spellEnd"/>
      <w:r w:rsidRPr="003037D2">
        <w:rPr>
          <w:rFonts w:ascii="Garamond" w:eastAsia="Calibri" w:hAnsi="Garamond" w:cs="Times New Roman"/>
        </w:rPr>
        <w:t xml:space="preserve">, </w:t>
      </w:r>
    </w:p>
    <w:p w14:paraId="72A3CB62"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 xml:space="preserve">I, even as such kind of </w:t>
      </w:r>
      <w:proofErr w:type="spellStart"/>
      <w:r w:rsidRPr="003037D2">
        <w:rPr>
          <w:rFonts w:ascii="Garamond" w:eastAsia="Calibri" w:hAnsi="Garamond" w:cs="Times New Roman"/>
        </w:rPr>
        <w:t>wight</w:t>
      </w:r>
      <w:proofErr w:type="spellEnd"/>
      <w:r w:rsidRPr="003037D2">
        <w:rPr>
          <w:rFonts w:ascii="Garamond" w:eastAsia="Calibri" w:hAnsi="Garamond" w:cs="Times New Roman"/>
        </w:rPr>
        <w:t xml:space="preserve">, </w:t>
      </w:r>
    </w:p>
    <w:p w14:paraId="10BE61C5"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ab/>
      </w:r>
      <w:proofErr w:type="spellStart"/>
      <w:r w:rsidRPr="003037D2">
        <w:rPr>
          <w:rFonts w:ascii="Garamond" w:eastAsia="Calibri" w:hAnsi="Garamond" w:cs="Times New Roman"/>
        </w:rPr>
        <w:t>Sencelesse</w:t>
      </w:r>
      <w:proofErr w:type="spellEnd"/>
      <w:r w:rsidRPr="003037D2">
        <w:rPr>
          <w:rFonts w:ascii="Garamond" w:eastAsia="Calibri" w:hAnsi="Garamond" w:cs="Times New Roman"/>
        </w:rPr>
        <w:t xml:space="preserve"> </w:t>
      </w:r>
      <w:proofErr w:type="gramStart"/>
      <w:r w:rsidRPr="003037D2">
        <w:rPr>
          <w:rFonts w:ascii="Garamond" w:eastAsia="Calibri" w:hAnsi="Garamond" w:cs="Times New Roman"/>
        </w:rPr>
        <w:t>quite</w:t>
      </w:r>
      <w:proofErr w:type="gramEnd"/>
      <w:r w:rsidRPr="003037D2">
        <w:rPr>
          <w:rFonts w:ascii="Garamond" w:eastAsia="Calibri" w:hAnsi="Garamond" w:cs="Times New Roman"/>
        </w:rPr>
        <w:t xml:space="preserve">, </w:t>
      </w:r>
    </w:p>
    <w:p w14:paraId="72B97D15"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 xml:space="preserve">Word with word do not </w:t>
      </w:r>
      <w:proofErr w:type="spellStart"/>
      <w:r w:rsidRPr="003037D2">
        <w:rPr>
          <w:rFonts w:ascii="Garamond" w:eastAsia="Calibri" w:hAnsi="Garamond" w:cs="Times New Roman"/>
        </w:rPr>
        <w:t>represse</w:t>
      </w:r>
      <w:proofErr w:type="spellEnd"/>
      <w:r w:rsidRPr="003037D2">
        <w:rPr>
          <w:rFonts w:ascii="Garamond" w:eastAsia="Calibri" w:hAnsi="Garamond" w:cs="Times New Roman"/>
        </w:rPr>
        <w:t xml:space="preserve">. </w:t>
      </w:r>
    </w:p>
    <w:p w14:paraId="51008983" w14:textId="77777777" w:rsidR="00162224" w:rsidRPr="003037D2" w:rsidRDefault="00162224" w:rsidP="00162224">
      <w:pPr>
        <w:ind w:left="2880"/>
        <w:rPr>
          <w:rFonts w:ascii="Garamond" w:eastAsia="Calibri" w:hAnsi="Garamond" w:cs="Times New Roman"/>
        </w:rPr>
      </w:pPr>
    </w:p>
    <w:p w14:paraId="1CA83C3C" w14:textId="4C4BAC94" w:rsidR="009E481A"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The communicative model the Psalms offer is a fraught one. The psalmist is always hovering on the verge of despair, </w:t>
      </w:r>
      <w:r w:rsidR="00164AB4" w:rsidRPr="003037D2">
        <w:rPr>
          <w:rFonts w:ascii="Garamond" w:eastAsia="Calibri" w:hAnsi="Garamond" w:cs="Times New Roman"/>
        </w:rPr>
        <w:t>at</w:t>
      </w:r>
      <w:r w:rsidRPr="003037D2">
        <w:rPr>
          <w:rFonts w:ascii="Garamond" w:eastAsia="Calibri" w:hAnsi="Garamond" w:cs="Times New Roman"/>
        </w:rPr>
        <w:t xml:space="preserve"> the breakdown of all the senses and of their body. However, it is this bowed, stuttering body that provides point of contact with David, and by extension Christ. In </w:t>
      </w:r>
      <w:proofErr w:type="spellStart"/>
      <w:r w:rsidRPr="003037D2">
        <w:rPr>
          <w:rFonts w:ascii="Garamond" w:eastAsia="Calibri" w:hAnsi="Garamond" w:cs="Times New Roman"/>
        </w:rPr>
        <w:t>emphasising</w:t>
      </w:r>
      <w:proofErr w:type="spellEnd"/>
      <w:r w:rsidRPr="003037D2">
        <w:rPr>
          <w:rFonts w:ascii="Garamond" w:eastAsia="Calibri" w:hAnsi="Garamond" w:cs="Times New Roman"/>
        </w:rPr>
        <w:t xml:space="preserve"> the immediate experience of suffering, the Lock and Sidney</w:t>
      </w:r>
      <w:r w:rsidR="002F1250">
        <w:rPr>
          <w:rFonts w:ascii="Garamond" w:eastAsia="Calibri" w:hAnsi="Garamond" w:cs="Times New Roman"/>
        </w:rPr>
        <w:t xml:space="preserve"> Herbert</w:t>
      </w:r>
      <w:r w:rsidRPr="003037D2">
        <w:rPr>
          <w:rFonts w:ascii="Garamond" w:eastAsia="Calibri" w:hAnsi="Garamond" w:cs="Times New Roman"/>
        </w:rPr>
        <w:t xml:space="preserve">’s psalmist creates a timeless experience. Whilst Matthew Parker suffered over his translation, his attempt to create a text that joined together differing parties and provided an indisputable pattern has caused lasting controversy for subsequent readers. Presenting a psalm as a single moment for the persecuted to voice their distress perhaps surprisingly results in a text that is both occasional and timeless. </w:t>
      </w:r>
    </w:p>
    <w:p w14:paraId="0E287D3D" w14:textId="77777777" w:rsidR="009E481A" w:rsidRDefault="009E481A">
      <w:pPr>
        <w:rPr>
          <w:rFonts w:ascii="Garamond" w:eastAsia="Calibri" w:hAnsi="Garamond" w:cs="Times New Roman"/>
        </w:rPr>
      </w:pPr>
      <w:r>
        <w:rPr>
          <w:rFonts w:ascii="Garamond" w:eastAsia="Calibri" w:hAnsi="Garamond" w:cs="Times New Roman"/>
        </w:rPr>
        <w:br w:type="page"/>
      </w:r>
    </w:p>
    <w:p w14:paraId="413E60B7" w14:textId="77777777" w:rsidR="009E481A" w:rsidRDefault="009E481A" w:rsidP="00162224">
      <w:pPr>
        <w:spacing w:line="360" w:lineRule="auto"/>
        <w:rPr>
          <w:rFonts w:ascii="Garamond" w:eastAsia="Calibri" w:hAnsi="Garamond" w:cs="Times New Roman"/>
        </w:rPr>
        <w:sectPr w:rsidR="009E481A" w:rsidSect="00162224">
          <w:footnotePr>
            <w:numRestart w:val="eachSect"/>
          </w:footnotePr>
          <w:pgSz w:w="11906" w:h="16838"/>
          <w:pgMar w:top="1440" w:right="1440" w:bottom="1440" w:left="1440" w:header="709" w:footer="709" w:gutter="851"/>
          <w:cols w:space="708"/>
          <w:docGrid w:linePitch="360"/>
        </w:sectPr>
      </w:pPr>
    </w:p>
    <w:p w14:paraId="28186E49" w14:textId="2D80CCD2" w:rsidR="00162224" w:rsidRPr="003037D2" w:rsidRDefault="00162224" w:rsidP="00162224">
      <w:pPr>
        <w:spacing w:line="360" w:lineRule="auto"/>
        <w:rPr>
          <w:rFonts w:ascii="Garamond" w:eastAsia="Calibri" w:hAnsi="Garamond" w:cs="Times New Roman"/>
        </w:rPr>
      </w:pPr>
    </w:p>
    <w:p w14:paraId="7D1B94DF" w14:textId="77777777" w:rsidR="00162224" w:rsidRPr="003037D2" w:rsidRDefault="00162224" w:rsidP="00162224">
      <w:pPr>
        <w:rPr>
          <w:rFonts w:ascii="Garamond" w:eastAsia="Calibri" w:hAnsi="Garamond" w:cs="Times New Roman"/>
        </w:rPr>
      </w:pPr>
    </w:p>
    <w:p w14:paraId="451C29F8" w14:textId="77777777" w:rsidR="00162224" w:rsidRPr="003037D2" w:rsidRDefault="00162224" w:rsidP="00162224">
      <w:pPr>
        <w:keepNext/>
        <w:keepLines/>
        <w:spacing w:before="240" w:line="360" w:lineRule="auto"/>
        <w:outlineLvl w:val="0"/>
        <w:rPr>
          <w:rFonts w:ascii="Garamond" w:eastAsia="Times New Roman" w:hAnsi="Garamond" w:cs="Times New Roman"/>
          <w:b/>
          <w:bCs/>
          <w:color w:val="4472C4"/>
          <w:sz w:val="28"/>
          <w:szCs w:val="28"/>
        </w:rPr>
      </w:pPr>
      <w:bookmarkStart w:id="43" w:name="_Toc3967179"/>
      <w:r w:rsidRPr="003037D2">
        <w:rPr>
          <w:rFonts w:ascii="Garamond" w:eastAsia="Times New Roman" w:hAnsi="Garamond" w:cs="Times New Roman"/>
          <w:b/>
          <w:bCs/>
          <w:color w:val="4472C4"/>
          <w:sz w:val="28"/>
          <w:szCs w:val="28"/>
        </w:rPr>
        <w:t>CHAPTER III - ‘LANDMARKS TO DISTINGUISH TIMES’: GEORGE HERBERT</w:t>
      </w:r>
      <w:bookmarkEnd w:id="43"/>
    </w:p>
    <w:p w14:paraId="6482FA8A" w14:textId="77777777" w:rsidR="00162224" w:rsidRPr="003037D2" w:rsidRDefault="00E04035" w:rsidP="00162224">
      <w:pPr>
        <w:spacing w:line="360" w:lineRule="auto"/>
        <w:rPr>
          <w:rFonts w:ascii="Garamond" w:eastAsia="Calibri" w:hAnsi="Garamond" w:cs="Times New Roman"/>
        </w:rPr>
      </w:pPr>
      <w:r>
        <w:rPr>
          <w:rFonts w:ascii="Garamond" w:eastAsia="Calibri" w:hAnsi="Garamond" w:cs="Times New Roman"/>
        </w:rPr>
        <w:pict w14:anchorId="1697A9EA">
          <v:rect id="_x0000_i1028" style="width:0;height:1.5pt" o:hralign="center" o:hrstd="t" o:hr="t" fillcolor="#a0a0a0" stroked="f"/>
        </w:pict>
      </w:r>
    </w:p>
    <w:p w14:paraId="0FD26C1C" w14:textId="77777777"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 </w:t>
      </w:r>
      <w:r w:rsidRPr="003037D2">
        <w:rPr>
          <w:rFonts w:ascii="Garamond" w:eastAsia="Calibri" w:hAnsi="Garamond" w:cs="Times New Roman"/>
        </w:rPr>
        <w:tab/>
      </w:r>
    </w:p>
    <w:p w14:paraId="168A17D6" w14:textId="4460BEA1"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In the preceding chapters, I have explored the material evidence regarding how individuals </w:t>
      </w:r>
      <w:proofErr w:type="spellStart"/>
      <w:r w:rsidRPr="003037D2">
        <w:rPr>
          <w:rFonts w:ascii="Garamond" w:eastAsia="Calibri" w:hAnsi="Garamond" w:cs="Times New Roman"/>
        </w:rPr>
        <w:t>conceptualised</w:t>
      </w:r>
      <w:proofErr w:type="spellEnd"/>
      <w:r w:rsidRPr="003037D2">
        <w:rPr>
          <w:rFonts w:ascii="Garamond" w:eastAsia="Calibri" w:hAnsi="Garamond" w:cs="Times New Roman"/>
        </w:rPr>
        <w:t xml:space="preserve"> time in annotated almanacs, and the impact of time on understandings of repentance in psalm translations. This chapter examines how George Herbert’s poetry and pastoral writings deal with time on both a theoretical and practical level. In his introduction to </w:t>
      </w:r>
      <w:r w:rsidRPr="003037D2">
        <w:rPr>
          <w:rFonts w:ascii="Garamond" w:eastAsia="Calibri" w:hAnsi="Garamond" w:cs="Times New Roman"/>
          <w:i/>
        </w:rPr>
        <w:t xml:space="preserve">The Complete English Poems, </w:t>
      </w:r>
      <w:r w:rsidRPr="003037D2">
        <w:rPr>
          <w:rFonts w:ascii="Garamond" w:eastAsia="Calibri" w:hAnsi="Garamond" w:cs="Times New Roman"/>
        </w:rPr>
        <w:t>John Tobin posits that Herbert is ‘either our most major minor poet in English literature or… the most modestly exquisite of our major poets’, attributing this to the ‘attitudinal and structural [modesty]’ of his poetry.</w:t>
      </w:r>
      <w:r w:rsidRPr="003037D2">
        <w:rPr>
          <w:rFonts w:ascii="Garamond" w:eastAsia="Calibri" w:hAnsi="Garamond" w:cs="Times New Roman"/>
          <w:vertAlign w:val="superscript"/>
        </w:rPr>
        <w:footnoteReference w:id="399"/>
      </w:r>
      <w:r w:rsidRPr="003037D2">
        <w:rPr>
          <w:rFonts w:ascii="Garamond" w:eastAsia="Calibri" w:hAnsi="Garamond" w:cs="Times New Roman"/>
        </w:rPr>
        <w:t xml:space="preserve"> The ‘modesty’ of Herbert’s poetry is related to the apparent accessibility of his lyrics: the range of voices, references and images he draws upon results in </w:t>
      </w:r>
      <w:r w:rsidRPr="003037D2">
        <w:rPr>
          <w:rFonts w:ascii="Garamond" w:eastAsia="Calibri" w:hAnsi="Garamond" w:cs="Times New Roman"/>
          <w:i/>
        </w:rPr>
        <w:t xml:space="preserve">The Temple </w:t>
      </w:r>
      <w:r w:rsidRPr="003037D2">
        <w:rPr>
          <w:rFonts w:ascii="Garamond" w:eastAsia="Calibri" w:hAnsi="Garamond" w:cs="Times New Roman"/>
        </w:rPr>
        <w:t xml:space="preserve">(1633) providing a variety of points of contact for readers. Herbert’s interest in commonplacing and proverbial wisdom enabled early readers to uncouple the sentiments expressed from the poetic voice, applying them in their own lives and incorporating them into their own literary cultures. </w:t>
      </w:r>
      <w:r w:rsidR="00164AB4" w:rsidRPr="003037D2">
        <w:rPr>
          <w:rFonts w:ascii="Garamond" w:eastAsia="Calibri" w:hAnsi="Garamond" w:cs="Times New Roman"/>
        </w:rPr>
        <w:t xml:space="preserve">His awareness of </w:t>
      </w:r>
      <w:r w:rsidRPr="003037D2">
        <w:rPr>
          <w:rFonts w:ascii="Garamond" w:eastAsia="Calibri" w:hAnsi="Garamond" w:cs="Times New Roman"/>
        </w:rPr>
        <w:t xml:space="preserve">the symbolic properties of language, </w:t>
      </w:r>
      <w:proofErr w:type="spellStart"/>
      <w:r w:rsidRPr="003037D2">
        <w:rPr>
          <w:rFonts w:ascii="Garamond" w:eastAsia="Calibri" w:hAnsi="Garamond" w:cs="Times New Roman"/>
        </w:rPr>
        <w:t>materialised</w:t>
      </w:r>
      <w:proofErr w:type="spellEnd"/>
      <w:r w:rsidRPr="003037D2">
        <w:rPr>
          <w:rFonts w:ascii="Garamond" w:eastAsia="Calibri" w:hAnsi="Garamond" w:cs="Times New Roman"/>
        </w:rPr>
        <w:t xml:space="preserve"> in his hieroglyphic and pattern poetry, resonated with these readers. This chapter explores how an understanding of language in symbolic terms constituted an attempt by Renaissance humanists to cross the gap of time between perfected language prior to the fall of Babel and modern speech.  I first examine how Herbert figures time in a spatial way in specific poems, and how this has been interpreted and mis-interpreted over the centuries. I particularly explore Herbert’s didactic guidance on how to manage communal devotional and </w:t>
      </w:r>
      <w:proofErr w:type="spellStart"/>
      <w:r w:rsidRPr="003037D2">
        <w:rPr>
          <w:rFonts w:ascii="Garamond" w:eastAsia="Calibri" w:hAnsi="Garamond" w:cs="Times New Roman"/>
        </w:rPr>
        <w:t>labouring</w:t>
      </w:r>
      <w:proofErr w:type="spellEnd"/>
      <w:r w:rsidRPr="003037D2">
        <w:rPr>
          <w:rFonts w:ascii="Garamond" w:eastAsia="Calibri" w:hAnsi="Garamond" w:cs="Times New Roman"/>
        </w:rPr>
        <w:t xml:space="preserve"> time.  I then discuss how the materiality of Herbert’s poetry, his insistence on the wholeness of </w:t>
      </w:r>
      <w:r w:rsidRPr="003037D2">
        <w:rPr>
          <w:rFonts w:ascii="Garamond" w:eastAsia="Calibri" w:hAnsi="Garamond" w:cs="Times New Roman"/>
          <w:i/>
        </w:rPr>
        <w:t xml:space="preserve">The Temple </w:t>
      </w:r>
      <w:r w:rsidRPr="003037D2">
        <w:rPr>
          <w:rFonts w:ascii="Garamond" w:eastAsia="Calibri" w:hAnsi="Garamond" w:cs="Times New Roman"/>
        </w:rPr>
        <w:t xml:space="preserve">as book and attempts to control the way in which his readers moved through the volume, inextricably link him to early modern ideas surrounding biblical reading and an understanding of language as holding innate symbolic and allegorical meaning. I draw on one </w:t>
      </w:r>
      <w:proofErr w:type="gramStart"/>
      <w:r w:rsidRPr="003037D2">
        <w:rPr>
          <w:rFonts w:ascii="Garamond" w:eastAsia="Calibri" w:hAnsi="Garamond" w:cs="Times New Roman"/>
        </w:rPr>
        <w:t>particular case</w:t>
      </w:r>
      <w:proofErr w:type="gramEnd"/>
      <w:r w:rsidRPr="003037D2">
        <w:rPr>
          <w:rFonts w:ascii="Garamond" w:eastAsia="Calibri" w:hAnsi="Garamond" w:cs="Times New Roman"/>
        </w:rPr>
        <w:t xml:space="preserve"> study, a manuscript miscellany compiled by Marmaduke Rawdon, to explore how an individual reader approached Herbert’s poetry. A construction of </w:t>
      </w:r>
      <w:r w:rsidRPr="003037D2">
        <w:rPr>
          <w:rFonts w:ascii="Garamond" w:eastAsia="Calibri" w:hAnsi="Garamond" w:cs="Times New Roman"/>
        </w:rPr>
        <w:lastRenderedPageBreak/>
        <w:t xml:space="preserve">language as symbolic means that it necessarily gestures back to the past, to the </w:t>
      </w:r>
      <w:proofErr w:type="spellStart"/>
      <w:r w:rsidRPr="003037D2">
        <w:rPr>
          <w:rFonts w:ascii="Garamond" w:eastAsia="Calibri" w:hAnsi="Garamond" w:cs="Times New Roman"/>
        </w:rPr>
        <w:t>symbolised</w:t>
      </w:r>
      <w:proofErr w:type="spellEnd"/>
      <w:r w:rsidRPr="003037D2">
        <w:rPr>
          <w:rFonts w:ascii="Garamond" w:eastAsia="Calibri" w:hAnsi="Garamond" w:cs="Times New Roman"/>
        </w:rPr>
        <w:t xml:space="preserve"> ‘truth’, and so is linked to methods of </w:t>
      </w:r>
      <w:proofErr w:type="spellStart"/>
      <w:r w:rsidRPr="003037D2">
        <w:rPr>
          <w:rFonts w:ascii="Garamond" w:eastAsia="Calibri" w:hAnsi="Garamond" w:cs="Times New Roman"/>
        </w:rPr>
        <w:t>materialising</w:t>
      </w:r>
      <w:proofErr w:type="spellEnd"/>
      <w:r w:rsidRPr="003037D2">
        <w:rPr>
          <w:rFonts w:ascii="Garamond" w:eastAsia="Calibri" w:hAnsi="Garamond" w:cs="Times New Roman"/>
        </w:rPr>
        <w:t xml:space="preserve"> time. Herbert’s pattern and hieroglyphic poems cause the reader to pause in their progress through </w:t>
      </w:r>
      <w:r w:rsidRPr="003037D2">
        <w:rPr>
          <w:rFonts w:ascii="Garamond" w:eastAsia="Calibri" w:hAnsi="Garamond" w:cs="Times New Roman"/>
          <w:i/>
          <w:iCs/>
        </w:rPr>
        <w:t xml:space="preserve">The Temple, </w:t>
      </w:r>
      <w:r w:rsidRPr="003037D2">
        <w:rPr>
          <w:rFonts w:ascii="Garamond" w:eastAsia="Calibri" w:hAnsi="Garamond" w:cs="Times New Roman"/>
        </w:rPr>
        <w:t xml:space="preserve">creating textual objects that can be ‘read’ in a variety of ways, each with their own time scheme. This emphasis on the materiality of language will illuminate Herbert’s pattern poetry and the discomforting place that it has held for critics, due to the unavoidable taint of idolatry that follows the visual form. </w:t>
      </w:r>
    </w:p>
    <w:p w14:paraId="4AC11FEB" w14:textId="77777777" w:rsidR="00162224" w:rsidRPr="003037D2" w:rsidRDefault="00162224" w:rsidP="00162224">
      <w:pPr>
        <w:spacing w:line="360" w:lineRule="auto"/>
        <w:rPr>
          <w:rFonts w:ascii="Garamond" w:eastAsia="Calibri" w:hAnsi="Garamond" w:cs="Times New Roman"/>
        </w:rPr>
      </w:pPr>
    </w:p>
    <w:p w14:paraId="6DF25688" w14:textId="27EC3795" w:rsidR="00162224" w:rsidRPr="003037D2" w:rsidRDefault="00162224" w:rsidP="00470D01">
      <w:pPr>
        <w:spacing w:line="360" w:lineRule="auto"/>
        <w:ind w:firstLine="720"/>
        <w:rPr>
          <w:rFonts w:ascii="Garamond" w:eastAsia="Calibri" w:hAnsi="Garamond" w:cs="Times New Roman"/>
        </w:rPr>
      </w:pPr>
      <w:r w:rsidRPr="003037D2">
        <w:rPr>
          <w:rFonts w:ascii="Garamond" w:eastAsia="Calibri" w:hAnsi="Garamond" w:cs="Times New Roman"/>
        </w:rPr>
        <w:t>Herbert’s pattern and hieroglyph poetry makes time visible upon the page, and in doing so binds the language of temporality inextricably with that of space. Alison Chapman has argued how Protestant practices of reading had implications for how time was understood. She argues that Cranmer’s insisten</w:t>
      </w:r>
      <w:r w:rsidR="002F1250">
        <w:rPr>
          <w:rFonts w:ascii="Garamond" w:eastAsia="Calibri" w:hAnsi="Garamond" w:cs="Times New Roman"/>
        </w:rPr>
        <w:t xml:space="preserve">ce on sequential reading in </w:t>
      </w:r>
      <w:r w:rsidR="002F1250">
        <w:rPr>
          <w:rFonts w:ascii="Garamond" w:eastAsia="Calibri" w:hAnsi="Garamond" w:cs="Times New Roman"/>
          <w:i/>
          <w:iCs/>
        </w:rPr>
        <w:t xml:space="preserve">The </w:t>
      </w:r>
      <w:r w:rsidRPr="003037D2">
        <w:rPr>
          <w:rFonts w:ascii="Garamond" w:eastAsia="Calibri" w:hAnsi="Garamond" w:cs="Times New Roman"/>
          <w:i/>
          <w:iCs/>
        </w:rPr>
        <w:t xml:space="preserve">Book of Common Prayer, </w:t>
      </w:r>
      <w:r w:rsidRPr="003037D2">
        <w:rPr>
          <w:rFonts w:ascii="Garamond" w:eastAsia="Calibri" w:hAnsi="Garamond" w:cs="Times New Roman"/>
        </w:rPr>
        <w:t>was a response to the rejection of ‘the Catholic abundance of feast days... the sudden, unprecedented emptiness of the liturgical calendar’. In this circumstance, reading through the Bible in a linear way ‘seems a logical device to fill up the calendar’s space’.</w:t>
      </w:r>
      <w:r w:rsidRPr="003037D2">
        <w:rPr>
          <w:rFonts w:ascii="Garamond" w:eastAsia="Calibri" w:hAnsi="Garamond" w:cs="Times New Roman"/>
          <w:vertAlign w:val="superscript"/>
        </w:rPr>
        <w:footnoteReference w:id="400"/>
      </w:r>
      <w:r w:rsidRPr="003037D2">
        <w:rPr>
          <w:rFonts w:ascii="Garamond" w:eastAsia="Calibri" w:hAnsi="Garamond" w:cs="Times New Roman"/>
        </w:rPr>
        <w:t xml:space="preserve">  Chapman argues that whilst books of periscopes, extracts (arguably commonplaces) from the Bible, have a more direct relevance to the readers lives as it defines the present by its liturgical character, sequential readings ‘suggest that the believer inhabits an ever-changing historical process’ in which distance is opened up between the present-now and the biblical then. Chapman suggests that sequential reading of </w:t>
      </w:r>
      <w:r w:rsidR="002F1250">
        <w:rPr>
          <w:rFonts w:ascii="Garamond" w:eastAsia="Calibri" w:hAnsi="Garamond" w:cs="Times New Roman"/>
          <w:i/>
          <w:iCs/>
        </w:rPr>
        <w:t>The</w:t>
      </w:r>
      <w:r w:rsidRPr="003037D2">
        <w:rPr>
          <w:rFonts w:ascii="Garamond" w:eastAsia="Calibri" w:hAnsi="Garamond" w:cs="Times New Roman"/>
        </w:rPr>
        <w:t xml:space="preserve"> </w:t>
      </w:r>
      <w:r w:rsidRPr="003037D2">
        <w:rPr>
          <w:rFonts w:ascii="Garamond" w:eastAsia="Calibri" w:hAnsi="Garamond" w:cs="Times New Roman"/>
          <w:i/>
          <w:iCs/>
        </w:rPr>
        <w:t xml:space="preserve">Book of Common Prayer </w:t>
      </w:r>
      <w:r w:rsidRPr="003037D2">
        <w:rPr>
          <w:rFonts w:ascii="Garamond" w:eastAsia="Calibri" w:hAnsi="Garamond" w:cs="Times New Roman"/>
        </w:rPr>
        <w:t xml:space="preserve">‘epitomizes </w:t>
      </w:r>
      <w:r w:rsidRPr="003037D2">
        <w:rPr>
          <w:rFonts w:ascii="Garamond" w:eastAsia="Calibri" w:hAnsi="Garamond" w:cs="Times New Roman"/>
          <w:i/>
          <w:iCs/>
        </w:rPr>
        <w:t>Chronos</w:t>
      </w:r>
      <w:r w:rsidRPr="003037D2">
        <w:rPr>
          <w:rFonts w:ascii="Garamond" w:eastAsia="Calibri" w:hAnsi="Garamond" w:cs="Times New Roman"/>
        </w:rPr>
        <w:t>, for by refusing to accommodate the lessons to the liturgical concerns of the present, it highlights the temporal distance between the biblical events and the present lived time of the believer’.</w:t>
      </w:r>
      <w:r w:rsidRPr="003037D2">
        <w:rPr>
          <w:rFonts w:ascii="Garamond" w:eastAsia="Calibri" w:hAnsi="Garamond" w:cs="Times New Roman"/>
          <w:vertAlign w:val="superscript"/>
        </w:rPr>
        <w:footnoteReference w:id="401"/>
      </w:r>
      <w:r w:rsidRPr="003037D2">
        <w:rPr>
          <w:rFonts w:ascii="Garamond" w:eastAsia="Calibri" w:hAnsi="Garamond" w:cs="Times New Roman"/>
        </w:rPr>
        <w:t xml:space="preserve"> In ‘Prayer (I)’ Herbert both highlights and bridges this temporal distance between the events of the Bible and the reader’s life. He declares, ‘Prayer the Churches banquet, Angels </w:t>
      </w:r>
      <w:proofErr w:type="gramStart"/>
      <w:r w:rsidRPr="003037D2">
        <w:rPr>
          <w:rFonts w:ascii="Garamond" w:eastAsia="Calibri" w:hAnsi="Garamond" w:cs="Times New Roman"/>
        </w:rPr>
        <w:t>age,/</w:t>
      </w:r>
      <w:proofErr w:type="gramEnd"/>
      <w:r w:rsidRPr="003037D2">
        <w:rPr>
          <w:rFonts w:ascii="Garamond" w:eastAsia="Calibri" w:hAnsi="Garamond" w:cs="Times New Roman"/>
        </w:rPr>
        <w:t xml:space="preserve"> Gods breath in man returning to his birth,/ The soul in paraphrase, heart in pilgrimage… The six-</w:t>
      </w:r>
      <w:proofErr w:type="spellStart"/>
      <w:r w:rsidRPr="003037D2">
        <w:rPr>
          <w:rFonts w:ascii="Garamond" w:eastAsia="Calibri" w:hAnsi="Garamond" w:cs="Times New Roman"/>
        </w:rPr>
        <w:t>daies</w:t>
      </w:r>
      <w:proofErr w:type="spellEnd"/>
      <w:r w:rsidRPr="003037D2">
        <w:rPr>
          <w:rFonts w:ascii="Garamond" w:eastAsia="Calibri" w:hAnsi="Garamond" w:cs="Times New Roman"/>
        </w:rPr>
        <w:t xml:space="preserve"> world transposing in an </w:t>
      </w:r>
      <w:proofErr w:type="spellStart"/>
      <w:r w:rsidRPr="003037D2">
        <w:rPr>
          <w:rFonts w:ascii="Garamond" w:eastAsia="Calibri" w:hAnsi="Garamond" w:cs="Times New Roman"/>
        </w:rPr>
        <w:t>houre</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402"/>
      </w:r>
      <w:r w:rsidRPr="003037D2">
        <w:rPr>
          <w:rFonts w:ascii="Garamond" w:eastAsia="Calibri" w:hAnsi="Garamond" w:cs="Times New Roman"/>
        </w:rPr>
        <w:t xml:space="preserve"> The sonnet as a whole contains no main verb, and this lack of syntactic completeness has left it open to critical interpretation and debate.</w:t>
      </w:r>
      <w:r w:rsidRPr="003037D2">
        <w:rPr>
          <w:rFonts w:ascii="Garamond" w:eastAsia="Calibri" w:hAnsi="Garamond" w:cs="Times New Roman"/>
          <w:vertAlign w:val="superscript"/>
        </w:rPr>
        <w:footnoteReference w:id="403"/>
      </w:r>
      <w:r w:rsidRPr="003037D2">
        <w:rPr>
          <w:rFonts w:ascii="Garamond" w:eastAsia="Calibri" w:hAnsi="Garamond" w:cs="Times New Roman"/>
        </w:rPr>
        <w:t xml:space="preserve"> ‘Prayer (I)’ rewrites the passage of time </w:t>
      </w:r>
      <w:r w:rsidRPr="003037D2">
        <w:rPr>
          <w:rFonts w:ascii="Garamond" w:eastAsia="Calibri" w:hAnsi="Garamond" w:cs="Times New Roman"/>
        </w:rPr>
        <w:lastRenderedPageBreak/>
        <w:t xml:space="preserve">as the breath of God returns to man’s birth, and the creation and history of the world is rewritten in the hour of the crucifixion. Although the focus of the poem is upon language that would be thought to be </w:t>
      </w:r>
      <w:proofErr w:type="spellStart"/>
      <w:r w:rsidRPr="003037D2">
        <w:rPr>
          <w:rFonts w:ascii="Garamond" w:eastAsia="Calibri" w:hAnsi="Garamond" w:cs="Times New Roman"/>
        </w:rPr>
        <w:t>dematerialised</w:t>
      </w:r>
      <w:proofErr w:type="spellEnd"/>
      <w:r w:rsidRPr="003037D2">
        <w:rPr>
          <w:rFonts w:ascii="Garamond" w:eastAsia="Calibri" w:hAnsi="Garamond" w:cs="Times New Roman"/>
        </w:rPr>
        <w:t xml:space="preserve">, spoken or thought prayer, Herbert </w:t>
      </w:r>
      <w:proofErr w:type="spellStart"/>
      <w:r w:rsidRPr="003037D2">
        <w:rPr>
          <w:rFonts w:ascii="Garamond" w:eastAsia="Calibri" w:hAnsi="Garamond" w:cs="Times New Roman"/>
        </w:rPr>
        <w:t>emphasises</w:t>
      </w:r>
      <w:proofErr w:type="spellEnd"/>
      <w:r w:rsidRPr="003037D2">
        <w:rPr>
          <w:rFonts w:ascii="Garamond" w:eastAsia="Calibri" w:hAnsi="Garamond" w:cs="Times New Roman"/>
        </w:rPr>
        <w:t xml:space="preserve"> the physicality of the word. As F.E. Hutchinson points out</w:t>
      </w:r>
      <w:r w:rsidR="00470D01">
        <w:rPr>
          <w:rFonts w:ascii="Garamond" w:eastAsia="Calibri" w:hAnsi="Garamond" w:cs="Times New Roman"/>
        </w:rPr>
        <w:t>,</w:t>
      </w:r>
      <w:r w:rsidRPr="003037D2">
        <w:rPr>
          <w:rFonts w:ascii="Garamond" w:eastAsia="Calibri" w:hAnsi="Garamond" w:cs="Times New Roman"/>
        </w:rPr>
        <w:t xml:space="preserve"> in what Martz terms ‘a brilliant gloss’, a paraphrase ‘clarifies by expansion; in prayer the soul opens out and more fully discovers itself’.</w:t>
      </w:r>
      <w:r w:rsidRPr="003037D2">
        <w:rPr>
          <w:rFonts w:ascii="Garamond" w:eastAsia="Calibri" w:hAnsi="Garamond" w:cs="Times New Roman"/>
          <w:vertAlign w:val="superscript"/>
        </w:rPr>
        <w:footnoteReference w:id="404"/>
      </w:r>
      <w:r w:rsidRPr="003037D2">
        <w:rPr>
          <w:rFonts w:ascii="Garamond" w:eastAsia="Calibri" w:hAnsi="Garamond" w:cs="Times New Roman"/>
        </w:rPr>
        <w:t xml:space="preserve"> Similarly, Herbert’s reference to the transposition of the world draws on musical practices, the rewriting of a melody in new key which would visually move the melody up or down the stave. The movement through time is closely linked to changes of text or music on the page. Throughout this chapter, I shall explore the relationship between specific practices of writing and reading to temporality. </w:t>
      </w:r>
    </w:p>
    <w:p w14:paraId="04EE8949" w14:textId="77777777" w:rsidR="00162224" w:rsidRPr="003037D2" w:rsidRDefault="00162224" w:rsidP="00162224">
      <w:pPr>
        <w:spacing w:line="360" w:lineRule="auto"/>
        <w:ind w:firstLine="360"/>
        <w:rPr>
          <w:rFonts w:ascii="Garamond" w:eastAsia="Calibri" w:hAnsi="Garamond" w:cs="Times New Roman"/>
        </w:rPr>
      </w:pPr>
    </w:p>
    <w:p w14:paraId="4E155BF5" w14:textId="77777777" w:rsidR="00162224" w:rsidRPr="003037D2" w:rsidRDefault="00162224" w:rsidP="00162224">
      <w:pPr>
        <w:keepNext/>
        <w:keepLines/>
        <w:numPr>
          <w:ilvl w:val="0"/>
          <w:numId w:val="11"/>
        </w:numPr>
        <w:spacing w:before="40" w:line="360" w:lineRule="auto"/>
        <w:outlineLvl w:val="1"/>
        <w:rPr>
          <w:rFonts w:ascii="Garamond" w:eastAsia="Times New Roman" w:hAnsi="Garamond" w:cs="Times New Roman"/>
          <w:b/>
          <w:bCs/>
          <w:color w:val="000000"/>
          <w:sz w:val="28"/>
          <w:szCs w:val="28"/>
        </w:rPr>
      </w:pPr>
      <w:bookmarkStart w:id="44" w:name="_Toc3967180"/>
      <w:r w:rsidRPr="003037D2">
        <w:rPr>
          <w:rFonts w:ascii="Garamond" w:eastAsia="Times New Roman" w:hAnsi="Garamond" w:cs="Times New Roman"/>
          <w:b/>
          <w:bCs/>
          <w:color w:val="000000"/>
          <w:sz w:val="28"/>
          <w:szCs w:val="28"/>
        </w:rPr>
        <w:t>‘</w:t>
      </w:r>
      <w:proofErr w:type="spellStart"/>
      <w:r w:rsidRPr="003037D2">
        <w:rPr>
          <w:rFonts w:ascii="Garamond" w:eastAsia="Times New Roman" w:hAnsi="Garamond" w:cs="Times New Roman"/>
          <w:b/>
          <w:bCs/>
          <w:color w:val="000000"/>
          <w:sz w:val="28"/>
          <w:szCs w:val="28"/>
        </w:rPr>
        <w:t>Sundaies</w:t>
      </w:r>
      <w:proofErr w:type="spellEnd"/>
      <w:r w:rsidRPr="003037D2">
        <w:rPr>
          <w:rFonts w:ascii="Garamond" w:eastAsia="Times New Roman" w:hAnsi="Garamond" w:cs="Times New Roman"/>
          <w:b/>
          <w:bCs/>
          <w:color w:val="000000"/>
          <w:sz w:val="28"/>
          <w:szCs w:val="28"/>
        </w:rPr>
        <w:t xml:space="preserve"> the Pillars are on which </w:t>
      </w:r>
      <w:proofErr w:type="spellStart"/>
      <w:r w:rsidRPr="003037D2">
        <w:rPr>
          <w:rFonts w:ascii="Garamond" w:eastAsia="Times New Roman" w:hAnsi="Garamond" w:cs="Times New Roman"/>
          <w:b/>
          <w:bCs/>
          <w:color w:val="000000"/>
          <w:sz w:val="28"/>
          <w:szCs w:val="28"/>
        </w:rPr>
        <w:t>Heav’ns</w:t>
      </w:r>
      <w:proofErr w:type="spellEnd"/>
      <w:r w:rsidRPr="003037D2">
        <w:rPr>
          <w:rFonts w:ascii="Garamond" w:eastAsia="Times New Roman" w:hAnsi="Garamond" w:cs="Times New Roman"/>
          <w:b/>
          <w:bCs/>
          <w:color w:val="000000"/>
          <w:sz w:val="28"/>
          <w:szCs w:val="28"/>
        </w:rPr>
        <w:t xml:space="preserve"> palaces arched lies’: Making Pastoral Time visible</w:t>
      </w:r>
      <w:bookmarkEnd w:id="44"/>
      <w:r w:rsidRPr="003037D2">
        <w:rPr>
          <w:rFonts w:ascii="Garamond" w:eastAsia="Times New Roman" w:hAnsi="Garamond" w:cs="Times New Roman"/>
          <w:b/>
          <w:bCs/>
          <w:color w:val="000000"/>
          <w:sz w:val="28"/>
          <w:szCs w:val="28"/>
        </w:rPr>
        <w:t xml:space="preserve"> </w:t>
      </w:r>
    </w:p>
    <w:p w14:paraId="2475A6D0" w14:textId="77777777" w:rsidR="00162224" w:rsidRPr="003037D2" w:rsidRDefault="00162224" w:rsidP="00162224">
      <w:pPr>
        <w:spacing w:line="360" w:lineRule="auto"/>
        <w:rPr>
          <w:rFonts w:ascii="Garamond" w:eastAsia="Calibri" w:hAnsi="Garamond" w:cs="Times New Roman"/>
        </w:rPr>
      </w:pPr>
    </w:p>
    <w:p w14:paraId="508D471D" w14:textId="77777777"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Herbert’s popularity in the centuries following his death was in large part a result of </w:t>
      </w:r>
      <w:proofErr w:type="spellStart"/>
      <w:r w:rsidRPr="003037D2">
        <w:rPr>
          <w:rFonts w:ascii="Garamond" w:eastAsia="Calibri" w:hAnsi="Garamond" w:cs="Times New Roman"/>
        </w:rPr>
        <w:t>Izaac</w:t>
      </w:r>
      <w:proofErr w:type="spellEnd"/>
      <w:r w:rsidRPr="003037D2">
        <w:rPr>
          <w:rFonts w:ascii="Garamond" w:eastAsia="Calibri" w:hAnsi="Garamond" w:cs="Times New Roman"/>
        </w:rPr>
        <w:t xml:space="preserve"> Walton’s </w:t>
      </w:r>
      <w:r w:rsidRPr="003037D2">
        <w:rPr>
          <w:rFonts w:ascii="Garamond" w:eastAsia="Calibri" w:hAnsi="Garamond" w:cs="Times New Roman"/>
          <w:i/>
          <w:iCs/>
        </w:rPr>
        <w:t xml:space="preserve">The Life of </w:t>
      </w:r>
      <w:proofErr w:type="spellStart"/>
      <w:r w:rsidRPr="003037D2">
        <w:rPr>
          <w:rFonts w:ascii="Garamond" w:eastAsia="Calibri" w:hAnsi="Garamond" w:cs="Times New Roman"/>
          <w:i/>
          <w:iCs/>
        </w:rPr>
        <w:t>Mr</w:t>
      </w:r>
      <w:proofErr w:type="spellEnd"/>
      <w:r w:rsidRPr="003037D2">
        <w:rPr>
          <w:rFonts w:ascii="Garamond" w:eastAsia="Calibri" w:hAnsi="Garamond" w:cs="Times New Roman"/>
          <w:i/>
          <w:iCs/>
        </w:rPr>
        <w:t xml:space="preserve"> George Herbert</w:t>
      </w:r>
      <w:r w:rsidRPr="003037D2">
        <w:rPr>
          <w:rFonts w:ascii="Garamond" w:eastAsia="Calibri" w:hAnsi="Garamond" w:cs="Times New Roman"/>
        </w:rPr>
        <w:t xml:space="preserve">, first published in 1670. Walton’s biography verges on the hagiography, as he himself acknowledges: </w:t>
      </w:r>
    </w:p>
    <w:p w14:paraId="56EDFD4C" w14:textId="77777777" w:rsidR="00162224" w:rsidRPr="003037D2" w:rsidRDefault="00162224" w:rsidP="00162224">
      <w:pPr>
        <w:ind w:left="737" w:right="737"/>
        <w:rPr>
          <w:rFonts w:ascii="Garamond" w:eastAsia="Calibri" w:hAnsi="Garamond" w:cs="Times New Roman"/>
        </w:rPr>
      </w:pPr>
      <w:r w:rsidRPr="003037D2">
        <w:rPr>
          <w:rFonts w:ascii="Garamond" w:eastAsia="Calibri" w:hAnsi="Garamond" w:cs="Times New Roman"/>
        </w:rPr>
        <w:t>[I] must stop here, and bespeak the reader to prepare for an almost incredible story of the great sanctity of the short reminder of his holy life; a life so full of charity, Humility and all Christian virtues that it deserves the eloquence of St Chrysostom to commend and declare it! A life that if it were related by a pen like his … [examples of piety] might be all found in the life of George Herbert. But now, alas! who is fit to undertake it!</w:t>
      </w:r>
      <w:r w:rsidRPr="003037D2">
        <w:rPr>
          <w:rFonts w:ascii="Garamond" w:eastAsia="Calibri" w:hAnsi="Garamond" w:cs="Times New Roman"/>
          <w:vertAlign w:val="superscript"/>
        </w:rPr>
        <w:footnoteReference w:id="405"/>
      </w:r>
    </w:p>
    <w:p w14:paraId="031B3DAE" w14:textId="77777777" w:rsidR="00162224" w:rsidRPr="003037D2" w:rsidRDefault="00162224" w:rsidP="00162224">
      <w:pPr>
        <w:spacing w:before="360" w:line="360" w:lineRule="auto"/>
        <w:rPr>
          <w:rFonts w:ascii="Garamond" w:eastAsia="Calibri" w:hAnsi="Garamond" w:cs="Times New Roman"/>
        </w:rPr>
      </w:pPr>
      <w:r w:rsidRPr="003037D2">
        <w:rPr>
          <w:rFonts w:ascii="Garamond" w:eastAsia="Calibri" w:hAnsi="Garamond" w:cs="Times New Roman"/>
        </w:rPr>
        <w:t xml:space="preserve">Whilst Walton’s </w:t>
      </w:r>
      <w:r w:rsidRPr="003037D2">
        <w:rPr>
          <w:rFonts w:ascii="Garamond" w:eastAsia="Calibri" w:hAnsi="Garamond" w:cs="Times New Roman"/>
          <w:i/>
        </w:rPr>
        <w:t>Life</w:t>
      </w:r>
      <w:r w:rsidRPr="003037D2">
        <w:rPr>
          <w:rFonts w:ascii="Garamond" w:eastAsia="Calibri" w:hAnsi="Garamond" w:cs="Times New Roman"/>
        </w:rPr>
        <w:t xml:space="preserve"> is perhaps not the most reliable historical document, many critics see it as at least a useful starting place for conjecture about Herbert’s beliefs.</w:t>
      </w:r>
      <w:r w:rsidRPr="003037D2">
        <w:rPr>
          <w:rFonts w:ascii="Garamond" w:eastAsia="Calibri" w:hAnsi="Garamond" w:cs="Times New Roman"/>
          <w:vertAlign w:val="superscript"/>
        </w:rPr>
        <w:footnoteReference w:id="406"/>
      </w:r>
      <w:r w:rsidRPr="003037D2">
        <w:rPr>
          <w:rFonts w:ascii="Garamond" w:eastAsia="Calibri" w:hAnsi="Garamond" w:cs="Times New Roman"/>
        </w:rPr>
        <w:t xml:space="preserve"> If nothing else, </w:t>
      </w:r>
      <w:r w:rsidRPr="003037D2">
        <w:rPr>
          <w:rFonts w:ascii="Garamond" w:eastAsia="Calibri" w:hAnsi="Garamond" w:cs="Times New Roman"/>
          <w:i/>
        </w:rPr>
        <w:t>The Life</w:t>
      </w:r>
      <w:r w:rsidRPr="003037D2">
        <w:rPr>
          <w:rFonts w:ascii="Garamond" w:eastAsia="Calibri" w:hAnsi="Garamond" w:cs="Times New Roman"/>
        </w:rPr>
        <w:t xml:space="preserve"> highlights the qualities and </w:t>
      </w:r>
      <w:proofErr w:type="spellStart"/>
      <w:r w:rsidRPr="003037D2">
        <w:rPr>
          <w:rFonts w:ascii="Garamond" w:eastAsia="Calibri" w:hAnsi="Garamond" w:cs="Times New Roman"/>
        </w:rPr>
        <w:t>behaviour</w:t>
      </w:r>
      <w:proofErr w:type="spellEnd"/>
      <w:r w:rsidRPr="003037D2">
        <w:rPr>
          <w:rFonts w:ascii="Garamond" w:eastAsia="Calibri" w:hAnsi="Garamond" w:cs="Times New Roman"/>
        </w:rPr>
        <w:t xml:space="preserve"> that were valued most highly by readers in the decades following Herbert’s death. Amongst the praise of Herbert’s </w:t>
      </w:r>
      <w:r w:rsidRPr="003037D2">
        <w:rPr>
          <w:rFonts w:ascii="Garamond" w:eastAsia="Calibri" w:hAnsi="Garamond" w:cs="Times New Roman"/>
        </w:rPr>
        <w:lastRenderedPageBreak/>
        <w:t>bearing and speech, Walton reviews the guidance that Herbert gave to his congregation, stressing that he:</w:t>
      </w:r>
    </w:p>
    <w:p w14:paraId="4719F35C" w14:textId="0D9E9D47" w:rsidR="00162224" w:rsidRDefault="00162224" w:rsidP="00162224">
      <w:pPr>
        <w:ind w:left="737" w:right="737"/>
        <w:rPr>
          <w:rFonts w:ascii="Garamond" w:eastAsia="Calibri" w:hAnsi="Garamond" w:cs="Times New Roman"/>
        </w:rPr>
      </w:pPr>
      <w:r w:rsidRPr="003037D2">
        <w:rPr>
          <w:rFonts w:ascii="Garamond" w:eastAsia="Calibri" w:hAnsi="Garamond" w:cs="Times New Roman"/>
        </w:rPr>
        <w:t xml:space="preserve">Instructed them also what benefit they had by the Church’s appointing the celebration of Holy days… they were set apart for particular commemorations of particular mercies received from Almighty God; and (as Reverend </w:t>
      </w:r>
      <w:proofErr w:type="spellStart"/>
      <w:r w:rsidRPr="003037D2">
        <w:rPr>
          <w:rFonts w:ascii="Garamond" w:eastAsia="Calibri" w:hAnsi="Garamond" w:cs="Times New Roman"/>
        </w:rPr>
        <w:t>Mr</w:t>
      </w:r>
      <w:proofErr w:type="spellEnd"/>
      <w:r w:rsidRPr="003037D2">
        <w:rPr>
          <w:rFonts w:ascii="Garamond" w:eastAsia="Calibri" w:hAnsi="Garamond" w:cs="Times New Roman"/>
        </w:rPr>
        <w:t xml:space="preserve"> Hooker says) to be the landmarks to distinguish times; for by them we are to take notice how time passes by us; and that we ought not to let the years pass without a celebration of praise for those mercies which those days give us occasion to remember.</w:t>
      </w:r>
      <w:r w:rsidRPr="003037D2">
        <w:rPr>
          <w:rFonts w:ascii="Garamond" w:eastAsia="Calibri" w:hAnsi="Garamond" w:cs="Times New Roman"/>
          <w:vertAlign w:val="superscript"/>
        </w:rPr>
        <w:footnoteReference w:id="407"/>
      </w:r>
      <w:r w:rsidRPr="003037D2">
        <w:rPr>
          <w:rFonts w:ascii="Garamond" w:eastAsia="Calibri" w:hAnsi="Garamond" w:cs="Times New Roman"/>
        </w:rPr>
        <w:t xml:space="preserve"> </w:t>
      </w:r>
    </w:p>
    <w:p w14:paraId="1904600C" w14:textId="77777777" w:rsidR="00667CD5" w:rsidRPr="003037D2" w:rsidRDefault="00667CD5" w:rsidP="00162224">
      <w:pPr>
        <w:ind w:left="737" w:right="737"/>
        <w:rPr>
          <w:rFonts w:ascii="Garamond" w:eastAsia="Calibri" w:hAnsi="Garamond" w:cs="Times New Roman"/>
        </w:rPr>
      </w:pPr>
    </w:p>
    <w:p w14:paraId="4999DE46" w14:textId="4E7DF5FD"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Herbert is praised for his emphasis on the ‘celebration of Holy days’, a celebration that could draw censure in the Jacobean period. The question of which festivals should be celebrated, and in what way, was a complex one following the Reformation, as previously discussed in Chapter 1. An anonymous 1646 pamphlet dialogue dramatizes ‘the arraignment, conviction, and imprisoning, of Christmas on St. Thomas Day’, printed by ‘Simon </w:t>
      </w:r>
      <w:proofErr w:type="spellStart"/>
      <w:r w:rsidRPr="003037D2">
        <w:rPr>
          <w:rFonts w:ascii="Garamond" w:eastAsia="Calibri" w:hAnsi="Garamond" w:cs="Times New Roman"/>
        </w:rPr>
        <w:t>Minc’d</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Pye</w:t>
      </w:r>
      <w:proofErr w:type="spellEnd"/>
      <w:r w:rsidRPr="003037D2">
        <w:rPr>
          <w:rFonts w:ascii="Garamond" w:eastAsia="Calibri" w:hAnsi="Garamond" w:cs="Times New Roman"/>
        </w:rPr>
        <w:t xml:space="preserve">, for </w:t>
      </w:r>
      <w:proofErr w:type="spellStart"/>
      <w:r w:rsidRPr="003037D2">
        <w:rPr>
          <w:rFonts w:ascii="Garamond" w:eastAsia="Calibri" w:hAnsi="Garamond" w:cs="Times New Roman"/>
        </w:rPr>
        <w:t>Cissely</w:t>
      </w:r>
      <w:proofErr w:type="spellEnd"/>
      <w:r w:rsidRPr="003037D2">
        <w:rPr>
          <w:rFonts w:ascii="Garamond" w:eastAsia="Calibri" w:hAnsi="Garamond" w:cs="Times New Roman"/>
        </w:rPr>
        <w:t xml:space="preserve"> Plum-porridge’. The Cryer describes how this ‘old, old, old, very old, gray bearded Gentleman, called Christmas… entered the Romish </w:t>
      </w:r>
      <w:proofErr w:type="spellStart"/>
      <w:r w:rsidRPr="003037D2">
        <w:rPr>
          <w:rFonts w:ascii="Garamond" w:eastAsia="Calibri" w:hAnsi="Garamond" w:cs="Times New Roman"/>
        </w:rPr>
        <w:t>Kalleder</w:t>
      </w:r>
      <w:proofErr w:type="spellEnd"/>
      <w:r w:rsidRPr="003037D2">
        <w:rPr>
          <w:rFonts w:ascii="Garamond" w:eastAsia="Calibri" w:hAnsi="Garamond" w:cs="Times New Roman"/>
        </w:rPr>
        <w:t xml:space="preserve"> time out of mind’. It is claimed that ‘he crept from under the Romish </w:t>
      </w:r>
      <w:proofErr w:type="spellStart"/>
      <w:r w:rsidRPr="003037D2">
        <w:rPr>
          <w:rFonts w:ascii="Garamond" w:eastAsia="Calibri" w:hAnsi="Garamond" w:cs="Times New Roman"/>
        </w:rPr>
        <w:t>Chaire</w:t>
      </w:r>
      <w:proofErr w:type="spellEnd"/>
      <w:r w:rsidRPr="003037D2">
        <w:rPr>
          <w:rFonts w:ascii="Garamond" w:eastAsia="Calibri" w:hAnsi="Garamond" w:cs="Times New Roman"/>
        </w:rPr>
        <w:t xml:space="preserve">; and was placed in the </w:t>
      </w:r>
      <w:proofErr w:type="spellStart"/>
      <w:r w:rsidRPr="003037D2">
        <w:rPr>
          <w:rFonts w:ascii="Garamond" w:eastAsia="Calibri" w:hAnsi="Garamond" w:cs="Times New Roman"/>
        </w:rPr>
        <w:t>Kallender</w:t>
      </w:r>
      <w:proofErr w:type="spellEnd"/>
      <w:r w:rsidRPr="003037D2">
        <w:rPr>
          <w:rFonts w:ascii="Garamond" w:eastAsia="Calibri" w:hAnsi="Garamond" w:cs="Times New Roman"/>
        </w:rPr>
        <w:t xml:space="preserve"> only by a popish Edict, to be a time observable for the common People to bring in large offerings to the Popes </w:t>
      </w:r>
      <w:proofErr w:type="spellStart"/>
      <w:r w:rsidRPr="003037D2">
        <w:rPr>
          <w:rFonts w:ascii="Garamond" w:eastAsia="Calibri" w:hAnsi="Garamond" w:cs="Times New Roman"/>
        </w:rPr>
        <w:t>holinesse</w:t>
      </w:r>
      <w:proofErr w:type="spellEnd"/>
      <w:r w:rsidRPr="003037D2">
        <w:rPr>
          <w:rFonts w:ascii="Garamond" w:eastAsia="Calibri" w:hAnsi="Garamond" w:cs="Times New Roman"/>
        </w:rPr>
        <w:t xml:space="preserve">, and to </w:t>
      </w:r>
      <w:proofErr w:type="spellStart"/>
      <w:r w:rsidRPr="003037D2">
        <w:rPr>
          <w:rFonts w:ascii="Garamond" w:eastAsia="Calibri" w:hAnsi="Garamond" w:cs="Times New Roman"/>
        </w:rPr>
        <w:t>maintaine</w:t>
      </w:r>
      <w:proofErr w:type="spellEnd"/>
      <w:r w:rsidRPr="003037D2">
        <w:rPr>
          <w:rFonts w:ascii="Garamond" w:eastAsia="Calibri" w:hAnsi="Garamond" w:cs="Times New Roman"/>
        </w:rPr>
        <w:t xml:space="preserve"> the </w:t>
      </w:r>
      <w:proofErr w:type="spellStart"/>
      <w:r w:rsidRPr="003037D2">
        <w:rPr>
          <w:rFonts w:ascii="Garamond" w:eastAsia="Calibri" w:hAnsi="Garamond" w:cs="Times New Roman"/>
        </w:rPr>
        <w:t>Cardinalls</w:t>
      </w:r>
      <w:proofErr w:type="spellEnd"/>
      <w:r w:rsidRPr="003037D2">
        <w:rPr>
          <w:rFonts w:ascii="Garamond" w:eastAsia="Calibri" w:hAnsi="Garamond" w:cs="Times New Roman"/>
        </w:rPr>
        <w:t>, Priests, and Fryers’.</w:t>
      </w:r>
      <w:r w:rsidRPr="003037D2">
        <w:rPr>
          <w:rFonts w:ascii="Garamond" w:eastAsia="Calibri" w:hAnsi="Garamond" w:cs="Times New Roman"/>
          <w:vertAlign w:val="superscript"/>
        </w:rPr>
        <w:footnoteReference w:id="408"/>
      </w:r>
      <w:r w:rsidRPr="003037D2">
        <w:rPr>
          <w:rFonts w:ascii="Garamond" w:eastAsia="Calibri" w:hAnsi="Garamond" w:cs="Times New Roman"/>
        </w:rPr>
        <w:t xml:space="preserve"> The celebrations of Christmas, and more specifically its inclusion in the calendar</w:t>
      </w:r>
      <w:r w:rsidR="00164AB4" w:rsidRPr="003037D2">
        <w:rPr>
          <w:rFonts w:ascii="Garamond" w:eastAsia="Calibri" w:hAnsi="Garamond" w:cs="Times New Roman"/>
        </w:rPr>
        <w:t>,</w:t>
      </w:r>
      <w:r w:rsidRPr="003037D2">
        <w:rPr>
          <w:rFonts w:ascii="Garamond" w:eastAsia="Calibri" w:hAnsi="Garamond" w:cs="Times New Roman"/>
        </w:rPr>
        <w:t xml:space="preserve"> is seen as part of a popish plot. Alison Chapman writes that ‘any early modern calendar [… had a</w:t>
      </w:r>
      <w:r w:rsidR="00805301" w:rsidRPr="003037D2">
        <w:rPr>
          <w:rFonts w:ascii="Garamond" w:eastAsia="Calibri" w:hAnsi="Garamond" w:cs="Times New Roman"/>
        </w:rPr>
        <w:t>n</w:t>
      </w:r>
      <w:r w:rsidRPr="003037D2">
        <w:rPr>
          <w:rFonts w:ascii="Garamond" w:eastAsia="Calibri" w:hAnsi="Garamond" w:cs="Times New Roman"/>
        </w:rPr>
        <w:t>] inherently controversial nature’, due to a calendar’s ‘tacit function as a conduct book’.</w:t>
      </w:r>
      <w:r w:rsidRPr="003037D2">
        <w:rPr>
          <w:rFonts w:ascii="Garamond" w:eastAsia="Calibri" w:hAnsi="Garamond" w:cs="Times New Roman"/>
          <w:vertAlign w:val="superscript"/>
        </w:rPr>
        <w:footnoteReference w:id="409"/>
      </w:r>
      <w:r w:rsidRPr="003037D2">
        <w:rPr>
          <w:rFonts w:ascii="Garamond" w:eastAsia="Calibri" w:hAnsi="Garamond" w:cs="Times New Roman"/>
        </w:rPr>
        <w:t xml:space="preserve"> Walton presents Herbert’s view of ‘Holy days’ as commemorative, reaching back to </w:t>
      </w:r>
      <w:proofErr w:type="gramStart"/>
      <w:r w:rsidRPr="003037D2">
        <w:rPr>
          <w:rFonts w:ascii="Garamond" w:eastAsia="Calibri" w:hAnsi="Garamond" w:cs="Times New Roman"/>
        </w:rPr>
        <w:t>particular events</w:t>
      </w:r>
      <w:proofErr w:type="gramEnd"/>
      <w:r w:rsidRPr="003037D2">
        <w:rPr>
          <w:rFonts w:ascii="Garamond" w:eastAsia="Calibri" w:hAnsi="Garamond" w:cs="Times New Roman"/>
        </w:rPr>
        <w:t xml:space="preserve"> in the historic past. Indeed, after detailing the various festivals, and the events they commemorate, Walton declares, ‘thus the church keeps an historical and circular commemoration of times, as they pass by us’.</w:t>
      </w:r>
      <w:r w:rsidRPr="003037D2">
        <w:rPr>
          <w:rFonts w:ascii="Garamond" w:eastAsia="Calibri" w:hAnsi="Garamond" w:cs="Times New Roman"/>
          <w:vertAlign w:val="superscript"/>
        </w:rPr>
        <w:footnoteReference w:id="410"/>
      </w:r>
      <w:r w:rsidRPr="003037D2">
        <w:rPr>
          <w:rFonts w:ascii="Garamond" w:eastAsia="Calibri" w:hAnsi="Garamond" w:cs="Times New Roman"/>
        </w:rPr>
        <w:t xml:space="preserve"> Walton insists that these commemorative festivals denote a ‘circular’ understanding of time; however, this is complicated by his own exhortation to ‘not let the years pass without a celebration’. This suggests a linear view of time, in which every year historic biblical events recede further and further into the past, the gap between the </w:t>
      </w:r>
      <w:r w:rsidRPr="003037D2">
        <w:rPr>
          <w:rFonts w:ascii="Garamond" w:eastAsia="Calibri" w:hAnsi="Garamond" w:cs="Times New Roman"/>
          <w:i/>
          <w:iCs/>
        </w:rPr>
        <w:t>now</w:t>
      </w:r>
      <w:r w:rsidRPr="003037D2">
        <w:rPr>
          <w:rFonts w:ascii="Garamond" w:eastAsia="Calibri" w:hAnsi="Garamond" w:cs="Times New Roman"/>
        </w:rPr>
        <w:t xml:space="preserve"> of celebration, and the </w:t>
      </w:r>
      <w:r w:rsidRPr="003037D2">
        <w:rPr>
          <w:rFonts w:ascii="Garamond" w:eastAsia="Calibri" w:hAnsi="Garamond" w:cs="Times New Roman"/>
          <w:i/>
          <w:iCs/>
        </w:rPr>
        <w:t>then</w:t>
      </w:r>
      <w:r w:rsidRPr="003037D2">
        <w:rPr>
          <w:rFonts w:ascii="Garamond" w:eastAsia="Calibri" w:hAnsi="Garamond" w:cs="Times New Roman"/>
        </w:rPr>
        <w:t xml:space="preserve"> of Jesus’ life ever widening. As discussed with reference to the temporal schemes of the almanacs and psalm translations in the preceding chapters, the passage of time cannot </w:t>
      </w:r>
      <w:r w:rsidRPr="003037D2">
        <w:rPr>
          <w:rFonts w:ascii="Garamond" w:eastAsia="Calibri" w:hAnsi="Garamond" w:cs="Times New Roman"/>
        </w:rPr>
        <w:lastRenderedPageBreak/>
        <w:t>be simply figured as either a line or a circle. Hilary Binda, discussing early modern sacramental beliefs, has commented that seventeenth-century Christianity ‘embraced absence in place of presence, in comparison to medieval Christianity with its attendant icons and relics to bring the presence of the divine close’.</w:t>
      </w:r>
      <w:r w:rsidRPr="003037D2">
        <w:rPr>
          <w:rFonts w:ascii="Garamond" w:eastAsia="Calibri" w:hAnsi="Garamond" w:cs="Times New Roman"/>
          <w:vertAlign w:val="superscript"/>
        </w:rPr>
        <w:footnoteReference w:id="411"/>
      </w:r>
      <w:r w:rsidRPr="003037D2">
        <w:rPr>
          <w:rFonts w:ascii="Garamond" w:eastAsia="Calibri" w:hAnsi="Garamond" w:cs="Times New Roman"/>
        </w:rPr>
        <w:t xml:space="preserve"> The emphasis on the word and the strictly symbolic nature of the Eucharist divorced the present moment from Christ’s presence. Binda argues that ‘regarding itself as historically distant from the past that was Christ’s present… early modern Protestants no longer figured transcendent presence spatially… rather, they understood divine presence according to a logic of temporal deferral’.</w:t>
      </w:r>
      <w:r w:rsidRPr="003037D2">
        <w:rPr>
          <w:rFonts w:ascii="Garamond" w:eastAsia="Calibri" w:hAnsi="Garamond" w:cs="Times New Roman"/>
          <w:vertAlign w:val="superscript"/>
        </w:rPr>
        <w:footnoteReference w:id="412"/>
      </w:r>
      <w:r w:rsidRPr="003037D2">
        <w:rPr>
          <w:rFonts w:ascii="Garamond" w:eastAsia="Calibri" w:hAnsi="Garamond" w:cs="Times New Roman"/>
        </w:rPr>
        <w:t xml:space="preserve"> However, it is debatable if this separation of the spatial and the temporal holds true in Herbert’s work. I contend that in Herbert’s poetry, word and time become </w:t>
      </w:r>
      <w:proofErr w:type="spellStart"/>
      <w:r w:rsidRPr="003037D2">
        <w:rPr>
          <w:rFonts w:ascii="Garamond" w:eastAsia="Calibri" w:hAnsi="Garamond" w:cs="Times New Roman"/>
        </w:rPr>
        <w:t>materialised</w:t>
      </w:r>
      <w:proofErr w:type="spellEnd"/>
      <w:r w:rsidRPr="003037D2">
        <w:rPr>
          <w:rFonts w:ascii="Garamond" w:eastAsia="Calibri" w:hAnsi="Garamond" w:cs="Times New Roman"/>
        </w:rPr>
        <w:t xml:space="preserve"> </w:t>
      </w:r>
      <w:proofErr w:type="gramStart"/>
      <w:r w:rsidRPr="003037D2">
        <w:rPr>
          <w:rFonts w:ascii="Garamond" w:eastAsia="Calibri" w:hAnsi="Garamond" w:cs="Times New Roman"/>
        </w:rPr>
        <w:t>through the use of</w:t>
      </w:r>
      <w:proofErr w:type="gramEnd"/>
      <w:r w:rsidRPr="003037D2">
        <w:rPr>
          <w:rFonts w:ascii="Garamond" w:eastAsia="Calibri" w:hAnsi="Garamond" w:cs="Times New Roman"/>
        </w:rPr>
        <w:t xml:space="preserve"> pattern poetry and symbolic language, which both governs the reader’s temporal experience of the book and opens the opportunity to explore the complex relationship that exists between different types of time and experience. </w:t>
      </w:r>
    </w:p>
    <w:p w14:paraId="2EF109B5" w14:textId="77777777" w:rsidR="00162224" w:rsidRPr="003037D2" w:rsidRDefault="00162224" w:rsidP="00162224">
      <w:pPr>
        <w:spacing w:line="360" w:lineRule="auto"/>
        <w:rPr>
          <w:rFonts w:ascii="Garamond" w:eastAsia="Calibri" w:hAnsi="Garamond" w:cs="Times New Roman"/>
        </w:rPr>
      </w:pPr>
    </w:p>
    <w:p w14:paraId="700E3C44" w14:textId="5DC83092"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i/>
        </w:rPr>
        <w:t xml:space="preserve">The Temple </w:t>
      </w:r>
      <w:r w:rsidRPr="003037D2">
        <w:rPr>
          <w:rFonts w:ascii="Garamond" w:eastAsia="Calibri" w:hAnsi="Garamond" w:cs="Times New Roman"/>
        </w:rPr>
        <w:t>has often been discussed in spatial terms, with critics understandably drawn to the way in which Herbert reconstructs various material aspects of the church in verse, from the opening poem ‘The Church Porch’, through descriptions of ‘The Altar’, ‘The Church-</w:t>
      </w:r>
      <w:proofErr w:type="spellStart"/>
      <w:r w:rsidRPr="003037D2">
        <w:rPr>
          <w:rFonts w:ascii="Garamond" w:eastAsia="Calibri" w:hAnsi="Garamond" w:cs="Times New Roman"/>
        </w:rPr>
        <w:t>floore</w:t>
      </w:r>
      <w:proofErr w:type="spellEnd"/>
      <w:r w:rsidRPr="003037D2">
        <w:rPr>
          <w:rFonts w:ascii="Garamond" w:eastAsia="Calibri" w:hAnsi="Garamond" w:cs="Times New Roman"/>
        </w:rPr>
        <w:t xml:space="preserve">’ and ‘The Windows’. Herbert’s platoon of imitators often focused upon the architectural motifs conjured up by his poetry, a phenomenon obvious even in the titles of two of the most famous imitations, Richard Crashaw’s </w:t>
      </w:r>
      <w:r w:rsidRPr="003037D2">
        <w:rPr>
          <w:rFonts w:ascii="Garamond" w:eastAsia="Calibri" w:hAnsi="Garamond" w:cs="Times New Roman"/>
          <w:i/>
        </w:rPr>
        <w:t xml:space="preserve">Steps to the Temple </w:t>
      </w:r>
      <w:r w:rsidRPr="003037D2">
        <w:rPr>
          <w:rFonts w:ascii="Garamond" w:eastAsia="Calibri" w:hAnsi="Garamond" w:cs="Times New Roman"/>
        </w:rPr>
        <w:t>(1646)</w:t>
      </w:r>
      <w:r w:rsidRPr="003037D2">
        <w:rPr>
          <w:rFonts w:ascii="Garamond" w:eastAsia="Calibri" w:hAnsi="Garamond" w:cs="Times New Roman"/>
          <w:i/>
        </w:rPr>
        <w:t xml:space="preserve"> </w:t>
      </w:r>
      <w:r w:rsidRPr="003037D2">
        <w:rPr>
          <w:rFonts w:ascii="Garamond" w:eastAsia="Calibri" w:hAnsi="Garamond" w:cs="Times New Roman"/>
        </w:rPr>
        <w:t xml:space="preserve">and Christopher’s Harvey’s </w:t>
      </w:r>
      <w:r w:rsidRPr="003037D2">
        <w:rPr>
          <w:rFonts w:ascii="Garamond" w:eastAsia="Calibri" w:hAnsi="Garamond" w:cs="Times New Roman"/>
          <w:i/>
        </w:rPr>
        <w:t xml:space="preserve">The Synagogue, or The Shadow of the Temple: Sacred Poems and Private Ejaculations in Imitation of Mr. George Herbert </w:t>
      </w:r>
      <w:r w:rsidRPr="003037D2">
        <w:rPr>
          <w:rFonts w:ascii="Garamond" w:eastAsia="Calibri" w:hAnsi="Garamond" w:cs="Times New Roman"/>
        </w:rPr>
        <w:t>(1640).</w:t>
      </w:r>
      <w:r w:rsidRPr="003037D2">
        <w:rPr>
          <w:rFonts w:ascii="Garamond" w:eastAsia="Calibri" w:hAnsi="Garamond" w:cs="Times New Roman"/>
          <w:vertAlign w:val="superscript"/>
        </w:rPr>
        <w:footnoteReference w:id="413"/>
      </w:r>
      <w:r w:rsidRPr="003037D2">
        <w:rPr>
          <w:rFonts w:ascii="Garamond" w:eastAsia="Calibri" w:hAnsi="Garamond" w:cs="Times New Roman"/>
        </w:rPr>
        <w:t xml:space="preserve"> John David Walker described the structure of the volume as ruled by ‘architectonics’, divided into three parts</w:t>
      </w:r>
      <w:r w:rsidRPr="003037D2">
        <w:rPr>
          <w:rFonts w:ascii="Garamond" w:eastAsia="Calibri" w:hAnsi="Garamond" w:cs="Times New Roman"/>
          <w:i/>
          <w:iCs/>
        </w:rPr>
        <w:t xml:space="preserve"> </w:t>
      </w:r>
      <w:r w:rsidRPr="003037D2">
        <w:rPr>
          <w:rFonts w:ascii="Garamond" w:eastAsia="Calibri" w:hAnsi="Garamond" w:cs="Times New Roman"/>
        </w:rPr>
        <w:t>setting out ‘The Church Porch’ separately from ‘The Church’ itself.</w:t>
      </w:r>
      <w:r w:rsidRPr="003037D2">
        <w:rPr>
          <w:rFonts w:ascii="Garamond" w:eastAsia="Calibri" w:hAnsi="Garamond" w:cs="Times New Roman"/>
          <w:vertAlign w:val="superscript"/>
        </w:rPr>
        <w:footnoteReference w:id="414"/>
      </w:r>
      <w:r w:rsidRPr="003037D2">
        <w:rPr>
          <w:rFonts w:ascii="Garamond" w:eastAsia="Calibri" w:hAnsi="Garamond" w:cs="Times New Roman"/>
        </w:rPr>
        <w:t xml:space="preserve"> Barbara </w:t>
      </w:r>
      <w:proofErr w:type="spellStart"/>
      <w:r w:rsidRPr="003037D2">
        <w:rPr>
          <w:rFonts w:ascii="Garamond" w:eastAsia="Calibri" w:hAnsi="Garamond" w:cs="Times New Roman"/>
        </w:rPr>
        <w:t>Lewalski</w:t>
      </w:r>
      <w:proofErr w:type="spellEnd"/>
      <w:r w:rsidRPr="003037D2">
        <w:rPr>
          <w:rFonts w:ascii="Garamond" w:eastAsia="Calibri" w:hAnsi="Garamond" w:cs="Times New Roman"/>
        </w:rPr>
        <w:t xml:space="preserve">, among others, has commented on how the volume replicates the three part structure of a Hebrew temple, although </w:t>
      </w:r>
      <w:proofErr w:type="spellStart"/>
      <w:r w:rsidRPr="003037D2">
        <w:rPr>
          <w:rFonts w:ascii="Garamond" w:eastAsia="Calibri" w:hAnsi="Garamond" w:cs="Times New Roman"/>
        </w:rPr>
        <w:t>Lewalski</w:t>
      </w:r>
      <w:proofErr w:type="spellEnd"/>
      <w:r w:rsidRPr="003037D2">
        <w:rPr>
          <w:rFonts w:ascii="Garamond" w:eastAsia="Calibri" w:hAnsi="Garamond" w:cs="Times New Roman"/>
        </w:rPr>
        <w:t xml:space="preserve"> asserts that this is given a Christian frame of reference.</w:t>
      </w:r>
      <w:r w:rsidRPr="003037D2">
        <w:rPr>
          <w:rFonts w:ascii="Garamond" w:eastAsia="Calibri" w:hAnsi="Garamond" w:cs="Times New Roman"/>
          <w:vertAlign w:val="superscript"/>
        </w:rPr>
        <w:footnoteReference w:id="415"/>
      </w:r>
      <w:r w:rsidRPr="003037D2">
        <w:rPr>
          <w:rFonts w:ascii="Garamond" w:eastAsia="Calibri" w:hAnsi="Garamond" w:cs="Times New Roman"/>
        </w:rPr>
        <w:t xml:space="preserve"> In the sixteenth and seventeenth centuries, Reformers </w:t>
      </w:r>
      <w:r w:rsidRPr="003037D2">
        <w:rPr>
          <w:rFonts w:ascii="Garamond" w:eastAsia="Calibri" w:hAnsi="Garamond" w:cs="Times New Roman"/>
        </w:rPr>
        <w:lastRenderedPageBreak/>
        <w:t>had to find ways to transform the medieval churches they had inherited into spaces that would suit Protestant worship. James White has traced some of these interventions, noting that compared to continental Europe, ‘English churchmen were generally more conservative in their treatment of medieval buildings’, primarily focusing on changes that would make the service visible and audible to the congregation.</w:t>
      </w:r>
      <w:r w:rsidRPr="003037D2">
        <w:rPr>
          <w:rFonts w:ascii="Garamond" w:eastAsia="Calibri" w:hAnsi="Garamond" w:cs="Times New Roman"/>
          <w:vertAlign w:val="superscript"/>
        </w:rPr>
        <w:footnoteReference w:id="416"/>
      </w:r>
      <w:r w:rsidRPr="003037D2">
        <w:rPr>
          <w:rFonts w:ascii="Garamond" w:eastAsia="Calibri" w:hAnsi="Garamond" w:cs="Times New Roman"/>
        </w:rPr>
        <w:t xml:space="preserve"> This included the replacing of stone altars with wooden tables during Edward VI’s reign, and the destruction of rood screens under Elizabeth’s rule. Successive monarchs and bishops had different expectations of how the parish church would look and sought to assert their views with varying degrees of severity.</w:t>
      </w:r>
      <w:r w:rsidRPr="003037D2">
        <w:rPr>
          <w:rFonts w:ascii="Garamond" w:eastAsia="Calibri" w:hAnsi="Garamond" w:cs="Times New Roman"/>
          <w:vertAlign w:val="superscript"/>
        </w:rPr>
        <w:footnoteReference w:id="417"/>
      </w:r>
      <w:r w:rsidRPr="003037D2">
        <w:rPr>
          <w:rFonts w:ascii="Garamond" w:eastAsia="Calibri" w:hAnsi="Garamond" w:cs="Times New Roman"/>
        </w:rPr>
        <w:t xml:space="preserve"> Herbert’s engagement with church architecture could be read in the context of this controversy. However, as Anne Meyers has suggested, placing Herbert’s physical spaces within this narrative of conflict and schism has often resulted in critics overlooking the community-building aspects of these physical spaces.</w:t>
      </w:r>
      <w:r w:rsidRPr="003037D2">
        <w:rPr>
          <w:rFonts w:ascii="Garamond" w:eastAsia="Calibri" w:hAnsi="Garamond" w:cs="Times New Roman"/>
          <w:vertAlign w:val="superscript"/>
        </w:rPr>
        <w:footnoteReference w:id="418"/>
      </w:r>
      <w:r w:rsidRPr="003037D2">
        <w:rPr>
          <w:rFonts w:ascii="Garamond" w:eastAsia="Calibri" w:hAnsi="Garamond" w:cs="Times New Roman"/>
        </w:rPr>
        <w:t xml:space="preserve"> Even Walton’s description of He</w:t>
      </w:r>
      <w:r w:rsidR="00805301" w:rsidRPr="003037D2">
        <w:rPr>
          <w:rFonts w:ascii="Garamond" w:eastAsia="Calibri" w:hAnsi="Garamond" w:cs="Times New Roman"/>
        </w:rPr>
        <w:t>r</w:t>
      </w:r>
      <w:r w:rsidRPr="003037D2">
        <w:rPr>
          <w:rFonts w:ascii="Garamond" w:eastAsia="Calibri" w:hAnsi="Garamond" w:cs="Times New Roman"/>
        </w:rPr>
        <w:t xml:space="preserve">bert’s </w:t>
      </w:r>
      <w:proofErr w:type="spellStart"/>
      <w:r w:rsidRPr="003037D2">
        <w:rPr>
          <w:rFonts w:ascii="Garamond" w:eastAsia="Calibri" w:hAnsi="Garamond" w:cs="Times New Roman"/>
        </w:rPr>
        <w:t>valorisation</w:t>
      </w:r>
      <w:proofErr w:type="spellEnd"/>
      <w:r w:rsidRPr="003037D2">
        <w:rPr>
          <w:rFonts w:ascii="Garamond" w:eastAsia="Calibri" w:hAnsi="Garamond" w:cs="Times New Roman"/>
        </w:rPr>
        <w:t xml:space="preserve"> of church festivals draws on material terms: Herbert presents his congregation with ‘landmarks to distinguish times’. The year is described as a landscape to be passed through, needing human intervention to become legible to the voyager. The focus is on a time and space that is accommodating to the reader and the congregation, although necessitating their involvement. </w:t>
      </w:r>
    </w:p>
    <w:p w14:paraId="6D2B02E6" w14:textId="77777777" w:rsidR="00162224" w:rsidRPr="003037D2" w:rsidRDefault="00162224" w:rsidP="00162224">
      <w:pPr>
        <w:spacing w:line="360" w:lineRule="auto"/>
        <w:ind w:firstLine="720"/>
        <w:rPr>
          <w:rFonts w:ascii="Garamond" w:eastAsia="Calibri" w:hAnsi="Garamond" w:cs="Times New Roman"/>
        </w:rPr>
      </w:pPr>
    </w:p>
    <w:p w14:paraId="261B17AF" w14:textId="5A858950"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 </w:t>
      </w:r>
      <w:r w:rsidRPr="003037D2">
        <w:rPr>
          <w:rFonts w:ascii="Garamond" w:eastAsia="Calibri" w:hAnsi="Garamond" w:cs="Times New Roman"/>
        </w:rPr>
        <w:tab/>
      </w:r>
      <w:bookmarkStart w:id="46" w:name="_Hlk509225417"/>
      <w:r w:rsidRPr="003037D2">
        <w:rPr>
          <w:rFonts w:ascii="Garamond" w:eastAsia="Calibri" w:hAnsi="Garamond" w:cs="Times New Roman"/>
        </w:rPr>
        <w:t>Considering the physical spaces of Herbert’s poetry as community-building helps connect his poetic work to his career as a country parson. This career has sometimes been represented as one of failure: a once promising scholar and politician forced into reduced circumstances. One of ten children, Herbert’s father died when he was three and his mother moved the family to Oxford and then London, where his brother Edward reported she kept ‘a greater family than became… [her] widows estate’.</w:t>
      </w:r>
      <w:r w:rsidRPr="003037D2">
        <w:rPr>
          <w:rFonts w:ascii="Garamond" w:eastAsia="Calibri" w:hAnsi="Garamond" w:cs="Times New Roman"/>
          <w:vertAlign w:val="superscript"/>
        </w:rPr>
        <w:footnoteReference w:id="419"/>
      </w:r>
      <w:r w:rsidRPr="003037D2">
        <w:rPr>
          <w:rFonts w:ascii="Garamond" w:eastAsia="Calibri" w:hAnsi="Garamond" w:cs="Times New Roman"/>
        </w:rPr>
        <w:t xml:space="preserve"> Magdalen Herbert was a committed intellectual, who ensured that the young George attended Westminster School under Lancelot Andrewes’ strict guidance, and mixed with the composers John Bell</w:t>
      </w:r>
      <w:r w:rsidR="00164AB4" w:rsidRPr="003037D2">
        <w:rPr>
          <w:rFonts w:ascii="Garamond" w:eastAsia="Calibri" w:hAnsi="Garamond" w:cs="Times New Roman"/>
        </w:rPr>
        <w:t xml:space="preserve"> and </w:t>
      </w:r>
      <w:r w:rsidRPr="003037D2">
        <w:rPr>
          <w:rFonts w:ascii="Garamond" w:eastAsia="Calibri" w:hAnsi="Garamond" w:cs="Times New Roman"/>
        </w:rPr>
        <w:t xml:space="preserve">William Byrd, and the historian William Camden. Herbert entered Trinity College, Cambridge as a Westminster scholar and was </w:t>
      </w:r>
      <w:r w:rsidRPr="003037D2">
        <w:rPr>
          <w:rFonts w:ascii="Garamond" w:eastAsia="Calibri" w:hAnsi="Garamond" w:cs="Times New Roman"/>
        </w:rPr>
        <w:lastRenderedPageBreak/>
        <w:t xml:space="preserve">noted as one of the brightest minds of his generation. Following his graduation, Herbert became University Orator, giving speeches before the King. It has been suggested that Herbert aspired to a career at court, but in the same year that he was elected as a MP for Montgomery, he applied to the Archbishop of Canterbury for permission to be ordained as a Deacon and was given a portion of a rectory in </w:t>
      </w:r>
      <w:proofErr w:type="spellStart"/>
      <w:r w:rsidRPr="003037D2">
        <w:rPr>
          <w:rFonts w:ascii="Garamond" w:eastAsia="Calibri" w:hAnsi="Garamond" w:cs="Times New Roman"/>
        </w:rPr>
        <w:t>Montgomeryshire</w:t>
      </w:r>
      <w:proofErr w:type="spellEnd"/>
      <w:r w:rsidRPr="003037D2">
        <w:rPr>
          <w:rFonts w:ascii="Garamond" w:eastAsia="Calibri" w:hAnsi="Garamond" w:cs="Times New Roman"/>
        </w:rPr>
        <w:t xml:space="preserve">. He gained other Church positions, and then was given the living of </w:t>
      </w:r>
      <w:proofErr w:type="spellStart"/>
      <w:r w:rsidRPr="003037D2">
        <w:rPr>
          <w:rFonts w:ascii="Garamond" w:eastAsia="Calibri" w:hAnsi="Garamond" w:cs="Times New Roman"/>
        </w:rPr>
        <w:t>Bemerton</w:t>
      </w:r>
      <w:proofErr w:type="spellEnd"/>
      <w:r w:rsidRPr="003037D2">
        <w:rPr>
          <w:rFonts w:ascii="Garamond" w:eastAsia="Calibri" w:hAnsi="Garamond" w:cs="Times New Roman"/>
        </w:rPr>
        <w:t xml:space="preserve">, a small parish near Salisbury, Wiltshire. This has often been </w:t>
      </w:r>
      <w:proofErr w:type="spellStart"/>
      <w:r w:rsidRPr="003037D2">
        <w:rPr>
          <w:rFonts w:ascii="Garamond" w:eastAsia="Calibri" w:hAnsi="Garamond" w:cs="Times New Roman"/>
        </w:rPr>
        <w:t>characterised</w:t>
      </w:r>
      <w:proofErr w:type="spellEnd"/>
      <w:r w:rsidRPr="003037D2">
        <w:rPr>
          <w:rFonts w:ascii="Garamond" w:eastAsia="Calibri" w:hAnsi="Garamond" w:cs="Times New Roman"/>
        </w:rPr>
        <w:t xml:space="preserve"> as a ‘humble way’, but the parish included Wilton House, the seat of his relative the Earl of Pembroke, and so maintained Herbert’s courtly connections.</w:t>
      </w:r>
      <w:r w:rsidRPr="003037D2">
        <w:rPr>
          <w:rFonts w:ascii="Garamond" w:eastAsia="Calibri" w:hAnsi="Garamond" w:cs="Times New Roman"/>
          <w:vertAlign w:val="superscript"/>
        </w:rPr>
        <w:footnoteReference w:id="420"/>
      </w:r>
      <w:r w:rsidRPr="003037D2">
        <w:rPr>
          <w:rFonts w:ascii="Garamond" w:eastAsia="Calibri" w:hAnsi="Garamond" w:cs="Times New Roman"/>
        </w:rPr>
        <w:t xml:space="preserve"> </w:t>
      </w:r>
    </w:p>
    <w:p w14:paraId="78685E3A" w14:textId="77777777" w:rsidR="00162224" w:rsidRPr="003037D2" w:rsidRDefault="00162224" w:rsidP="00162224">
      <w:pPr>
        <w:spacing w:line="360" w:lineRule="auto"/>
        <w:rPr>
          <w:rFonts w:ascii="Garamond" w:eastAsia="Calibri" w:hAnsi="Garamond" w:cs="Times New Roman"/>
        </w:rPr>
      </w:pPr>
    </w:p>
    <w:p w14:paraId="56F3C61D" w14:textId="35489C23"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Herbert’s</w:t>
      </w:r>
      <w:r w:rsidRPr="003037D2">
        <w:rPr>
          <w:rFonts w:ascii="Garamond" w:eastAsia="Calibri" w:hAnsi="Garamond" w:cs="Times New Roman"/>
          <w:i/>
          <w:iCs/>
        </w:rPr>
        <w:t xml:space="preserve"> A Priest to the Temple: or, the Country Parson his character and rule of Holy Life </w:t>
      </w:r>
      <w:r w:rsidRPr="003037D2">
        <w:rPr>
          <w:rFonts w:ascii="Garamond" w:eastAsia="Calibri" w:hAnsi="Garamond" w:cs="Times New Roman"/>
        </w:rPr>
        <w:t xml:space="preserve">sets out over 37 chapters </w:t>
      </w:r>
      <w:r w:rsidR="0038415A" w:rsidRPr="003037D2">
        <w:rPr>
          <w:rFonts w:ascii="Garamond" w:eastAsia="Calibri" w:hAnsi="Garamond" w:cs="Times New Roman"/>
        </w:rPr>
        <w:t xml:space="preserve">of </w:t>
      </w:r>
      <w:r w:rsidRPr="003037D2">
        <w:rPr>
          <w:rFonts w:ascii="Garamond" w:eastAsia="Calibri" w:hAnsi="Garamond" w:cs="Times New Roman"/>
        </w:rPr>
        <w:t xml:space="preserve">guidance for the country parson in all particulars of their life. The advice offered covers topics ranging from the parson’s reading habits, to the talents their wife should have, to how they should greet passers-by when venturing out of their parish. The text (hereafter referred to as </w:t>
      </w:r>
      <w:r w:rsidRPr="003037D2">
        <w:rPr>
          <w:rFonts w:ascii="Garamond" w:eastAsia="Calibri" w:hAnsi="Garamond" w:cs="Times New Roman"/>
          <w:i/>
          <w:iCs/>
        </w:rPr>
        <w:t>The Country Parson</w:t>
      </w:r>
      <w:r w:rsidRPr="003037D2">
        <w:rPr>
          <w:rFonts w:ascii="Garamond" w:eastAsia="Calibri" w:hAnsi="Garamond" w:cs="Times New Roman"/>
        </w:rPr>
        <w:t xml:space="preserve">) was first printed as part of as part of </w:t>
      </w:r>
      <w:r w:rsidRPr="003037D2">
        <w:rPr>
          <w:rFonts w:ascii="Garamond" w:eastAsia="Calibri" w:hAnsi="Garamond" w:cs="Times New Roman"/>
          <w:i/>
          <w:iCs/>
        </w:rPr>
        <w:t xml:space="preserve">Herbert’s Remains </w:t>
      </w:r>
      <w:r w:rsidRPr="003037D2">
        <w:rPr>
          <w:rFonts w:ascii="Garamond" w:eastAsia="Calibri" w:hAnsi="Garamond" w:cs="Times New Roman"/>
        </w:rPr>
        <w:t>in 1652, and would later be published as a separate edition in 1671.</w:t>
      </w:r>
      <w:r w:rsidRPr="003037D2">
        <w:rPr>
          <w:rFonts w:ascii="Garamond" w:eastAsia="Calibri" w:hAnsi="Garamond" w:cs="Times New Roman"/>
          <w:vertAlign w:val="superscript"/>
        </w:rPr>
        <w:footnoteReference w:id="421"/>
      </w:r>
      <w:r w:rsidRPr="003037D2">
        <w:rPr>
          <w:rFonts w:ascii="Garamond" w:eastAsia="Calibri" w:hAnsi="Garamond" w:cs="Times New Roman"/>
        </w:rPr>
        <w:t xml:space="preserve"> Cristina Malcolmson suggests that the ‘character’ of the longer title refers directly to ‘the process of public self-representation’, as character here denotes a likeness rather than personality. The manual therefore ‘teaches parsons how to write out their holiness before the audience of their parishioners’.</w:t>
      </w:r>
      <w:r w:rsidRPr="003037D2">
        <w:rPr>
          <w:rFonts w:ascii="Garamond" w:eastAsia="Calibri" w:hAnsi="Garamond" w:cs="Times New Roman"/>
          <w:vertAlign w:val="superscript"/>
        </w:rPr>
        <w:footnoteReference w:id="422"/>
      </w:r>
      <w:r w:rsidRPr="003037D2">
        <w:rPr>
          <w:rFonts w:ascii="Garamond" w:eastAsia="Calibri" w:hAnsi="Garamond" w:cs="Times New Roman"/>
        </w:rPr>
        <w:t xml:space="preserve"> This holiness will teach the parishioners how to structure their very week and those of others, as Herbert suggests that it is a parson’s job to ensure that his flock makes good use of their time. In the chapter ‘The Parson in Circuit’, which details how the parson should spend their weekday afternoons, he states that they should call in on parishioners unannounced, ‘for there he shall find his flock most naturally as they are, wallowing </w:t>
      </w:r>
      <w:proofErr w:type="gramStart"/>
      <w:r w:rsidRPr="003037D2">
        <w:rPr>
          <w:rFonts w:ascii="Garamond" w:eastAsia="Calibri" w:hAnsi="Garamond" w:cs="Times New Roman"/>
        </w:rPr>
        <w:t>in the midst of</w:t>
      </w:r>
      <w:proofErr w:type="gramEnd"/>
      <w:r w:rsidRPr="003037D2">
        <w:rPr>
          <w:rFonts w:ascii="Garamond" w:eastAsia="Calibri" w:hAnsi="Garamond" w:cs="Times New Roman"/>
        </w:rPr>
        <w:t xml:space="preserve"> their affairs’. After first blessing each house, ‘as he finds the persons of the house employed so he forms his discourse’. If they are ‘religiously employed’ he ‘commends them much’ and gives them any assistance they might need, such as remedies or recipes if to help the sick. If they are ‘busy in the works of their calling, he </w:t>
      </w:r>
      <w:proofErr w:type="spellStart"/>
      <w:r w:rsidRPr="003037D2">
        <w:rPr>
          <w:rFonts w:ascii="Garamond" w:eastAsia="Calibri" w:hAnsi="Garamond" w:cs="Times New Roman"/>
        </w:rPr>
        <w:t>commendeth</w:t>
      </w:r>
      <w:proofErr w:type="spellEnd"/>
      <w:r w:rsidRPr="003037D2">
        <w:rPr>
          <w:rFonts w:ascii="Garamond" w:eastAsia="Calibri" w:hAnsi="Garamond" w:cs="Times New Roman"/>
        </w:rPr>
        <w:t xml:space="preserve"> them </w:t>
      </w:r>
      <w:r w:rsidRPr="003037D2">
        <w:rPr>
          <w:rFonts w:ascii="Garamond" w:eastAsia="Calibri" w:hAnsi="Garamond" w:cs="Times New Roman"/>
        </w:rPr>
        <w:lastRenderedPageBreak/>
        <w:t>also: for it is a good and just thing for everyone to do their own business’. Following this however, the parson is advised to ‘admonish’ them:</w:t>
      </w:r>
    </w:p>
    <w:p w14:paraId="610427DE" w14:textId="5024C691" w:rsidR="00162224" w:rsidRDefault="00162224" w:rsidP="00162224">
      <w:pPr>
        <w:ind w:left="737" w:right="737"/>
        <w:rPr>
          <w:rFonts w:ascii="Garamond" w:eastAsia="Calibri" w:hAnsi="Garamond" w:cs="Times New Roman"/>
        </w:rPr>
      </w:pPr>
      <w:r w:rsidRPr="003037D2">
        <w:rPr>
          <w:rFonts w:ascii="Garamond" w:eastAsia="Calibri" w:hAnsi="Garamond" w:cs="Times New Roman"/>
        </w:rPr>
        <w:t xml:space="preserve">First, that they dive not too deep into worldly affairs, plunging themselves over head and ears into carking and caring, but that they so </w:t>
      </w:r>
      <w:proofErr w:type="spellStart"/>
      <w:r w:rsidRPr="003037D2">
        <w:rPr>
          <w:rFonts w:ascii="Garamond" w:eastAsia="Calibri" w:hAnsi="Garamond" w:cs="Times New Roman"/>
        </w:rPr>
        <w:t>labour</w:t>
      </w:r>
      <w:proofErr w:type="spellEnd"/>
      <w:r w:rsidRPr="003037D2">
        <w:rPr>
          <w:rFonts w:ascii="Garamond" w:eastAsia="Calibri" w:hAnsi="Garamond" w:cs="Times New Roman"/>
        </w:rPr>
        <w:t xml:space="preserve"> as neither to </w:t>
      </w:r>
      <w:proofErr w:type="spellStart"/>
      <w:r w:rsidRPr="003037D2">
        <w:rPr>
          <w:rFonts w:ascii="Garamond" w:eastAsia="Calibri" w:hAnsi="Garamond" w:cs="Times New Roman"/>
        </w:rPr>
        <w:t>labour</w:t>
      </w:r>
      <w:proofErr w:type="spellEnd"/>
      <w:r w:rsidRPr="003037D2">
        <w:rPr>
          <w:rFonts w:ascii="Garamond" w:eastAsia="Calibri" w:hAnsi="Garamond" w:cs="Times New Roman"/>
        </w:rPr>
        <w:t xml:space="preserve"> anxiously nor distrustfully nor profanely. Then they </w:t>
      </w:r>
      <w:proofErr w:type="spellStart"/>
      <w:r w:rsidRPr="003037D2">
        <w:rPr>
          <w:rFonts w:ascii="Garamond" w:eastAsia="Calibri" w:hAnsi="Garamond" w:cs="Times New Roman"/>
        </w:rPr>
        <w:t>labour</w:t>
      </w:r>
      <w:proofErr w:type="spellEnd"/>
      <w:r w:rsidRPr="003037D2">
        <w:rPr>
          <w:rFonts w:ascii="Garamond" w:eastAsia="Calibri" w:hAnsi="Garamond" w:cs="Times New Roman"/>
        </w:rPr>
        <w:t xml:space="preserve"> anxiously when they overdo it, to the loss of their quiet and health: then distrustfully when they doubt God’s providence, thinking that their own </w:t>
      </w:r>
      <w:proofErr w:type="spellStart"/>
      <w:r w:rsidRPr="003037D2">
        <w:rPr>
          <w:rFonts w:ascii="Garamond" w:eastAsia="Calibri" w:hAnsi="Garamond" w:cs="Times New Roman"/>
        </w:rPr>
        <w:t>labour</w:t>
      </w:r>
      <w:proofErr w:type="spellEnd"/>
      <w:r w:rsidRPr="003037D2">
        <w:rPr>
          <w:rFonts w:ascii="Garamond" w:eastAsia="Calibri" w:hAnsi="Garamond" w:cs="Times New Roman"/>
        </w:rPr>
        <w:t xml:space="preserve"> is the cause of their thriving…. Then they </w:t>
      </w:r>
      <w:proofErr w:type="spellStart"/>
      <w:r w:rsidRPr="003037D2">
        <w:rPr>
          <w:rFonts w:ascii="Garamond" w:eastAsia="Calibri" w:hAnsi="Garamond" w:cs="Times New Roman"/>
        </w:rPr>
        <w:t>labour</w:t>
      </w:r>
      <w:proofErr w:type="spellEnd"/>
      <w:r w:rsidRPr="003037D2">
        <w:rPr>
          <w:rFonts w:ascii="Garamond" w:eastAsia="Calibri" w:hAnsi="Garamond" w:cs="Times New Roman"/>
        </w:rPr>
        <w:t xml:space="preserve"> profanely when they set themselves to work like brute beasts, never raising their thoughts to God nor sanctifying</w:t>
      </w:r>
      <w:r w:rsidR="002F1250">
        <w:rPr>
          <w:rFonts w:ascii="Garamond" w:eastAsia="Calibri" w:hAnsi="Garamond" w:cs="Times New Roman"/>
        </w:rPr>
        <w:t xml:space="preserve"> their </w:t>
      </w:r>
      <w:proofErr w:type="spellStart"/>
      <w:r w:rsidR="002F1250">
        <w:rPr>
          <w:rFonts w:ascii="Garamond" w:eastAsia="Calibri" w:hAnsi="Garamond" w:cs="Times New Roman"/>
        </w:rPr>
        <w:t>labour</w:t>
      </w:r>
      <w:proofErr w:type="spellEnd"/>
      <w:r w:rsidR="002F1250">
        <w:rPr>
          <w:rFonts w:ascii="Garamond" w:eastAsia="Calibri" w:hAnsi="Garamond" w:cs="Times New Roman"/>
        </w:rPr>
        <w:t xml:space="preserve"> with daily prayer.</w:t>
      </w:r>
      <w:r w:rsidRPr="003037D2">
        <w:rPr>
          <w:rFonts w:ascii="Garamond" w:eastAsia="Calibri" w:hAnsi="Garamond" w:cs="Times New Roman"/>
          <w:vertAlign w:val="superscript"/>
        </w:rPr>
        <w:footnoteReference w:id="423"/>
      </w:r>
    </w:p>
    <w:p w14:paraId="75312F7A" w14:textId="77777777" w:rsidR="00667CD5" w:rsidRPr="003037D2" w:rsidRDefault="00667CD5" w:rsidP="00162224">
      <w:pPr>
        <w:ind w:left="737" w:right="737"/>
        <w:rPr>
          <w:rFonts w:ascii="Garamond" w:eastAsia="Calibri" w:hAnsi="Garamond" w:cs="Times New Roman"/>
        </w:rPr>
      </w:pPr>
    </w:p>
    <w:p w14:paraId="777A479C" w14:textId="6247E660"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Filling one’s time with industrious works is clearly a Christian duty, though this must be tempered by working consciously and in a ‘godly’ manner. These passages clearly demonstrate Herbert’s interest in quotidian matters: the emphasis that he placed on daily activities as part of religious practice, both for the preacher and for his </w:t>
      </w:r>
      <w:proofErr w:type="gramStart"/>
      <w:r w:rsidRPr="003037D2">
        <w:rPr>
          <w:rFonts w:ascii="Garamond" w:eastAsia="Calibri" w:hAnsi="Garamond" w:cs="Times New Roman"/>
        </w:rPr>
        <w:t>congregation as a whole</w:t>
      </w:r>
      <w:proofErr w:type="gramEnd"/>
      <w:r w:rsidRPr="003037D2">
        <w:rPr>
          <w:rFonts w:ascii="Garamond" w:eastAsia="Calibri" w:hAnsi="Garamond" w:cs="Times New Roman"/>
        </w:rPr>
        <w:t>. Exploring the guidance that He</w:t>
      </w:r>
      <w:r w:rsidR="00814479">
        <w:rPr>
          <w:rFonts w:ascii="Garamond" w:eastAsia="Calibri" w:hAnsi="Garamond" w:cs="Times New Roman"/>
        </w:rPr>
        <w:t>r</w:t>
      </w:r>
      <w:r w:rsidRPr="003037D2">
        <w:rPr>
          <w:rFonts w:ascii="Garamond" w:eastAsia="Calibri" w:hAnsi="Garamond" w:cs="Times New Roman"/>
        </w:rPr>
        <w:t xml:space="preserve">bert gives in both </w:t>
      </w:r>
      <w:r w:rsidRPr="003037D2">
        <w:rPr>
          <w:rFonts w:ascii="Garamond" w:eastAsia="Calibri" w:hAnsi="Garamond" w:cs="Times New Roman"/>
          <w:i/>
          <w:iCs/>
        </w:rPr>
        <w:t xml:space="preserve">The Country Parson </w:t>
      </w:r>
      <w:r w:rsidRPr="003037D2">
        <w:rPr>
          <w:rFonts w:ascii="Garamond" w:eastAsia="Calibri" w:hAnsi="Garamond" w:cs="Times New Roman"/>
        </w:rPr>
        <w:t xml:space="preserve">and </w:t>
      </w:r>
      <w:r w:rsidRPr="003037D2">
        <w:rPr>
          <w:rFonts w:ascii="Garamond" w:eastAsia="Calibri" w:hAnsi="Garamond" w:cs="Times New Roman"/>
          <w:i/>
          <w:iCs/>
        </w:rPr>
        <w:t xml:space="preserve">The Temple </w:t>
      </w:r>
      <w:r w:rsidRPr="003037D2">
        <w:rPr>
          <w:rFonts w:ascii="Garamond" w:eastAsia="Calibri" w:hAnsi="Garamond" w:cs="Times New Roman"/>
        </w:rPr>
        <w:t xml:space="preserve">reveals how he connected daily conduct to wider devotional matters. </w:t>
      </w:r>
    </w:p>
    <w:p w14:paraId="291A3551" w14:textId="77777777" w:rsidR="00162224" w:rsidRPr="003037D2" w:rsidRDefault="00162224" w:rsidP="00162224">
      <w:pPr>
        <w:spacing w:line="360" w:lineRule="auto"/>
        <w:rPr>
          <w:rFonts w:ascii="Garamond" w:eastAsia="Calibri" w:hAnsi="Garamond" w:cs="Times New Roman"/>
        </w:rPr>
      </w:pPr>
    </w:p>
    <w:bookmarkEnd w:id="46"/>
    <w:p w14:paraId="6D7C31D3" w14:textId="35C07057"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ab/>
      </w:r>
      <w:r w:rsidRPr="003037D2">
        <w:rPr>
          <w:rFonts w:ascii="Garamond" w:eastAsia="Calibri" w:hAnsi="Garamond" w:cs="Times New Roman"/>
          <w:i/>
          <w:iCs/>
        </w:rPr>
        <w:t xml:space="preserve">The Temple </w:t>
      </w:r>
      <w:r w:rsidRPr="003037D2">
        <w:rPr>
          <w:rFonts w:ascii="Garamond" w:eastAsia="Calibri" w:hAnsi="Garamond" w:cs="Times New Roman"/>
        </w:rPr>
        <w:t xml:space="preserve">is patterned with poems celebrating or commemorating feast days including ‘Good Friday’, ‘Easter’, ‘Whitsunday’, ‘Trinity Sunday’, ‘To all Angels and Saints’ which discusses the two autumn feast days, followed by ‘Christmas’ and ‘Lent’. These follow the order they would in </w:t>
      </w:r>
      <w:r w:rsidRPr="003037D2">
        <w:rPr>
          <w:rFonts w:ascii="Garamond" w:eastAsia="Calibri" w:hAnsi="Garamond" w:cs="Times New Roman"/>
          <w:i/>
          <w:iCs/>
        </w:rPr>
        <w:t xml:space="preserve">The Book of Common Prayer. </w:t>
      </w:r>
      <w:r w:rsidRPr="003037D2">
        <w:rPr>
          <w:rFonts w:ascii="Garamond" w:eastAsia="Calibri" w:hAnsi="Garamond" w:cs="Times New Roman"/>
        </w:rPr>
        <w:t xml:space="preserve">Brewster S. Ford has argued that another time sequence can be seen in the volume, that of the </w:t>
      </w:r>
      <w:r w:rsidR="0038415A" w:rsidRPr="003037D2">
        <w:rPr>
          <w:rFonts w:ascii="Garamond" w:eastAsia="Calibri" w:hAnsi="Garamond" w:cs="Times New Roman"/>
        </w:rPr>
        <w:t>‘</w:t>
      </w:r>
      <w:r w:rsidRPr="003037D2">
        <w:rPr>
          <w:rFonts w:ascii="Garamond" w:eastAsia="Calibri" w:hAnsi="Garamond" w:cs="Times New Roman"/>
        </w:rPr>
        <w:t xml:space="preserve">religious experiences of a Christian’s moral life’, with the events of ‘H. </w:t>
      </w:r>
      <w:proofErr w:type="spellStart"/>
      <w:r w:rsidRPr="003037D2">
        <w:rPr>
          <w:rFonts w:ascii="Garamond" w:eastAsia="Calibri" w:hAnsi="Garamond" w:cs="Times New Roman"/>
        </w:rPr>
        <w:t>Baptisme</w:t>
      </w:r>
      <w:proofErr w:type="spellEnd"/>
      <w:r w:rsidRPr="003037D2">
        <w:rPr>
          <w:rFonts w:ascii="Garamond" w:eastAsia="Calibri" w:hAnsi="Garamond" w:cs="Times New Roman"/>
        </w:rPr>
        <w:t>’ then followed with ‘Death’, ‘Dooms-day’, ‘Judgement’, ‘Heaven’ and ‘Love’.</w:t>
      </w:r>
      <w:r w:rsidRPr="003037D2">
        <w:rPr>
          <w:rFonts w:ascii="Garamond" w:eastAsia="Calibri" w:hAnsi="Garamond" w:cs="Times New Roman"/>
          <w:vertAlign w:val="superscript"/>
        </w:rPr>
        <w:footnoteReference w:id="424"/>
      </w:r>
      <w:r w:rsidRPr="003037D2">
        <w:rPr>
          <w:rFonts w:ascii="Garamond" w:eastAsia="Calibri" w:hAnsi="Garamond" w:cs="Times New Roman"/>
        </w:rPr>
        <w:t xml:space="preserve"> Further to this, Curtis Whitaker has suggested that another temporal sequence may be being played out, as ‘the structure of </w:t>
      </w:r>
      <w:r w:rsidRPr="003037D2">
        <w:rPr>
          <w:rFonts w:ascii="Garamond" w:eastAsia="Calibri" w:hAnsi="Garamond" w:cs="Times New Roman"/>
          <w:i/>
          <w:iCs/>
        </w:rPr>
        <w:t>The Temple</w:t>
      </w:r>
      <w:r w:rsidRPr="003037D2">
        <w:rPr>
          <w:rFonts w:ascii="Garamond" w:eastAsia="Calibri" w:hAnsi="Garamond" w:cs="Times New Roman"/>
        </w:rPr>
        <w:t xml:space="preserve"> as a whole replicates the communion service, beginning with </w:t>
      </w:r>
      <w:r w:rsidR="0038415A" w:rsidRPr="003037D2">
        <w:rPr>
          <w:rFonts w:ascii="Garamond" w:eastAsia="Calibri" w:hAnsi="Garamond" w:cs="Times New Roman"/>
        </w:rPr>
        <w:t>“</w:t>
      </w:r>
      <w:r w:rsidRPr="003037D2">
        <w:rPr>
          <w:rFonts w:ascii="Garamond" w:eastAsia="Calibri" w:hAnsi="Garamond" w:cs="Times New Roman"/>
        </w:rPr>
        <w:t>The Altar</w:t>
      </w:r>
      <w:r w:rsidR="0038415A" w:rsidRPr="003037D2">
        <w:rPr>
          <w:rFonts w:ascii="Garamond" w:eastAsia="Calibri" w:hAnsi="Garamond" w:cs="Times New Roman"/>
        </w:rPr>
        <w:t>”</w:t>
      </w:r>
      <w:r w:rsidRPr="003037D2">
        <w:rPr>
          <w:rFonts w:ascii="Garamond" w:eastAsia="Calibri" w:hAnsi="Garamond" w:cs="Times New Roman"/>
        </w:rPr>
        <w:t xml:space="preserve"> or the site of communion, and ending with </w:t>
      </w:r>
      <w:r w:rsidR="0038415A" w:rsidRPr="003037D2">
        <w:rPr>
          <w:rFonts w:ascii="Garamond" w:eastAsia="Calibri" w:hAnsi="Garamond" w:cs="Times New Roman"/>
        </w:rPr>
        <w:t>“</w:t>
      </w:r>
      <w:r w:rsidRPr="003037D2">
        <w:rPr>
          <w:rFonts w:ascii="Garamond" w:eastAsia="Calibri" w:hAnsi="Garamond" w:cs="Times New Roman"/>
        </w:rPr>
        <w:t>Love (III)</w:t>
      </w:r>
      <w:r w:rsidR="0038415A" w:rsidRPr="003037D2">
        <w:rPr>
          <w:rFonts w:ascii="Garamond" w:eastAsia="Calibri" w:hAnsi="Garamond" w:cs="Times New Roman"/>
        </w:rPr>
        <w:t>”</w:t>
      </w:r>
      <w:r w:rsidRPr="003037D2">
        <w:rPr>
          <w:rFonts w:ascii="Garamond" w:eastAsia="Calibri" w:hAnsi="Garamond" w:cs="Times New Roman"/>
        </w:rPr>
        <w:t>’ where readers are invited to take part in communion.</w:t>
      </w:r>
      <w:r w:rsidRPr="003037D2">
        <w:rPr>
          <w:rFonts w:ascii="Garamond" w:eastAsia="Calibri" w:hAnsi="Garamond" w:cs="Times New Roman"/>
          <w:vertAlign w:val="superscript"/>
        </w:rPr>
        <w:footnoteReference w:id="425"/>
      </w:r>
      <w:r w:rsidRPr="003037D2">
        <w:rPr>
          <w:rFonts w:ascii="Garamond" w:eastAsia="Calibri" w:hAnsi="Garamond" w:cs="Times New Roman"/>
        </w:rPr>
        <w:t xml:space="preserve"> As </w:t>
      </w:r>
      <w:proofErr w:type="spellStart"/>
      <w:r w:rsidRPr="003037D2">
        <w:rPr>
          <w:rFonts w:ascii="Garamond" w:eastAsia="Calibri" w:hAnsi="Garamond" w:cs="Times New Roman"/>
        </w:rPr>
        <w:t>Targoff</w:t>
      </w:r>
      <w:proofErr w:type="spellEnd"/>
      <w:r w:rsidRPr="003037D2">
        <w:rPr>
          <w:rFonts w:ascii="Garamond" w:eastAsia="Calibri" w:hAnsi="Garamond" w:cs="Times New Roman"/>
        </w:rPr>
        <w:t xml:space="preserve"> has argued, the personal and the liturgical can overlap.</w:t>
      </w:r>
      <w:r w:rsidRPr="003037D2">
        <w:rPr>
          <w:rFonts w:ascii="Garamond" w:eastAsia="Calibri" w:hAnsi="Garamond" w:cs="Times New Roman"/>
          <w:vertAlign w:val="superscript"/>
        </w:rPr>
        <w:footnoteReference w:id="426"/>
      </w:r>
      <w:r w:rsidRPr="003037D2">
        <w:rPr>
          <w:rFonts w:ascii="Garamond" w:eastAsia="Calibri" w:hAnsi="Garamond" w:cs="Times New Roman"/>
        </w:rPr>
        <w:t xml:space="preserve"> To this, I would add that the public-facing material </w:t>
      </w:r>
      <w:r w:rsidRPr="003037D2">
        <w:rPr>
          <w:rFonts w:ascii="Garamond" w:eastAsia="Calibri" w:hAnsi="Garamond" w:cs="Times New Roman"/>
        </w:rPr>
        <w:lastRenderedPageBreak/>
        <w:t>objects of the church hold personal resonances, reminding readers of interior experiences at the same time as signifying the communal time of worship. In ‘Sunday’, a poem which is notably left out of Ford</w:t>
      </w:r>
      <w:r w:rsidR="00805301" w:rsidRPr="003037D2">
        <w:rPr>
          <w:rFonts w:ascii="Garamond" w:eastAsia="Calibri" w:hAnsi="Garamond" w:cs="Times New Roman"/>
        </w:rPr>
        <w:t>’s</w:t>
      </w:r>
      <w:r w:rsidRPr="003037D2">
        <w:rPr>
          <w:rFonts w:ascii="Garamond" w:eastAsia="Calibri" w:hAnsi="Garamond" w:cs="Times New Roman"/>
        </w:rPr>
        <w:t xml:space="preserve"> and Whitaker’s discussion of temporal sequence of </w:t>
      </w:r>
      <w:r w:rsidRPr="003037D2">
        <w:rPr>
          <w:rFonts w:ascii="Garamond" w:eastAsia="Calibri" w:hAnsi="Garamond" w:cs="Times New Roman"/>
          <w:i/>
          <w:iCs/>
        </w:rPr>
        <w:t xml:space="preserve">The Temple, </w:t>
      </w:r>
      <w:r w:rsidRPr="003037D2">
        <w:rPr>
          <w:rFonts w:ascii="Garamond" w:eastAsia="Calibri" w:hAnsi="Garamond" w:cs="Times New Roman"/>
        </w:rPr>
        <w:t xml:space="preserve">Herbert turns to an architectural metaphor to explain the role of Sunday in the week: </w:t>
      </w:r>
    </w:p>
    <w:p w14:paraId="50905DD8"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ab/>
      </w:r>
      <w:proofErr w:type="spellStart"/>
      <w:r w:rsidRPr="003037D2">
        <w:rPr>
          <w:rFonts w:ascii="Garamond" w:eastAsia="Calibri" w:hAnsi="Garamond" w:cs="Times New Roman"/>
        </w:rPr>
        <w:t>Sundaies</w:t>
      </w:r>
      <w:proofErr w:type="spellEnd"/>
      <w:r w:rsidRPr="003037D2">
        <w:rPr>
          <w:rFonts w:ascii="Garamond" w:eastAsia="Calibri" w:hAnsi="Garamond" w:cs="Times New Roman"/>
        </w:rPr>
        <w:t xml:space="preserve"> the pillars are, </w:t>
      </w:r>
    </w:p>
    <w:p w14:paraId="4D6CFA6A"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 xml:space="preserve">On which </w:t>
      </w:r>
      <w:proofErr w:type="spellStart"/>
      <w:r w:rsidRPr="003037D2">
        <w:rPr>
          <w:rFonts w:ascii="Garamond" w:eastAsia="Calibri" w:hAnsi="Garamond" w:cs="Times New Roman"/>
        </w:rPr>
        <w:t>heav’ns</w:t>
      </w:r>
      <w:proofErr w:type="spellEnd"/>
      <w:r w:rsidRPr="003037D2">
        <w:rPr>
          <w:rFonts w:ascii="Garamond" w:eastAsia="Calibri" w:hAnsi="Garamond" w:cs="Times New Roman"/>
        </w:rPr>
        <w:t xml:space="preserve"> palace arched lies: </w:t>
      </w:r>
    </w:p>
    <w:p w14:paraId="68CF9144"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 xml:space="preserve">The other </w:t>
      </w:r>
      <w:proofErr w:type="spellStart"/>
      <w:r w:rsidRPr="003037D2">
        <w:rPr>
          <w:rFonts w:ascii="Garamond" w:eastAsia="Calibri" w:hAnsi="Garamond" w:cs="Times New Roman"/>
        </w:rPr>
        <w:t>dayes</w:t>
      </w:r>
      <w:proofErr w:type="spellEnd"/>
      <w:r w:rsidRPr="003037D2">
        <w:rPr>
          <w:rFonts w:ascii="Garamond" w:eastAsia="Calibri" w:hAnsi="Garamond" w:cs="Times New Roman"/>
        </w:rPr>
        <w:t xml:space="preserve"> fill up the spare </w:t>
      </w:r>
    </w:p>
    <w:p w14:paraId="7E04D8F5"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 xml:space="preserve">And hollow room with vanities. </w:t>
      </w:r>
    </w:p>
    <w:p w14:paraId="1B04277E"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They are the fruitful beds and borders</w:t>
      </w:r>
    </w:p>
    <w:p w14:paraId="096BC340"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 xml:space="preserve">In Gods rich garden: that is bare, </w:t>
      </w:r>
    </w:p>
    <w:p w14:paraId="062E23C1" w14:textId="77777777" w:rsidR="00162224" w:rsidRPr="003037D2" w:rsidRDefault="00162224" w:rsidP="00162224">
      <w:pPr>
        <w:ind w:left="2880"/>
        <w:rPr>
          <w:rFonts w:ascii="Garamond" w:eastAsia="Calibri" w:hAnsi="Garamond" w:cs="Times New Roman"/>
        </w:rPr>
      </w:pPr>
      <w:r w:rsidRPr="003037D2">
        <w:rPr>
          <w:rFonts w:ascii="Garamond" w:eastAsia="Calibri" w:hAnsi="Garamond" w:cs="Times New Roman"/>
        </w:rPr>
        <w:tab/>
        <w:t xml:space="preserve">Which parts their ranks and </w:t>
      </w:r>
      <w:proofErr w:type="gramStart"/>
      <w:r w:rsidRPr="003037D2">
        <w:rPr>
          <w:rFonts w:ascii="Garamond" w:eastAsia="Calibri" w:hAnsi="Garamond" w:cs="Times New Roman"/>
        </w:rPr>
        <w:t>orders.</w:t>
      </w:r>
      <w:proofErr w:type="gramEnd"/>
      <w:r w:rsidRPr="003037D2">
        <w:rPr>
          <w:rFonts w:ascii="Garamond" w:eastAsia="Calibri" w:hAnsi="Garamond" w:cs="Times New Roman"/>
          <w:vertAlign w:val="superscript"/>
        </w:rPr>
        <w:footnoteReference w:id="427"/>
      </w:r>
      <w:r w:rsidRPr="003037D2">
        <w:rPr>
          <w:rFonts w:ascii="Garamond" w:eastAsia="Calibri" w:hAnsi="Garamond" w:cs="Times New Roman"/>
        </w:rPr>
        <w:t xml:space="preserve">  </w:t>
      </w:r>
    </w:p>
    <w:p w14:paraId="331E4AC0" w14:textId="77777777" w:rsidR="00162224" w:rsidRPr="003037D2" w:rsidRDefault="00162224" w:rsidP="00162224">
      <w:pPr>
        <w:spacing w:line="360" w:lineRule="auto"/>
        <w:ind w:left="2880"/>
        <w:rPr>
          <w:rFonts w:ascii="Garamond" w:eastAsia="Calibri" w:hAnsi="Garamond" w:cs="Times New Roman"/>
        </w:rPr>
      </w:pPr>
    </w:p>
    <w:p w14:paraId="2C2684F6" w14:textId="76E7585A"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Sundays become integral not only to the structure of the week, but also to the very order of heaven which rests upon the vaulting arches. ‘Sunday’ has been widely decried by critics</w:t>
      </w:r>
      <w:r w:rsidR="00805301" w:rsidRPr="003037D2">
        <w:rPr>
          <w:rFonts w:ascii="Garamond" w:eastAsia="Calibri" w:hAnsi="Garamond" w:cs="Times New Roman"/>
        </w:rPr>
        <w:t xml:space="preserve"> as</w:t>
      </w:r>
      <w:r w:rsidRPr="003037D2">
        <w:rPr>
          <w:rFonts w:ascii="Garamond" w:eastAsia="Calibri" w:hAnsi="Garamond" w:cs="Times New Roman"/>
        </w:rPr>
        <w:t xml:space="preserve"> a poetic failure. Helen </w:t>
      </w:r>
      <w:proofErr w:type="spellStart"/>
      <w:r w:rsidRPr="003037D2">
        <w:rPr>
          <w:rFonts w:ascii="Garamond" w:eastAsia="Calibri" w:hAnsi="Garamond" w:cs="Times New Roman"/>
        </w:rPr>
        <w:t>Vendler</w:t>
      </w:r>
      <w:proofErr w:type="spellEnd"/>
      <w:r w:rsidRPr="003037D2">
        <w:rPr>
          <w:rFonts w:ascii="Garamond" w:eastAsia="Calibri" w:hAnsi="Garamond" w:cs="Times New Roman"/>
        </w:rPr>
        <w:t xml:space="preserve"> describes it as ‘confusing and heterogeneous in its use of figures’, and asks wearily ‘what are we to deduce from the problems posed by so inchoate a poem?’.</w:t>
      </w:r>
      <w:r w:rsidRPr="003037D2">
        <w:rPr>
          <w:rFonts w:ascii="Garamond" w:eastAsia="Calibri" w:hAnsi="Garamond" w:cs="Times New Roman"/>
          <w:vertAlign w:val="superscript"/>
        </w:rPr>
        <w:footnoteReference w:id="428"/>
      </w:r>
      <w:r w:rsidRPr="003037D2">
        <w:rPr>
          <w:rFonts w:ascii="Garamond" w:eastAsia="Calibri" w:hAnsi="Garamond" w:cs="Times New Roman"/>
        </w:rPr>
        <w:t xml:space="preserve"> Janis Lull similarly terms the poem a ‘breakdown’.</w:t>
      </w:r>
      <w:r w:rsidRPr="003037D2">
        <w:rPr>
          <w:rFonts w:ascii="Garamond" w:eastAsia="Calibri" w:hAnsi="Garamond" w:cs="Times New Roman"/>
          <w:vertAlign w:val="superscript"/>
        </w:rPr>
        <w:footnoteReference w:id="429"/>
      </w:r>
      <w:r w:rsidRPr="003037D2">
        <w:rPr>
          <w:rFonts w:ascii="Garamond" w:eastAsia="Calibri" w:hAnsi="Garamond" w:cs="Times New Roman"/>
        </w:rPr>
        <w:t xml:space="preserve"> </w:t>
      </w:r>
      <w:proofErr w:type="spellStart"/>
      <w:r w:rsidRPr="003037D2">
        <w:rPr>
          <w:rFonts w:ascii="Garamond" w:eastAsia="Calibri" w:hAnsi="Garamond" w:cs="Times New Roman"/>
        </w:rPr>
        <w:t>Vendler</w:t>
      </w:r>
      <w:proofErr w:type="spellEnd"/>
      <w:r w:rsidRPr="003037D2">
        <w:rPr>
          <w:rFonts w:ascii="Garamond" w:eastAsia="Calibri" w:hAnsi="Garamond" w:cs="Times New Roman"/>
        </w:rPr>
        <w:t xml:space="preserve"> suggests that the poem should have been drastically cut, arguing that the</w:t>
      </w:r>
      <w:r w:rsidR="00164AB4" w:rsidRPr="003037D2">
        <w:rPr>
          <w:rFonts w:ascii="Garamond" w:eastAsia="Calibri" w:hAnsi="Garamond" w:cs="Times New Roman"/>
        </w:rPr>
        <w:t xml:space="preserve"> nine</w:t>
      </w:r>
      <w:r w:rsidRPr="003037D2">
        <w:rPr>
          <w:rFonts w:ascii="Garamond" w:eastAsia="Calibri" w:hAnsi="Garamond" w:cs="Times New Roman"/>
        </w:rPr>
        <w:t xml:space="preserve"> seven</w:t>
      </w:r>
      <w:r w:rsidR="00164AB4" w:rsidRPr="003037D2">
        <w:rPr>
          <w:rFonts w:ascii="Garamond" w:eastAsia="Calibri" w:hAnsi="Garamond" w:cs="Times New Roman"/>
        </w:rPr>
        <w:t>-</w:t>
      </w:r>
      <w:r w:rsidRPr="003037D2">
        <w:rPr>
          <w:rFonts w:ascii="Garamond" w:eastAsia="Calibri" w:hAnsi="Garamond" w:cs="Times New Roman"/>
        </w:rPr>
        <w:t>line stanzas would have been better kept to seven, more directly reflecting the structure of the week, marking stanzas two and five for deletion. She sees this poem as an example of Herbert’s ‘public homiletic intent’ gone awry, with the ‘disastrous’ metaphor of the days of the week as beaded bracelets strung on the wrists of God’s wife coming in for particular censure, described as having ‘an air of being invented as ‘concrete examples’ for a dull-witted congregation’.</w:t>
      </w:r>
      <w:r w:rsidRPr="003037D2">
        <w:rPr>
          <w:rFonts w:ascii="Garamond" w:eastAsia="Calibri" w:hAnsi="Garamond" w:cs="Times New Roman"/>
          <w:vertAlign w:val="superscript"/>
        </w:rPr>
        <w:footnoteReference w:id="430"/>
      </w:r>
      <w:r w:rsidRPr="003037D2">
        <w:rPr>
          <w:rFonts w:ascii="Garamond" w:eastAsia="Calibri" w:hAnsi="Garamond" w:cs="Times New Roman"/>
        </w:rPr>
        <w:t xml:space="preserve"> </w:t>
      </w:r>
    </w:p>
    <w:p w14:paraId="5CC7A9B5" w14:textId="77777777" w:rsidR="00162224" w:rsidRPr="003037D2" w:rsidRDefault="00162224" w:rsidP="00162224">
      <w:pPr>
        <w:spacing w:line="360" w:lineRule="auto"/>
        <w:rPr>
          <w:rFonts w:ascii="Garamond" w:eastAsia="Calibri" w:hAnsi="Garamond" w:cs="Times New Roman"/>
        </w:rPr>
      </w:pPr>
    </w:p>
    <w:p w14:paraId="72C66482" w14:textId="06B84981"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In an 1856 broadsheet rendering of ‘Sunday’ produced by the Religious Tract Society held at the British Library, the poem </w:t>
      </w:r>
      <w:r w:rsidR="00805301" w:rsidRPr="003037D2">
        <w:rPr>
          <w:rFonts w:ascii="Garamond" w:eastAsia="Calibri" w:hAnsi="Garamond" w:cs="Times New Roman"/>
        </w:rPr>
        <w:t xml:space="preserve">was </w:t>
      </w:r>
      <w:r w:rsidRPr="003037D2">
        <w:rPr>
          <w:rFonts w:ascii="Garamond" w:eastAsia="Calibri" w:hAnsi="Garamond" w:cs="Times New Roman"/>
        </w:rPr>
        <w:t>clearly used as a ‘concrete’ exemplifier (</w:t>
      </w:r>
      <w:r w:rsidR="00ED0F4C">
        <w:rPr>
          <w:rFonts w:ascii="Garamond" w:eastAsia="Calibri" w:hAnsi="Garamond" w:cs="Times New Roman"/>
        </w:rPr>
        <w:t>s</w:t>
      </w:r>
      <w:r w:rsidRPr="003037D2">
        <w:rPr>
          <w:rFonts w:ascii="Garamond" w:eastAsia="Calibri" w:hAnsi="Garamond" w:cs="Times New Roman"/>
        </w:rPr>
        <w:t xml:space="preserve">ee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_Ref497131099  \* MERGEFORMAT </w:instrText>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23</w:t>
      </w:r>
      <w:r w:rsidRPr="003037D2">
        <w:rPr>
          <w:rFonts w:ascii="Garamond" w:eastAsia="Calibri" w:hAnsi="Garamond" w:cs="Times New Roman"/>
        </w:rPr>
        <w:fldChar w:fldCharType="end"/>
      </w:r>
      <w:r w:rsidRPr="003037D2">
        <w:rPr>
          <w:rFonts w:ascii="Garamond" w:eastAsia="Calibri" w:hAnsi="Garamond" w:cs="Times New Roman"/>
        </w:rPr>
        <w:t>).</w:t>
      </w:r>
      <w:r w:rsidRPr="003037D2">
        <w:rPr>
          <w:rFonts w:ascii="Garamond" w:eastAsia="Calibri" w:hAnsi="Garamond" w:cs="Times New Roman"/>
          <w:vertAlign w:val="superscript"/>
        </w:rPr>
        <w:footnoteReference w:id="431"/>
      </w:r>
      <w:r w:rsidRPr="003037D2">
        <w:rPr>
          <w:rFonts w:ascii="Garamond" w:eastAsia="Calibri" w:hAnsi="Garamond" w:cs="Times New Roman"/>
        </w:rPr>
        <w:t xml:space="preserve"> An image of a bucolic parish church heads the page, surrounded by garlands of flowers, and an elaborate scroll bearing the title. The poem is bordered by floral patterns</w:t>
      </w:r>
      <w:r w:rsidR="00805301" w:rsidRPr="003037D2">
        <w:rPr>
          <w:rFonts w:ascii="Garamond" w:eastAsia="Calibri" w:hAnsi="Garamond" w:cs="Times New Roman"/>
        </w:rPr>
        <w:t>,</w:t>
      </w:r>
      <w:r w:rsidRPr="003037D2">
        <w:rPr>
          <w:rFonts w:ascii="Garamond" w:eastAsia="Calibri" w:hAnsi="Garamond" w:cs="Times New Roman"/>
        </w:rPr>
        <w:t xml:space="preserve"> </w:t>
      </w:r>
      <w:proofErr w:type="spellStart"/>
      <w:r w:rsidRPr="003037D2">
        <w:rPr>
          <w:rFonts w:ascii="Garamond" w:eastAsia="Calibri" w:hAnsi="Garamond" w:cs="Times New Roman"/>
        </w:rPr>
        <w:t>centred</w:t>
      </w:r>
      <w:proofErr w:type="spellEnd"/>
      <w:r w:rsidRPr="003037D2">
        <w:rPr>
          <w:rFonts w:ascii="Garamond" w:eastAsia="Calibri" w:hAnsi="Garamond" w:cs="Times New Roman"/>
        </w:rPr>
        <w:t xml:space="preserve"> and fixed on the page, the imagery so specific as to allow no </w:t>
      </w:r>
      <w:r w:rsidRPr="003037D2">
        <w:rPr>
          <w:rFonts w:ascii="Garamond" w:eastAsia="Calibri" w:hAnsi="Garamond" w:cs="Times New Roman"/>
        </w:rPr>
        <w:lastRenderedPageBreak/>
        <w:t>room for further interpretation. This page design makes clear how Victorian audiences were supposed to approach the poem: as a wholehearted panegyric to Sunday as the culmination of the Church’s work. The Religious Tract Society were a group of evangelical middle-class men and women, who sought to spread the gospel both overseas and working-class Britain through the printing and selling of reasonably priced religious texts.</w:t>
      </w:r>
      <w:r w:rsidRPr="003037D2">
        <w:rPr>
          <w:rFonts w:ascii="Garamond" w:eastAsia="Calibri" w:hAnsi="Garamond" w:cs="Times New Roman"/>
          <w:vertAlign w:val="superscript"/>
        </w:rPr>
        <w:footnoteReference w:id="432"/>
      </w:r>
      <w:r w:rsidRPr="003037D2">
        <w:rPr>
          <w:rFonts w:ascii="Garamond" w:eastAsia="Calibri" w:hAnsi="Garamond" w:cs="Times New Roman"/>
        </w:rPr>
        <w:t xml:space="preserve"> These evangelists campaigned on a variety of issues, from ending slavery, to improving factory working hours, reducing working hours and trying to protect the Sabbath. The Society specifically campaigned against trains running and post being delivered on Sundays.</w:t>
      </w:r>
      <w:r w:rsidRPr="003037D2">
        <w:rPr>
          <w:rFonts w:ascii="Garamond" w:eastAsia="Calibri" w:hAnsi="Garamond" w:cs="Times New Roman"/>
          <w:vertAlign w:val="superscript"/>
        </w:rPr>
        <w:footnoteReference w:id="433"/>
      </w:r>
      <w:r w:rsidRPr="003037D2">
        <w:rPr>
          <w:rFonts w:ascii="Garamond" w:eastAsia="Calibri" w:hAnsi="Garamond" w:cs="Times New Roman"/>
        </w:rPr>
        <w:t xml:space="preserve"> The rendering of Herbert’s ‘Sunday’ in this </w:t>
      </w:r>
      <w:proofErr w:type="spellStart"/>
      <w:r w:rsidRPr="003037D2">
        <w:rPr>
          <w:rFonts w:ascii="Garamond" w:eastAsia="Calibri" w:hAnsi="Garamond" w:cs="Times New Roman"/>
        </w:rPr>
        <w:t>idealised</w:t>
      </w:r>
      <w:proofErr w:type="spellEnd"/>
      <w:r w:rsidRPr="003037D2">
        <w:rPr>
          <w:rFonts w:ascii="Garamond" w:eastAsia="Calibri" w:hAnsi="Garamond" w:cs="Times New Roman"/>
        </w:rPr>
        <w:t>, didactic form was likely part of such a campaign. Herbert’s complex and subtle poem becomes part of a movement</w:t>
      </w:r>
      <w:r w:rsidR="00805301" w:rsidRPr="003037D2">
        <w:rPr>
          <w:rFonts w:ascii="Garamond" w:eastAsia="Calibri" w:hAnsi="Garamond" w:cs="Times New Roman"/>
        </w:rPr>
        <w:t>,</w:t>
      </w:r>
      <w:r w:rsidRPr="003037D2">
        <w:rPr>
          <w:rFonts w:ascii="Garamond" w:eastAsia="Calibri" w:hAnsi="Garamond" w:cs="Times New Roman"/>
        </w:rPr>
        <w:t xml:space="preserve"> presented with imagery that prescribes meaning. The poem is removed from the wider context of </w:t>
      </w:r>
      <w:r w:rsidRPr="003037D2">
        <w:rPr>
          <w:rFonts w:ascii="Garamond" w:eastAsia="Calibri" w:hAnsi="Garamond" w:cs="Times New Roman"/>
          <w:i/>
        </w:rPr>
        <w:t xml:space="preserve">The Temple </w:t>
      </w:r>
      <w:r w:rsidRPr="003037D2">
        <w:rPr>
          <w:rFonts w:ascii="Garamond" w:eastAsia="Calibri" w:hAnsi="Garamond" w:cs="Times New Roman"/>
        </w:rPr>
        <w:t>and</w:t>
      </w:r>
      <w:r w:rsidRPr="003037D2">
        <w:rPr>
          <w:rFonts w:ascii="Garamond" w:eastAsia="Calibri" w:hAnsi="Garamond" w:cs="Times New Roman"/>
          <w:i/>
        </w:rPr>
        <w:t xml:space="preserve"> </w:t>
      </w:r>
      <w:r w:rsidRPr="003037D2">
        <w:rPr>
          <w:rFonts w:ascii="Garamond" w:eastAsia="Calibri" w:hAnsi="Garamond" w:cs="Times New Roman"/>
        </w:rPr>
        <w:t xml:space="preserve">restructured so that the final stanza stands alone, offering a summary of the poem. This copy of the poem follows the wording of the fifth verse as quoted in Walton’s </w:t>
      </w:r>
      <w:r w:rsidRPr="003037D2">
        <w:rPr>
          <w:rFonts w:ascii="Garamond" w:eastAsia="Calibri" w:hAnsi="Garamond" w:cs="Times New Roman"/>
          <w:i/>
          <w:iCs/>
        </w:rPr>
        <w:t>Life</w:t>
      </w:r>
      <w:r w:rsidRPr="003037D2">
        <w:rPr>
          <w:rFonts w:ascii="Garamond" w:eastAsia="Calibri" w:hAnsi="Garamond" w:cs="Times New Roman"/>
        </w:rPr>
        <w:t xml:space="preserve">, rather than the 1633 edition (Heaven’s gate, rather than its door, stands open). </w:t>
      </w:r>
    </w:p>
    <w:p w14:paraId="400AD4AD" w14:textId="77777777" w:rsidR="00162224" w:rsidRPr="003037D2" w:rsidRDefault="00162224" w:rsidP="00162224">
      <w:pPr>
        <w:spacing w:line="360" w:lineRule="auto"/>
        <w:ind w:firstLine="720"/>
        <w:rPr>
          <w:rFonts w:ascii="Garamond" w:eastAsia="Calibri" w:hAnsi="Garamond" w:cs="Times New Roman"/>
        </w:rPr>
      </w:pPr>
    </w:p>
    <w:p w14:paraId="7A8DB7A7" w14:textId="77777777"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‘Sunday’ is certainly a poem that tries to cover a lot of ground, darting from metaphor to metaphor. However, </w:t>
      </w:r>
      <w:proofErr w:type="spellStart"/>
      <w:r w:rsidRPr="003037D2">
        <w:rPr>
          <w:rFonts w:ascii="Garamond" w:eastAsia="Calibri" w:hAnsi="Garamond" w:cs="Times New Roman"/>
        </w:rPr>
        <w:t>Vendler’s</w:t>
      </w:r>
      <w:proofErr w:type="spellEnd"/>
      <w:r w:rsidRPr="003037D2">
        <w:rPr>
          <w:rFonts w:ascii="Garamond" w:eastAsia="Calibri" w:hAnsi="Garamond" w:cs="Times New Roman"/>
        </w:rPr>
        <w:t xml:space="preserve"> assertion that it is an artistic failure overlooks Herbert’s aims for the poem. This linking together of seemingly disconnected motifs enacts the mental work that the reader, congregation, indeed even the preacher needs to do in order to make sense of the place of feast days in the current religious environment, and within Christological time more generally. Walton reports </w:t>
      </w:r>
      <w:r w:rsidRPr="003037D2">
        <w:rPr>
          <w:rFonts w:ascii="Garamond" w:eastAsia="Calibri" w:hAnsi="Garamond" w:cs="Times New Roman"/>
        </w:rPr>
        <w:lastRenderedPageBreak/>
        <w:t xml:space="preserve">that Herbert sang the (now derided) fifth stanza of ‘Sunday’ the week before his death, rising from his sickbed and calling for ‘one of his instruments’ to accompany him: </w:t>
      </w:r>
    </w:p>
    <w:p w14:paraId="29CB7476" w14:textId="77777777" w:rsidR="00162224" w:rsidRPr="003037D2" w:rsidRDefault="00162224" w:rsidP="00667CD5">
      <w:pPr>
        <w:ind w:left="737"/>
        <w:rPr>
          <w:rFonts w:ascii="Garamond" w:eastAsia="Calibri" w:hAnsi="Garamond" w:cs="Times New Roman"/>
        </w:rPr>
      </w:pPr>
      <w:r w:rsidRPr="003037D2">
        <w:rPr>
          <w:rFonts w:ascii="Garamond" w:eastAsia="Calibri" w:hAnsi="Garamond" w:cs="Times New Roman"/>
        </w:rPr>
        <w:tab/>
      </w:r>
      <w:r w:rsidRPr="003037D2">
        <w:rPr>
          <w:rFonts w:ascii="Garamond" w:eastAsia="Calibri" w:hAnsi="Garamond" w:cs="Times New Roman"/>
        </w:rPr>
        <w:tab/>
      </w:r>
      <w:r w:rsidRPr="003037D2">
        <w:rPr>
          <w:rFonts w:ascii="Garamond" w:eastAsia="Calibri" w:hAnsi="Garamond" w:cs="Times New Roman"/>
        </w:rPr>
        <w:tab/>
      </w:r>
      <w:r w:rsidRPr="003037D2">
        <w:rPr>
          <w:rFonts w:ascii="Garamond" w:eastAsia="Calibri" w:hAnsi="Garamond" w:cs="Times New Roman"/>
        </w:rPr>
        <w:tab/>
        <w:t xml:space="preserve">The </w:t>
      </w:r>
      <w:proofErr w:type="spellStart"/>
      <w:r w:rsidRPr="003037D2">
        <w:rPr>
          <w:rFonts w:ascii="Garamond" w:eastAsia="Calibri" w:hAnsi="Garamond" w:cs="Times New Roman"/>
        </w:rPr>
        <w:t>Sundaies</w:t>
      </w:r>
      <w:proofErr w:type="spellEnd"/>
      <w:r w:rsidRPr="003037D2">
        <w:rPr>
          <w:rFonts w:ascii="Garamond" w:eastAsia="Calibri" w:hAnsi="Garamond" w:cs="Times New Roman"/>
        </w:rPr>
        <w:t xml:space="preserve"> of </w:t>
      </w:r>
      <w:proofErr w:type="spellStart"/>
      <w:r w:rsidRPr="003037D2">
        <w:rPr>
          <w:rFonts w:ascii="Garamond" w:eastAsia="Calibri" w:hAnsi="Garamond" w:cs="Times New Roman"/>
        </w:rPr>
        <w:t>mans</w:t>
      </w:r>
      <w:proofErr w:type="spellEnd"/>
      <w:r w:rsidRPr="003037D2">
        <w:rPr>
          <w:rFonts w:ascii="Garamond" w:eastAsia="Calibri" w:hAnsi="Garamond" w:cs="Times New Roman"/>
        </w:rPr>
        <w:t xml:space="preserve"> life </w:t>
      </w:r>
    </w:p>
    <w:p w14:paraId="7D3F90D4" w14:textId="77777777" w:rsidR="00162224" w:rsidRPr="003037D2" w:rsidRDefault="00162224" w:rsidP="00667CD5">
      <w:pPr>
        <w:ind w:left="2880"/>
        <w:rPr>
          <w:rFonts w:ascii="Garamond" w:eastAsia="Calibri" w:hAnsi="Garamond" w:cs="Times New Roman"/>
        </w:rPr>
      </w:pPr>
      <w:proofErr w:type="spellStart"/>
      <w:r w:rsidRPr="003037D2">
        <w:rPr>
          <w:rFonts w:ascii="Garamond" w:eastAsia="Calibri" w:hAnsi="Garamond" w:cs="Times New Roman"/>
        </w:rPr>
        <w:t>Thredded</w:t>
      </w:r>
      <w:proofErr w:type="spellEnd"/>
      <w:r w:rsidRPr="003037D2">
        <w:rPr>
          <w:rFonts w:ascii="Garamond" w:eastAsia="Calibri" w:hAnsi="Garamond" w:cs="Times New Roman"/>
        </w:rPr>
        <w:t xml:space="preserve"> together on times string, </w:t>
      </w:r>
    </w:p>
    <w:p w14:paraId="0AA41D8A" w14:textId="77777777" w:rsidR="00162224" w:rsidRPr="003037D2" w:rsidRDefault="00162224" w:rsidP="00667CD5">
      <w:pPr>
        <w:ind w:left="2880"/>
        <w:rPr>
          <w:rFonts w:ascii="Garamond" w:eastAsia="Calibri" w:hAnsi="Garamond" w:cs="Times New Roman"/>
        </w:rPr>
      </w:pPr>
      <w:r w:rsidRPr="003037D2">
        <w:rPr>
          <w:rFonts w:ascii="Garamond" w:eastAsia="Calibri" w:hAnsi="Garamond" w:cs="Times New Roman"/>
        </w:rPr>
        <w:t xml:space="preserve">Make bracelets to adorn the wife </w:t>
      </w:r>
    </w:p>
    <w:p w14:paraId="550DE8CF" w14:textId="77777777" w:rsidR="00162224" w:rsidRPr="003037D2" w:rsidRDefault="00162224" w:rsidP="00667CD5">
      <w:pPr>
        <w:ind w:left="2880"/>
        <w:rPr>
          <w:rFonts w:ascii="Garamond" w:eastAsia="Calibri" w:hAnsi="Garamond" w:cs="Times New Roman"/>
        </w:rPr>
      </w:pPr>
      <w:r w:rsidRPr="003037D2">
        <w:rPr>
          <w:rFonts w:ascii="Garamond" w:eastAsia="Calibri" w:hAnsi="Garamond" w:cs="Times New Roman"/>
        </w:rPr>
        <w:t xml:space="preserve">Of the eternal glorious King. </w:t>
      </w:r>
    </w:p>
    <w:p w14:paraId="11A93773" w14:textId="77777777" w:rsidR="00162224" w:rsidRPr="003037D2" w:rsidRDefault="00162224" w:rsidP="00667CD5">
      <w:pPr>
        <w:ind w:left="2880"/>
        <w:rPr>
          <w:rFonts w:ascii="Garamond" w:eastAsia="Calibri" w:hAnsi="Garamond" w:cs="Times New Roman"/>
        </w:rPr>
      </w:pPr>
      <w:r w:rsidRPr="003037D2">
        <w:rPr>
          <w:rFonts w:ascii="Garamond" w:eastAsia="Calibri" w:hAnsi="Garamond" w:cs="Times New Roman"/>
        </w:rPr>
        <w:t xml:space="preserve">On Sunday </w:t>
      </w:r>
      <w:proofErr w:type="spellStart"/>
      <w:r w:rsidRPr="003037D2">
        <w:rPr>
          <w:rFonts w:ascii="Garamond" w:eastAsia="Calibri" w:hAnsi="Garamond" w:cs="Times New Roman"/>
        </w:rPr>
        <w:t>heavens</w:t>
      </w:r>
      <w:proofErr w:type="spellEnd"/>
      <w:r w:rsidRPr="003037D2">
        <w:rPr>
          <w:rFonts w:ascii="Garamond" w:eastAsia="Calibri" w:hAnsi="Garamond" w:cs="Times New Roman"/>
        </w:rPr>
        <w:t xml:space="preserve"> gate stands </w:t>
      </w:r>
      <w:proofErr w:type="spellStart"/>
      <w:r w:rsidRPr="003037D2">
        <w:rPr>
          <w:rFonts w:ascii="Garamond" w:eastAsia="Calibri" w:hAnsi="Garamond" w:cs="Times New Roman"/>
        </w:rPr>
        <w:t>ope</w:t>
      </w:r>
      <w:proofErr w:type="spellEnd"/>
      <w:r w:rsidRPr="003037D2">
        <w:rPr>
          <w:rFonts w:ascii="Garamond" w:eastAsia="Calibri" w:hAnsi="Garamond" w:cs="Times New Roman"/>
        </w:rPr>
        <w:t>; [sic]</w:t>
      </w:r>
    </w:p>
    <w:p w14:paraId="23C0FFFC" w14:textId="77777777" w:rsidR="00162224" w:rsidRPr="003037D2" w:rsidRDefault="00162224" w:rsidP="00667CD5">
      <w:pPr>
        <w:ind w:left="2880"/>
        <w:rPr>
          <w:rFonts w:ascii="Garamond" w:eastAsia="Calibri" w:hAnsi="Garamond" w:cs="Times New Roman"/>
        </w:rPr>
      </w:pPr>
      <w:r w:rsidRPr="003037D2">
        <w:rPr>
          <w:rFonts w:ascii="Garamond" w:eastAsia="Calibri" w:hAnsi="Garamond" w:cs="Times New Roman"/>
        </w:rPr>
        <w:t xml:space="preserve">Blessings are </w:t>
      </w:r>
      <w:proofErr w:type="spellStart"/>
      <w:r w:rsidRPr="003037D2">
        <w:rPr>
          <w:rFonts w:ascii="Garamond" w:eastAsia="Calibri" w:hAnsi="Garamond" w:cs="Times New Roman"/>
        </w:rPr>
        <w:t>plentifull</w:t>
      </w:r>
      <w:proofErr w:type="spellEnd"/>
      <w:r w:rsidRPr="003037D2">
        <w:rPr>
          <w:rFonts w:ascii="Garamond" w:eastAsia="Calibri" w:hAnsi="Garamond" w:cs="Times New Roman"/>
        </w:rPr>
        <w:t xml:space="preserve"> and rife,</w:t>
      </w:r>
    </w:p>
    <w:p w14:paraId="3E292BC8" w14:textId="4D370F25" w:rsidR="00162224" w:rsidRDefault="00162224" w:rsidP="00667CD5">
      <w:pPr>
        <w:ind w:left="737"/>
        <w:rPr>
          <w:rFonts w:ascii="Garamond" w:eastAsia="Calibri" w:hAnsi="Garamond" w:cs="Times New Roman"/>
        </w:rPr>
      </w:pPr>
      <w:r w:rsidRPr="003037D2">
        <w:rPr>
          <w:rFonts w:ascii="Garamond" w:eastAsia="Calibri" w:hAnsi="Garamond" w:cs="Times New Roman"/>
        </w:rPr>
        <w:tab/>
      </w:r>
      <w:r w:rsidRPr="003037D2">
        <w:rPr>
          <w:rFonts w:ascii="Garamond" w:eastAsia="Calibri" w:hAnsi="Garamond" w:cs="Times New Roman"/>
        </w:rPr>
        <w:tab/>
      </w:r>
      <w:r w:rsidRPr="003037D2">
        <w:rPr>
          <w:rFonts w:ascii="Garamond" w:eastAsia="Calibri" w:hAnsi="Garamond" w:cs="Times New Roman"/>
        </w:rPr>
        <w:tab/>
      </w:r>
      <w:r w:rsidRPr="003037D2">
        <w:rPr>
          <w:rFonts w:ascii="Garamond" w:eastAsia="Calibri" w:hAnsi="Garamond" w:cs="Times New Roman"/>
        </w:rPr>
        <w:tab/>
        <w:t xml:space="preserve">More </w:t>
      </w:r>
      <w:proofErr w:type="spellStart"/>
      <w:r w:rsidRPr="003037D2">
        <w:rPr>
          <w:rFonts w:ascii="Garamond" w:eastAsia="Calibri" w:hAnsi="Garamond" w:cs="Times New Roman"/>
        </w:rPr>
        <w:t>plentifull</w:t>
      </w:r>
      <w:proofErr w:type="spellEnd"/>
      <w:r w:rsidRPr="003037D2">
        <w:rPr>
          <w:rFonts w:ascii="Garamond" w:eastAsia="Calibri" w:hAnsi="Garamond" w:cs="Times New Roman"/>
        </w:rPr>
        <w:t xml:space="preserve"> then hope. </w:t>
      </w:r>
    </w:p>
    <w:p w14:paraId="544CCAB8" w14:textId="77777777" w:rsidR="00667CD5" w:rsidRPr="003037D2" w:rsidRDefault="00667CD5" w:rsidP="00667CD5">
      <w:pPr>
        <w:ind w:left="737"/>
        <w:rPr>
          <w:rFonts w:ascii="Garamond" w:eastAsia="Calibri" w:hAnsi="Garamond" w:cs="Times New Roman"/>
        </w:rPr>
      </w:pPr>
    </w:p>
    <w:p w14:paraId="1BFA71AD" w14:textId="77777777"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Walton declares, ‘[t]</w:t>
      </w:r>
      <w:proofErr w:type="spellStart"/>
      <w:r w:rsidRPr="003037D2">
        <w:rPr>
          <w:rFonts w:ascii="Garamond" w:eastAsia="Calibri" w:hAnsi="Garamond" w:cs="Times New Roman"/>
        </w:rPr>
        <w:t>hus</w:t>
      </w:r>
      <w:proofErr w:type="spellEnd"/>
      <w:r w:rsidRPr="003037D2">
        <w:rPr>
          <w:rFonts w:ascii="Garamond" w:eastAsia="Calibri" w:hAnsi="Garamond" w:cs="Times New Roman"/>
        </w:rPr>
        <w:t xml:space="preserve"> he sang on earth such hymns and anthems as the angels, and he, and </w:t>
      </w:r>
      <w:proofErr w:type="spellStart"/>
      <w:r w:rsidRPr="003037D2">
        <w:rPr>
          <w:rFonts w:ascii="Garamond" w:eastAsia="Calibri" w:hAnsi="Garamond" w:cs="Times New Roman"/>
        </w:rPr>
        <w:t>Mr</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Ferrar</w:t>
      </w:r>
      <w:proofErr w:type="spellEnd"/>
      <w:r w:rsidRPr="003037D2">
        <w:rPr>
          <w:rFonts w:ascii="Garamond" w:eastAsia="Calibri" w:hAnsi="Garamond" w:cs="Times New Roman"/>
        </w:rPr>
        <w:t>, now sing in Heaven’.</w:t>
      </w:r>
      <w:r w:rsidRPr="003037D2">
        <w:rPr>
          <w:rFonts w:ascii="Garamond" w:eastAsia="Calibri" w:hAnsi="Garamond" w:cs="Times New Roman"/>
          <w:vertAlign w:val="superscript"/>
        </w:rPr>
        <w:footnoteReference w:id="434"/>
      </w:r>
      <w:r w:rsidRPr="003037D2">
        <w:rPr>
          <w:rFonts w:ascii="Garamond" w:eastAsia="Calibri" w:hAnsi="Garamond" w:cs="Times New Roman"/>
        </w:rPr>
        <w:t xml:space="preserve"> If, as Lull asserts in her volume on Herbert, critics still read him hoping to uncover his poetic intentions, despite the turn towards reader response, then we should take this poem seriously.</w:t>
      </w:r>
      <w:r w:rsidRPr="003037D2">
        <w:rPr>
          <w:rFonts w:ascii="Garamond" w:eastAsia="Calibri" w:hAnsi="Garamond" w:cs="Times New Roman"/>
          <w:vertAlign w:val="superscript"/>
        </w:rPr>
        <w:footnoteReference w:id="435"/>
      </w:r>
      <w:r w:rsidRPr="003037D2">
        <w:rPr>
          <w:rFonts w:ascii="Garamond" w:eastAsia="Calibri" w:hAnsi="Garamond" w:cs="Times New Roman"/>
        </w:rPr>
        <w:t xml:space="preserve"> Herbert takes a linear metaphor of time, ‘time’s string’ and makes it cyclical, tied around the wrist of the wife. However, this is not a simple, smooth cycle. Rather, the description of Sundays as beads or jewels, ‘threaded’ upon this string marks them as prominent, tactile points that retain their relationship to one another, their order, even when reformed into this circle. Time is not collapsed or homogenized by being made cyclical: moments of importance, to both individuals and communities, stand out. </w:t>
      </w:r>
    </w:p>
    <w:p w14:paraId="71E7ADC5" w14:textId="77777777" w:rsidR="00162224" w:rsidRPr="003037D2" w:rsidRDefault="00162224" w:rsidP="00162224">
      <w:pPr>
        <w:spacing w:line="360" w:lineRule="auto"/>
        <w:rPr>
          <w:rFonts w:ascii="Garamond" w:eastAsia="Calibri" w:hAnsi="Garamond" w:cs="Times New Roman"/>
        </w:rPr>
      </w:pPr>
    </w:p>
    <w:p w14:paraId="60025A0C" w14:textId="77777777" w:rsidR="00162224" w:rsidRPr="003037D2" w:rsidRDefault="00162224" w:rsidP="00162224">
      <w:pPr>
        <w:spacing w:line="360" w:lineRule="auto"/>
        <w:rPr>
          <w:rFonts w:ascii="Garamond" w:eastAsia="Calibri" w:hAnsi="Garamond" w:cs="Times New Roman"/>
        </w:rPr>
      </w:pPr>
    </w:p>
    <w:p w14:paraId="55456563" w14:textId="77777777" w:rsidR="00162224" w:rsidRPr="003037D2" w:rsidRDefault="00162224" w:rsidP="00162224">
      <w:pPr>
        <w:spacing w:line="360" w:lineRule="auto"/>
        <w:ind w:firstLine="360"/>
        <w:rPr>
          <w:rFonts w:ascii="Garamond" w:eastAsia="Calibri" w:hAnsi="Garamond" w:cs="Times New Roman"/>
        </w:rPr>
      </w:pPr>
      <w:r w:rsidRPr="003037D2">
        <w:rPr>
          <w:rFonts w:ascii="Garamond" w:eastAsia="Calibri" w:hAnsi="Garamond" w:cs="Times New Roman"/>
        </w:rPr>
        <w:tab/>
        <w:t>In Lull’s painstaking investigation of Herbert’s revisions to his poetry, she notes the common occurrence of ‘poetic clusters’ in</w:t>
      </w:r>
      <w:r w:rsidRPr="003037D2">
        <w:rPr>
          <w:rFonts w:ascii="Garamond" w:eastAsia="Calibri" w:hAnsi="Garamond" w:cs="Times New Roman"/>
          <w:i/>
        </w:rPr>
        <w:t xml:space="preserve"> The Temple</w:t>
      </w:r>
      <w:r w:rsidRPr="003037D2">
        <w:rPr>
          <w:rFonts w:ascii="Garamond" w:eastAsia="Calibri" w:hAnsi="Garamond" w:cs="Times New Roman"/>
        </w:rPr>
        <w:t>. This results in the sequence ‘</w:t>
      </w:r>
      <w:proofErr w:type="spellStart"/>
      <w:r w:rsidRPr="003037D2">
        <w:rPr>
          <w:rFonts w:ascii="Garamond" w:eastAsia="Calibri" w:hAnsi="Garamond" w:cs="Times New Roman"/>
        </w:rPr>
        <w:t>invit</w:t>
      </w:r>
      <w:proofErr w:type="spellEnd"/>
      <w:r w:rsidRPr="003037D2">
        <w:rPr>
          <w:rFonts w:ascii="Garamond" w:eastAsia="Calibri" w:hAnsi="Garamond" w:cs="Times New Roman"/>
        </w:rPr>
        <w:t>[</w:t>
      </w:r>
      <w:proofErr w:type="spellStart"/>
      <w:r w:rsidRPr="003037D2">
        <w:rPr>
          <w:rFonts w:ascii="Garamond" w:eastAsia="Calibri" w:hAnsi="Garamond" w:cs="Times New Roman"/>
        </w:rPr>
        <w:t>ing</w:t>
      </w:r>
      <w:proofErr w:type="spellEnd"/>
      <w:r w:rsidRPr="003037D2">
        <w:rPr>
          <w:rFonts w:ascii="Garamond" w:eastAsia="Calibri" w:hAnsi="Garamond" w:cs="Times New Roman"/>
        </w:rPr>
        <w:t>] readers to connect its separate poetic perceptions… in an accumulation of poetic effects’.</w:t>
      </w:r>
      <w:r w:rsidRPr="003037D2">
        <w:rPr>
          <w:rFonts w:ascii="Garamond" w:eastAsia="Calibri" w:hAnsi="Garamond" w:cs="Times New Roman"/>
          <w:vertAlign w:val="superscript"/>
        </w:rPr>
        <w:footnoteReference w:id="436"/>
      </w:r>
      <w:r w:rsidRPr="003037D2">
        <w:rPr>
          <w:rFonts w:ascii="Garamond" w:eastAsia="Calibri" w:hAnsi="Garamond" w:cs="Times New Roman"/>
        </w:rPr>
        <w:t xml:space="preserve"> Simon Jackson has likewise described the ‘polyphony’ of </w:t>
      </w:r>
      <w:r w:rsidRPr="003037D2">
        <w:rPr>
          <w:rFonts w:ascii="Garamond" w:eastAsia="Calibri" w:hAnsi="Garamond" w:cs="Times New Roman"/>
          <w:i/>
          <w:iCs/>
        </w:rPr>
        <w:t xml:space="preserve">The Temple </w:t>
      </w:r>
      <w:r w:rsidRPr="003037D2">
        <w:rPr>
          <w:rFonts w:ascii="Garamond" w:eastAsia="Calibri" w:hAnsi="Garamond" w:cs="Times New Roman"/>
        </w:rPr>
        <w:t>as a whole.</w:t>
      </w:r>
      <w:r w:rsidRPr="003037D2">
        <w:rPr>
          <w:rFonts w:ascii="Garamond" w:eastAsia="Calibri" w:hAnsi="Garamond" w:cs="Times New Roman"/>
          <w:vertAlign w:val="superscript"/>
        </w:rPr>
        <w:footnoteReference w:id="437"/>
      </w:r>
      <w:r w:rsidRPr="003037D2">
        <w:rPr>
          <w:rFonts w:ascii="Garamond" w:eastAsia="Calibri" w:hAnsi="Garamond" w:cs="Times New Roman"/>
        </w:rPr>
        <w:t xml:space="preserve"> Louis Martz suggested that in ‘Sunday’, Herbert drew upon the ‘technique of packed analogy’ associated with the Continental meditative tradition.</w:t>
      </w:r>
      <w:r w:rsidRPr="003037D2">
        <w:rPr>
          <w:rFonts w:ascii="Garamond" w:eastAsia="Calibri" w:hAnsi="Garamond" w:cs="Times New Roman"/>
          <w:vertAlign w:val="superscript"/>
        </w:rPr>
        <w:t xml:space="preserve"> </w:t>
      </w:r>
      <w:r w:rsidRPr="003037D2">
        <w:rPr>
          <w:rFonts w:ascii="Garamond" w:eastAsia="Calibri" w:hAnsi="Garamond" w:cs="Times New Roman"/>
          <w:vertAlign w:val="superscript"/>
        </w:rPr>
        <w:footnoteReference w:id="438"/>
      </w:r>
      <w:r w:rsidRPr="003037D2">
        <w:rPr>
          <w:rFonts w:ascii="Garamond" w:eastAsia="Calibri" w:hAnsi="Garamond" w:cs="Times New Roman"/>
        </w:rPr>
        <w:t xml:space="preserve"> The closely linked metaphors in this reading become like osculation points in Catholic meditative practice, objects that would be kissed or looked upon at set moments in a sequence of prayer. These are still </w:t>
      </w:r>
      <w:proofErr w:type="gramStart"/>
      <w:r w:rsidRPr="003037D2">
        <w:rPr>
          <w:rFonts w:ascii="Garamond" w:eastAsia="Calibri" w:hAnsi="Garamond" w:cs="Times New Roman"/>
        </w:rPr>
        <w:t>points</w:t>
      </w:r>
      <w:proofErr w:type="gramEnd"/>
      <w:r w:rsidRPr="003037D2">
        <w:rPr>
          <w:rFonts w:ascii="Garamond" w:eastAsia="Calibri" w:hAnsi="Garamond" w:cs="Times New Roman"/>
        </w:rPr>
        <w:t xml:space="preserve"> to be considered over and over again, gaining meaning </w:t>
      </w:r>
      <w:r w:rsidRPr="003037D2">
        <w:rPr>
          <w:rFonts w:ascii="Garamond" w:eastAsia="Calibri" w:hAnsi="Garamond" w:cs="Times New Roman"/>
        </w:rPr>
        <w:lastRenderedPageBreak/>
        <w:t>through repetition. Lull’s work on the revisions reveals that Herbert often made changes that would further strengthen the links between different poems within the volume, a process she describes as a ‘collating’ method of revision, describing his drafts as a ‘collation of fragments’. The revisions often ‘promote deeper emblematic or symbolic generalization within individual lyrics or to encourage generalization from poem to poem’.</w:t>
      </w:r>
      <w:r w:rsidRPr="003037D2">
        <w:rPr>
          <w:rFonts w:ascii="Garamond" w:eastAsia="Calibri" w:hAnsi="Garamond" w:cs="Times New Roman"/>
          <w:vertAlign w:val="superscript"/>
        </w:rPr>
        <w:footnoteReference w:id="439"/>
      </w:r>
      <w:r w:rsidRPr="003037D2">
        <w:rPr>
          <w:rFonts w:ascii="Garamond" w:eastAsia="Calibri" w:hAnsi="Garamond" w:cs="Times New Roman"/>
        </w:rPr>
        <w:t xml:space="preserve"> As discussed later, this emphasis upon the emblematic and symbolic nature of his verse is an intrinsic element of Herbert’s engagement with practices of Biblical reading and commonplacing, which promote a particular temporal experience of the book. </w:t>
      </w:r>
    </w:p>
    <w:p w14:paraId="624F5770" w14:textId="77777777" w:rsidR="00162224" w:rsidRPr="003037D2" w:rsidRDefault="00162224" w:rsidP="00162224">
      <w:pPr>
        <w:spacing w:line="360" w:lineRule="auto"/>
        <w:ind w:firstLine="360"/>
        <w:rPr>
          <w:rFonts w:ascii="Garamond" w:eastAsia="Calibri" w:hAnsi="Garamond" w:cs="Times New Roman"/>
        </w:rPr>
      </w:pPr>
    </w:p>
    <w:p w14:paraId="18DA40AD" w14:textId="77777777" w:rsidR="00162224" w:rsidRPr="003037D2" w:rsidRDefault="00162224" w:rsidP="00162224">
      <w:pPr>
        <w:spacing w:line="360" w:lineRule="auto"/>
        <w:ind w:firstLine="360"/>
        <w:rPr>
          <w:rFonts w:ascii="Garamond" w:eastAsia="Calibri" w:hAnsi="Garamond" w:cs="Times New Roman"/>
        </w:rPr>
      </w:pPr>
    </w:p>
    <w:p w14:paraId="07EFF049" w14:textId="77777777"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Lull remarks on the number of revisions Herbert made when working on ‘Sunday’, suggesting that this may have indicated his own struggle with the topic. For example, the image of beads derided by </w:t>
      </w:r>
      <w:proofErr w:type="spellStart"/>
      <w:r w:rsidRPr="003037D2">
        <w:rPr>
          <w:rFonts w:ascii="Garamond" w:eastAsia="Calibri" w:hAnsi="Garamond" w:cs="Times New Roman"/>
        </w:rPr>
        <w:t>Vendler</w:t>
      </w:r>
      <w:proofErr w:type="spellEnd"/>
      <w:r w:rsidRPr="003037D2">
        <w:rPr>
          <w:rFonts w:ascii="Garamond" w:eastAsia="Calibri" w:hAnsi="Garamond" w:cs="Times New Roman"/>
        </w:rPr>
        <w:t xml:space="preserve"> originally appeared as bracelets ‘for the spouse and wife/ Of the </w:t>
      </w:r>
      <w:proofErr w:type="spellStart"/>
      <w:r w:rsidRPr="003037D2">
        <w:rPr>
          <w:rFonts w:ascii="Garamond" w:eastAsia="Calibri" w:hAnsi="Garamond" w:cs="Times New Roman"/>
        </w:rPr>
        <w:t>Imortall</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onely</w:t>
      </w:r>
      <w:proofErr w:type="spellEnd"/>
      <w:r w:rsidRPr="003037D2">
        <w:rPr>
          <w:rFonts w:ascii="Garamond" w:eastAsia="Calibri" w:hAnsi="Garamond" w:cs="Times New Roman"/>
        </w:rPr>
        <w:t xml:space="preserve"> king’. This direct reference was then excised, with ‘Sunday’ putting forth a subtler position than a declaration that the Sabbath is the head of the church. Lull argues that instead, ‘it is a poem that explores the imperfect fit between with the earthly Sabbath and God’s peace as an analogy for the imperfect fit between the human mind and God’s reality’.</w:t>
      </w:r>
      <w:r w:rsidRPr="003037D2">
        <w:rPr>
          <w:rFonts w:ascii="Garamond" w:eastAsia="Calibri" w:hAnsi="Garamond" w:cs="Times New Roman"/>
          <w:vertAlign w:val="superscript"/>
        </w:rPr>
        <w:footnoteReference w:id="440"/>
      </w:r>
      <w:r w:rsidRPr="003037D2">
        <w:rPr>
          <w:rFonts w:ascii="Garamond" w:eastAsia="Calibri" w:hAnsi="Garamond" w:cs="Times New Roman"/>
        </w:rPr>
        <w:t xml:space="preserve"> Whilst Lull’s reading of ‘Sunday’ fails to fully grapple with the intricacies of the verse, her examination of Herbert’s use of ‘poetic clusters’ and his efforts to make his verse universal are helpful. The issue of an ‘imperfect fit’ between the Divine and the mundane is never more exposed than in the attempt to integrate a vision of eternity with the workaday week. Neither can be properly described, or understood, in the terms of the other. In Herbert’s guide to preachers, he stressed the importance of learning the language and frames of reference known to the congregation. In an analogy of language as building, which clearly resonated with the author of </w:t>
      </w:r>
      <w:r w:rsidRPr="003037D2">
        <w:rPr>
          <w:rFonts w:ascii="Garamond" w:eastAsia="Calibri" w:hAnsi="Garamond" w:cs="Times New Roman"/>
          <w:i/>
          <w:iCs/>
        </w:rPr>
        <w:t xml:space="preserve">The Temple, </w:t>
      </w:r>
      <w:r w:rsidRPr="003037D2">
        <w:rPr>
          <w:rFonts w:ascii="Garamond" w:eastAsia="Calibri" w:hAnsi="Garamond" w:cs="Times New Roman"/>
        </w:rPr>
        <w:t xml:space="preserve">he writes ‘it is an ill mason that </w:t>
      </w:r>
      <w:proofErr w:type="spellStart"/>
      <w:r w:rsidRPr="003037D2">
        <w:rPr>
          <w:rFonts w:ascii="Garamond" w:eastAsia="Calibri" w:hAnsi="Garamond" w:cs="Times New Roman"/>
        </w:rPr>
        <w:t>refuseth</w:t>
      </w:r>
      <w:proofErr w:type="spellEnd"/>
      <w:r w:rsidRPr="003037D2">
        <w:rPr>
          <w:rFonts w:ascii="Garamond" w:eastAsia="Calibri" w:hAnsi="Garamond" w:cs="Times New Roman"/>
        </w:rPr>
        <w:t xml:space="preserve"> any stone’. Herbert explains that ‘the country parson’ ‘condescends even to the knowledge of tillage, and pastorage, and makes great use of them in preaching because people by what they understand are best led to what they understand not’.</w:t>
      </w:r>
      <w:r w:rsidRPr="003037D2">
        <w:rPr>
          <w:rFonts w:ascii="Garamond" w:eastAsia="Calibri" w:hAnsi="Garamond" w:cs="Times New Roman"/>
          <w:vertAlign w:val="superscript"/>
        </w:rPr>
        <w:footnoteReference w:id="441"/>
      </w:r>
      <w:r w:rsidRPr="003037D2">
        <w:rPr>
          <w:rFonts w:ascii="Garamond" w:eastAsia="Calibri" w:hAnsi="Garamond" w:cs="Times New Roman"/>
        </w:rPr>
        <w:t xml:space="preserve"> A preacher can only </w:t>
      </w:r>
      <w:r w:rsidRPr="003037D2">
        <w:rPr>
          <w:rFonts w:ascii="Garamond" w:eastAsia="Calibri" w:hAnsi="Garamond" w:cs="Times New Roman"/>
        </w:rPr>
        <w:lastRenderedPageBreak/>
        <w:t xml:space="preserve">draw his congregation towards new forms of knowledge by using the language and terminology that is familiar to them. </w:t>
      </w:r>
    </w:p>
    <w:p w14:paraId="1AE1E648" w14:textId="77777777" w:rsidR="00162224" w:rsidRPr="003037D2" w:rsidRDefault="00162224" w:rsidP="00162224">
      <w:pPr>
        <w:spacing w:line="360" w:lineRule="auto"/>
        <w:rPr>
          <w:rFonts w:ascii="Garamond" w:eastAsia="Calibri" w:hAnsi="Garamond" w:cs="Times New Roman"/>
        </w:rPr>
      </w:pPr>
    </w:p>
    <w:p w14:paraId="674C0FC0" w14:textId="77777777"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ab/>
      </w:r>
    </w:p>
    <w:p w14:paraId="6C053068" w14:textId="77777777" w:rsidR="00162224" w:rsidRPr="003037D2" w:rsidRDefault="00162224" w:rsidP="00162224">
      <w:pPr>
        <w:spacing w:line="360" w:lineRule="auto"/>
        <w:ind w:firstLine="720"/>
        <w:rPr>
          <w:rFonts w:ascii="Garamond" w:eastAsia="Calibri" w:hAnsi="Garamond" w:cs="Times New Roman"/>
        </w:rPr>
      </w:pPr>
      <w:bookmarkStart w:id="47" w:name="_Hlk509225580"/>
      <w:r w:rsidRPr="003037D2">
        <w:rPr>
          <w:rFonts w:ascii="Garamond" w:eastAsia="Calibri" w:hAnsi="Garamond" w:cs="Times New Roman"/>
        </w:rPr>
        <w:t xml:space="preserve">Throughout ‘Sunday’, images of time as curving recur. Herbert contrasts the forward movement of man, hurrying towards his demise, with the reflective nature of Sunday: </w:t>
      </w:r>
    </w:p>
    <w:p w14:paraId="1E1F090F" w14:textId="77777777" w:rsidR="00162224" w:rsidRPr="003037D2" w:rsidRDefault="00162224" w:rsidP="00162224">
      <w:pPr>
        <w:ind w:left="2880" w:firstLine="720"/>
        <w:rPr>
          <w:rFonts w:ascii="Garamond" w:eastAsia="Calibri" w:hAnsi="Garamond" w:cs="Times New Roman"/>
        </w:rPr>
      </w:pPr>
      <w:r w:rsidRPr="003037D2">
        <w:rPr>
          <w:rFonts w:ascii="Garamond" w:eastAsia="Calibri" w:hAnsi="Garamond" w:cs="Times New Roman"/>
        </w:rPr>
        <w:t>Man had straight forward gone</w:t>
      </w:r>
    </w:p>
    <w:p w14:paraId="27AB40EB" w14:textId="77777777" w:rsidR="00162224" w:rsidRPr="003037D2" w:rsidRDefault="00162224" w:rsidP="00162224">
      <w:pPr>
        <w:ind w:left="2160" w:firstLine="360"/>
        <w:rPr>
          <w:rFonts w:ascii="Garamond" w:eastAsia="Calibri" w:hAnsi="Garamond" w:cs="Times New Roman"/>
        </w:rPr>
      </w:pPr>
      <w:r w:rsidRPr="003037D2">
        <w:rPr>
          <w:rFonts w:ascii="Garamond" w:eastAsia="Calibri" w:hAnsi="Garamond" w:cs="Times New Roman"/>
        </w:rPr>
        <w:t>To endless death: but thou dost pull</w:t>
      </w:r>
    </w:p>
    <w:p w14:paraId="6FE6413F" w14:textId="77777777" w:rsidR="00162224" w:rsidRPr="003037D2" w:rsidRDefault="00162224" w:rsidP="00162224">
      <w:pPr>
        <w:ind w:left="2160" w:firstLine="360"/>
        <w:rPr>
          <w:rFonts w:ascii="Garamond" w:eastAsia="Calibri" w:hAnsi="Garamond" w:cs="Times New Roman"/>
        </w:rPr>
      </w:pPr>
      <w:r w:rsidRPr="003037D2">
        <w:rPr>
          <w:rFonts w:ascii="Garamond" w:eastAsia="Calibri" w:hAnsi="Garamond" w:cs="Times New Roman"/>
        </w:rPr>
        <w:t xml:space="preserve">And turn us round to look on one </w:t>
      </w:r>
    </w:p>
    <w:p w14:paraId="6F6211D5" w14:textId="77777777" w:rsidR="00162224" w:rsidRPr="003037D2" w:rsidRDefault="00162224" w:rsidP="00162224">
      <w:pPr>
        <w:ind w:left="2160" w:firstLine="360"/>
        <w:rPr>
          <w:rFonts w:ascii="Garamond" w:eastAsia="Calibri" w:hAnsi="Garamond" w:cs="Times New Roman"/>
        </w:rPr>
      </w:pPr>
      <w:r w:rsidRPr="003037D2">
        <w:rPr>
          <w:rFonts w:ascii="Garamond" w:eastAsia="Calibri" w:hAnsi="Garamond" w:cs="Times New Roman"/>
        </w:rPr>
        <w:t xml:space="preserve">Whom, if we were not very dull, </w:t>
      </w:r>
    </w:p>
    <w:p w14:paraId="205313A3" w14:textId="77777777" w:rsidR="00162224" w:rsidRPr="003037D2" w:rsidRDefault="00162224" w:rsidP="00162224">
      <w:pPr>
        <w:ind w:left="2160" w:firstLine="360"/>
        <w:rPr>
          <w:rFonts w:ascii="Garamond" w:eastAsia="Calibri" w:hAnsi="Garamond" w:cs="Times New Roman"/>
        </w:rPr>
      </w:pPr>
      <w:r w:rsidRPr="003037D2">
        <w:rPr>
          <w:rFonts w:ascii="Garamond" w:eastAsia="Calibri" w:hAnsi="Garamond" w:cs="Times New Roman"/>
        </w:rPr>
        <w:t xml:space="preserve">We could not choose but look on still; </w:t>
      </w:r>
    </w:p>
    <w:p w14:paraId="2E25266A" w14:textId="77777777" w:rsidR="00162224" w:rsidRPr="003037D2" w:rsidRDefault="00162224" w:rsidP="00162224">
      <w:pPr>
        <w:ind w:left="2160" w:firstLine="360"/>
        <w:rPr>
          <w:rFonts w:ascii="Garamond" w:eastAsia="Calibri" w:hAnsi="Garamond" w:cs="Times New Roman"/>
        </w:rPr>
      </w:pPr>
      <w:r w:rsidRPr="003037D2">
        <w:rPr>
          <w:rFonts w:ascii="Garamond" w:eastAsia="Calibri" w:hAnsi="Garamond" w:cs="Times New Roman"/>
        </w:rPr>
        <w:t xml:space="preserve">Since there is no place so alone, </w:t>
      </w:r>
    </w:p>
    <w:p w14:paraId="623F6DF2" w14:textId="769DFF04" w:rsidR="00162224" w:rsidRDefault="00162224" w:rsidP="00162224">
      <w:pPr>
        <w:ind w:left="2880" w:firstLine="720"/>
        <w:rPr>
          <w:rFonts w:ascii="Garamond" w:eastAsia="Calibri" w:hAnsi="Garamond" w:cs="Times New Roman"/>
        </w:rPr>
      </w:pPr>
      <w:r w:rsidRPr="003037D2">
        <w:rPr>
          <w:rFonts w:ascii="Garamond" w:eastAsia="Calibri" w:hAnsi="Garamond" w:cs="Times New Roman"/>
        </w:rPr>
        <w:t xml:space="preserve">The which he doth not fill. </w:t>
      </w:r>
    </w:p>
    <w:p w14:paraId="264D43ED" w14:textId="77777777" w:rsidR="00667CD5" w:rsidRPr="003037D2" w:rsidRDefault="00667CD5" w:rsidP="00162224">
      <w:pPr>
        <w:ind w:left="2880" w:firstLine="720"/>
        <w:rPr>
          <w:rFonts w:ascii="Garamond" w:eastAsia="Calibri" w:hAnsi="Garamond" w:cs="Times New Roman"/>
        </w:rPr>
      </w:pPr>
    </w:p>
    <w:p w14:paraId="3669DB05" w14:textId="12AF18FF"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Who ‘this one’ refers to is left somewhat </w:t>
      </w:r>
      <w:proofErr w:type="gramStart"/>
      <w:r w:rsidRPr="003037D2">
        <w:rPr>
          <w:rFonts w:ascii="Garamond" w:eastAsia="Calibri" w:hAnsi="Garamond" w:cs="Times New Roman"/>
        </w:rPr>
        <w:t>open-ended.</w:t>
      </w:r>
      <w:proofErr w:type="gramEnd"/>
      <w:r w:rsidRPr="003037D2">
        <w:rPr>
          <w:rFonts w:ascii="Garamond" w:eastAsia="Calibri" w:hAnsi="Garamond" w:cs="Times New Roman"/>
        </w:rPr>
        <w:t xml:space="preserve"> Should the reader be examining God, specifically Christ, or perhaps their own past? Whichever it is, the speaker presents Sunday as a moment to break the normally hectic forward march of time. This sense of the curved life of man reoccurs several times in </w:t>
      </w:r>
      <w:r w:rsidRPr="003037D2">
        <w:rPr>
          <w:rFonts w:ascii="Garamond" w:eastAsia="Calibri" w:hAnsi="Garamond" w:cs="Times New Roman"/>
          <w:i/>
          <w:iCs/>
        </w:rPr>
        <w:t xml:space="preserve">The Temple. </w:t>
      </w:r>
      <w:r w:rsidRPr="003037D2">
        <w:rPr>
          <w:rFonts w:ascii="Garamond" w:eastAsia="Calibri" w:hAnsi="Garamond" w:cs="Times New Roman"/>
        </w:rPr>
        <w:t xml:space="preserve">In ‘Colossians: 3.3’ Herbert describes the ‘double motion’ of </w:t>
      </w:r>
      <w:r w:rsidRPr="003037D2">
        <w:rPr>
          <w:rFonts w:ascii="Garamond" w:eastAsia="Calibri" w:hAnsi="Garamond" w:cs="Times New Roman"/>
          <w:i/>
          <w:iCs/>
        </w:rPr>
        <w:t>‘Life’</w:t>
      </w:r>
      <w:r w:rsidRPr="003037D2">
        <w:rPr>
          <w:rFonts w:ascii="Garamond" w:eastAsia="Calibri" w:hAnsi="Garamond" w:cs="Times New Roman"/>
        </w:rPr>
        <w:t xml:space="preserve">: ‘The first </w:t>
      </w:r>
      <w:r w:rsidRPr="003037D2">
        <w:rPr>
          <w:rFonts w:ascii="Garamond" w:eastAsia="Calibri" w:hAnsi="Garamond" w:cs="Times New Roman"/>
          <w:i/>
          <w:iCs/>
        </w:rPr>
        <w:t xml:space="preserve">Is </w:t>
      </w:r>
      <w:r w:rsidRPr="003037D2">
        <w:rPr>
          <w:rFonts w:ascii="Garamond" w:eastAsia="Calibri" w:hAnsi="Garamond" w:cs="Times New Roman"/>
        </w:rPr>
        <w:t xml:space="preserve">straight, and our diurnal friend, / The other </w:t>
      </w:r>
      <w:r w:rsidRPr="003037D2">
        <w:rPr>
          <w:rFonts w:ascii="Garamond" w:eastAsia="Calibri" w:hAnsi="Garamond" w:cs="Times New Roman"/>
          <w:i/>
          <w:iCs/>
        </w:rPr>
        <w:t xml:space="preserve">Hid, </w:t>
      </w:r>
      <w:r w:rsidRPr="003037D2">
        <w:rPr>
          <w:rFonts w:ascii="Garamond" w:eastAsia="Calibri" w:hAnsi="Garamond" w:cs="Times New Roman"/>
        </w:rPr>
        <w:t xml:space="preserve">and doth obliquely bend.’ It seems to be this ‘bent’ life that ‘winds towards </w:t>
      </w:r>
      <w:r w:rsidRPr="003037D2">
        <w:rPr>
          <w:rFonts w:ascii="Garamond" w:eastAsia="Calibri" w:hAnsi="Garamond" w:cs="Times New Roman"/>
          <w:i/>
          <w:iCs/>
        </w:rPr>
        <w:t xml:space="preserve">Him, </w:t>
      </w:r>
      <w:r w:rsidRPr="003037D2">
        <w:rPr>
          <w:rFonts w:ascii="Garamond" w:eastAsia="Calibri" w:hAnsi="Garamond" w:cs="Times New Roman"/>
        </w:rPr>
        <w:t xml:space="preserve">whose </w:t>
      </w:r>
      <w:proofErr w:type="spellStart"/>
      <w:r w:rsidRPr="003037D2">
        <w:rPr>
          <w:rFonts w:ascii="Garamond" w:eastAsia="Calibri" w:hAnsi="Garamond" w:cs="Times New Roman"/>
        </w:rPr>
        <w:t>happie</w:t>
      </w:r>
      <w:proofErr w:type="spellEnd"/>
      <w:r w:rsidRPr="003037D2">
        <w:rPr>
          <w:rFonts w:ascii="Garamond" w:eastAsia="Calibri" w:hAnsi="Garamond" w:cs="Times New Roman"/>
        </w:rPr>
        <w:t xml:space="preserve"> birth/ Taught me to live here so’.</w:t>
      </w:r>
      <w:r w:rsidRPr="003037D2">
        <w:rPr>
          <w:rFonts w:ascii="Garamond" w:eastAsia="Calibri" w:hAnsi="Garamond" w:cs="Times New Roman"/>
          <w:vertAlign w:val="superscript"/>
        </w:rPr>
        <w:footnoteReference w:id="442"/>
      </w:r>
      <w:r w:rsidRPr="003037D2">
        <w:rPr>
          <w:rFonts w:ascii="Garamond" w:eastAsia="Calibri" w:hAnsi="Garamond" w:cs="Times New Roman"/>
        </w:rPr>
        <w:t xml:space="preserve"> </w:t>
      </w:r>
      <w:r w:rsidR="00164AB4" w:rsidRPr="003037D2">
        <w:rPr>
          <w:rFonts w:ascii="Garamond" w:eastAsia="Calibri" w:hAnsi="Garamond" w:cs="Times New Roman"/>
        </w:rPr>
        <w:t>O</w:t>
      </w:r>
      <w:r w:rsidRPr="003037D2">
        <w:rPr>
          <w:rFonts w:ascii="Garamond" w:eastAsia="Calibri" w:hAnsi="Garamond" w:cs="Times New Roman"/>
        </w:rPr>
        <w:t xml:space="preserve">ne of Herbert’s hieroglyph poems, which plays with visual cues, the didactic message of how to live </w:t>
      </w:r>
      <w:r w:rsidRPr="003037D2">
        <w:rPr>
          <w:rFonts w:ascii="Garamond" w:eastAsia="Calibri" w:hAnsi="Garamond" w:cs="Times New Roman"/>
          <w:i/>
        </w:rPr>
        <w:t xml:space="preserve">on </w:t>
      </w:r>
      <w:r w:rsidRPr="003037D2">
        <w:rPr>
          <w:rFonts w:ascii="Garamond" w:eastAsia="Calibri" w:hAnsi="Garamond" w:cs="Times New Roman"/>
        </w:rPr>
        <w:t>earth is reflected in the physicality of ‘Colossians: 3.3’, in which Jesus’s name is embedded within the text. Self-reflection and reflection upon the historical truths of the Bible were essential for seventeenth-century Protestants, following the Biblical precedent of the Psalms and Calvin’s commentary upon them.</w:t>
      </w:r>
      <w:r w:rsidRPr="003037D2">
        <w:rPr>
          <w:rFonts w:ascii="Garamond" w:eastAsia="Calibri" w:hAnsi="Garamond" w:cs="Times New Roman"/>
          <w:vertAlign w:val="superscript"/>
        </w:rPr>
        <w:footnoteReference w:id="443"/>
      </w:r>
      <w:r w:rsidRPr="003037D2">
        <w:rPr>
          <w:rFonts w:ascii="Garamond" w:eastAsia="Calibri" w:hAnsi="Garamond" w:cs="Times New Roman"/>
        </w:rPr>
        <w:t xml:space="preserve"> As discussed in the preceding chapters in reference to William Perkins’ ‘Golden </w:t>
      </w:r>
      <w:proofErr w:type="spellStart"/>
      <w:r w:rsidRPr="003037D2">
        <w:rPr>
          <w:rFonts w:ascii="Garamond" w:eastAsia="Calibri" w:hAnsi="Garamond" w:cs="Times New Roman"/>
        </w:rPr>
        <w:t>Chaine</w:t>
      </w:r>
      <w:proofErr w:type="spellEnd"/>
      <w:r w:rsidRPr="003037D2">
        <w:rPr>
          <w:rFonts w:ascii="Garamond" w:eastAsia="Calibri" w:hAnsi="Garamond" w:cs="Times New Roman"/>
        </w:rPr>
        <w:t xml:space="preserve">’, Lock and Sidney Herbert’s </w:t>
      </w:r>
      <w:proofErr w:type="spellStart"/>
      <w:r w:rsidRPr="003037D2">
        <w:rPr>
          <w:rFonts w:ascii="Garamond" w:eastAsia="Calibri" w:hAnsi="Garamond" w:cs="Times New Roman"/>
        </w:rPr>
        <w:t>metanoic</w:t>
      </w:r>
      <w:proofErr w:type="spellEnd"/>
      <w:r w:rsidRPr="003037D2">
        <w:rPr>
          <w:rFonts w:ascii="Garamond" w:eastAsia="Calibri" w:hAnsi="Garamond" w:cs="Times New Roman"/>
        </w:rPr>
        <w:t xml:space="preserve"> renderings of Psalm 51, Donne’s praise of the ‘retrospective’ psalms, and the structuring of notes in almanacs, a turning back against time was often considered a prerequisite for the good Christian. </w:t>
      </w:r>
    </w:p>
    <w:bookmarkEnd w:id="47"/>
    <w:p w14:paraId="16041D32" w14:textId="77777777" w:rsidR="00162224" w:rsidRPr="003037D2" w:rsidRDefault="00162224" w:rsidP="00162224">
      <w:pPr>
        <w:spacing w:line="360" w:lineRule="auto"/>
        <w:rPr>
          <w:rFonts w:ascii="Garamond" w:eastAsia="Calibri" w:hAnsi="Garamond" w:cs="Times New Roman"/>
        </w:rPr>
      </w:pPr>
    </w:p>
    <w:p w14:paraId="36E0BA7E" w14:textId="77777777" w:rsidR="00162224" w:rsidRPr="003037D2" w:rsidRDefault="00162224" w:rsidP="00162224">
      <w:pPr>
        <w:spacing w:line="360" w:lineRule="auto"/>
        <w:rPr>
          <w:rFonts w:ascii="Garamond" w:eastAsia="Calibri" w:hAnsi="Garamond" w:cs="Times New Roman"/>
        </w:rPr>
      </w:pPr>
    </w:p>
    <w:p w14:paraId="665F3782" w14:textId="010A5E80"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lastRenderedPageBreak/>
        <w:t xml:space="preserve">This motif of turning and of bending time is perhaps reflected in the curved structure of the stanzas of ‘Sunday’. The first and last line of each seven-line stanza are indented, calling attention to their shortened </w:t>
      </w:r>
      <w:proofErr w:type="spellStart"/>
      <w:r w:rsidRPr="003037D2">
        <w:rPr>
          <w:rFonts w:ascii="Garamond" w:eastAsia="Calibri" w:hAnsi="Garamond" w:cs="Times New Roman"/>
        </w:rPr>
        <w:t>trimeter</w:t>
      </w:r>
      <w:proofErr w:type="spellEnd"/>
      <w:r w:rsidRPr="003037D2">
        <w:rPr>
          <w:rFonts w:ascii="Garamond" w:eastAsia="Calibri" w:hAnsi="Garamond" w:cs="Times New Roman"/>
        </w:rPr>
        <w:t xml:space="preserve"> form in contrast to the other five tetrameter lines. Whilst this may seem a minor point in terms of layout, there is ample evidence of the precision with which Herbert approached the physical appearance of his poetry on the page, as will be further discussed in the following sections on pattern poems and hieroglyphic verse.</w:t>
      </w:r>
      <w:r w:rsidRPr="003037D2">
        <w:rPr>
          <w:rFonts w:ascii="Garamond" w:eastAsia="Calibri" w:hAnsi="Garamond" w:cs="Times New Roman"/>
          <w:vertAlign w:val="superscript"/>
        </w:rPr>
        <w:footnoteReference w:id="444"/>
      </w:r>
      <w:r w:rsidRPr="003037D2">
        <w:rPr>
          <w:rFonts w:ascii="Garamond" w:eastAsia="Calibri" w:hAnsi="Garamond" w:cs="Times New Roman"/>
        </w:rPr>
        <w:t xml:space="preserve"> Martin </w:t>
      </w:r>
      <w:proofErr w:type="spellStart"/>
      <w:r w:rsidRPr="003037D2">
        <w:rPr>
          <w:rFonts w:ascii="Garamond" w:eastAsia="Calibri" w:hAnsi="Garamond" w:cs="Times New Roman"/>
        </w:rPr>
        <w:t>Elsky</w:t>
      </w:r>
      <w:proofErr w:type="spellEnd"/>
      <w:r w:rsidRPr="003037D2">
        <w:rPr>
          <w:rFonts w:ascii="Garamond" w:eastAsia="Calibri" w:hAnsi="Garamond" w:cs="Times New Roman"/>
        </w:rPr>
        <w:t>, discussing the ‘materiality of language’ in Herbert’s pattern poems points out that ‘the typographical patterns are the result of manipulating the shapes of the units of spoken poetic language’: these shapes can only be created by altering the number of metrical feet in each line. This results in a shape that is both seen and heard, with changes in meter – changes in time – becoming visible.</w:t>
      </w:r>
      <w:r w:rsidRPr="003037D2">
        <w:rPr>
          <w:rFonts w:ascii="Garamond" w:eastAsia="Calibri" w:hAnsi="Garamond" w:cs="Times New Roman"/>
          <w:vertAlign w:val="superscript"/>
        </w:rPr>
        <w:footnoteReference w:id="445"/>
      </w:r>
      <w:r w:rsidRPr="003037D2">
        <w:rPr>
          <w:rFonts w:ascii="Garamond" w:eastAsia="Calibri" w:hAnsi="Garamond" w:cs="Times New Roman"/>
        </w:rPr>
        <w:t xml:space="preserve"> Lull’s comparison of the Bodleian and Williams manuscripts of ‘The Church’ reveals how Herbert reflected his subject matter in the form of many poems. Lull describes the shape of ‘the hourglass’, visible in ‘Easter-Wings’, ‘Easter’ and ‘</w:t>
      </w:r>
      <w:proofErr w:type="spellStart"/>
      <w:r w:rsidRPr="003037D2">
        <w:rPr>
          <w:rFonts w:ascii="Garamond" w:eastAsia="Calibri" w:hAnsi="Garamond" w:cs="Times New Roman"/>
        </w:rPr>
        <w:t>Repentence</w:t>
      </w:r>
      <w:proofErr w:type="spellEnd"/>
      <w:r w:rsidRPr="003037D2">
        <w:rPr>
          <w:rFonts w:ascii="Garamond" w:eastAsia="Calibri" w:hAnsi="Garamond" w:cs="Times New Roman"/>
        </w:rPr>
        <w:t>’, which she describes as ‘composed of stanzas that narrow in the middle to suggest the passing of time’.</w:t>
      </w:r>
      <w:r w:rsidRPr="003037D2">
        <w:rPr>
          <w:rFonts w:ascii="Garamond" w:eastAsia="Calibri" w:hAnsi="Garamond" w:cs="Times New Roman"/>
          <w:vertAlign w:val="superscript"/>
        </w:rPr>
        <w:footnoteReference w:id="446"/>
      </w:r>
      <w:r w:rsidRPr="003037D2">
        <w:rPr>
          <w:rFonts w:ascii="Garamond" w:eastAsia="Calibri" w:hAnsi="Garamond" w:cs="Times New Roman"/>
        </w:rPr>
        <w:t xml:space="preserve"> It seems no great leap to suggest that the curves of ‘Sunday’ upon the page are intended to draw out the arches that Herbert figured throughout the poem. In the 1633 edition of </w:t>
      </w:r>
      <w:r w:rsidRPr="003037D2">
        <w:rPr>
          <w:rFonts w:ascii="Garamond" w:eastAsia="Calibri" w:hAnsi="Garamond" w:cs="Times New Roman"/>
          <w:i/>
        </w:rPr>
        <w:t xml:space="preserve">The Temple </w:t>
      </w:r>
      <w:r w:rsidRPr="003037D2">
        <w:rPr>
          <w:rFonts w:ascii="Garamond" w:eastAsia="Calibri" w:hAnsi="Garamond" w:cs="Times New Roman"/>
        </w:rPr>
        <w:t xml:space="preserve">the arched stanza form of ‘Sunday’ are fairly-well defined upon the page (see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_Ref497131126  \* MERGEFORMAT </w:instrText>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24</w:t>
      </w:r>
      <w:r w:rsidRPr="003037D2">
        <w:rPr>
          <w:rFonts w:ascii="Garamond" w:eastAsia="Calibri" w:hAnsi="Garamond" w:cs="Times New Roman"/>
        </w:rPr>
        <w:fldChar w:fldCharType="end"/>
      </w:r>
      <w:r w:rsidRPr="003037D2">
        <w:rPr>
          <w:rFonts w:ascii="Garamond" w:eastAsia="Calibri" w:hAnsi="Garamond" w:cs="Times New Roman"/>
        </w:rPr>
        <w:t>). Herbert may have gradually developed this structure; in the earlier Dr. Williams’ manuscript, only the first line is indented, whilst in the later Bodleian manuscript, the curved shape is visible due to the indentation of the final line of each stanza.</w:t>
      </w:r>
      <w:r w:rsidRPr="003037D2">
        <w:rPr>
          <w:rFonts w:ascii="Garamond" w:eastAsia="Calibri" w:hAnsi="Garamond" w:cs="Times New Roman"/>
          <w:vertAlign w:val="superscript"/>
        </w:rPr>
        <w:footnoteReference w:id="447"/>
      </w:r>
      <w:r w:rsidRPr="003037D2">
        <w:rPr>
          <w:rFonts w:ascii="Garamond" w:eastAsia="Calibri" w:hAnsi="Garamond" w:cs="Times New Roman"/>
        </w:rPr>
        <w:t xml:space="preserve"> </w:t>
      </w:r>
    </w:p>
    <w:p w14:paraId="6DE157DB" w14:textId="77777777" w:rsidR="00162224" w:rsidRPr="003037D2" w:rsidRDefault="00162224" w:rsidP="00162224">
      <w:pPr>
        <w:spacing w:line="360" w:lineRule="auto"/>
        <w:ind w:firstLine="360"/>
        <w:rPr>
          <w:rFonts w:ascii="Garamond" w:eastAsia="Calibri" w:hAnsi="Garamond" w:cs="Times New Roman"/>
        </w:rPr>
      </w:pPr>
    </w:p>
    <w:p w14:paraId="78F46065" w14:textId="77777777" w:rsidR="00162224" w:rsidRPr="003037D2" w:rsidRDefault="00162224" w:rsidP="00162224">
      <w:pPr>
        <w:spacing w:line="360" w:lineRule="auto"/>
        <w:ind w:firstLine="360"/>
        <w:rPr>
          <w:rFonts w:ascii="Garamond" w:eastAsia="Calibri" w:hAnsi="Garamond" w:cs="Times New Roman"/>
        </w:rPr>
      </w:pPr>
    </w:p>
    <w:p w14:paraId="5222FC00" w14:textId="0C1EE264"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The sense of time as arched reappears towards the end of the poem, in which the speaker directly addresses God as a friend, declaring ‘O let me take thee at the bound,/ Leaping with thee from </w:t>
      </w:r>
      <w:proofErr w:type="spellStart"/>
      <w:r w:rsidRPr="003037D2">
        <w:rPr>
          <w:rFonts w:ascii="Garamond" w:eastAsia="Calibri" w:hAnsi="Garamond" w:cs="Times New Roman"/>
        </w:rPr>
        <w:t>sev’n</w:t>
      </w:r>
      <w:proofErr w:type="spellEnd"/>
      <w:r w:rsidRPr="003037D2">
        <w:rPr>
          <w:rFonts w:ascii="Garamond" w:eastAsia="Calibri" w:hAnsi="Garamond" w:cs="Times New Roman"/>
        </w:rPr>
        <w:t xml:space="preserve"> to </w:t>
      </w:r>
      <w:proofErr w:type="spellStart"/>
      <w:r w:rsidRPr="003037D2">
        <w:rPr>
          <w:rFonts w:ascii="Garamond" w:eastAsia="Calibri" w:hAnsi="Garamond" w:cs="Times New Roman"/>
        </w:rPr>
        <w:t>sev’n</w:t>
      </w:r>
      <w:proofErr w:type="spellEnd"/>
      <w:r w:rsidRPr="003037D2">
        <w:rPr>
          <w:rFonts w:ascii="Garamond" w:eastAsia="Calibri" w:hAnsi="Garamond" w:cs="Times New Roman"/>
        </w:rPr>
        <w:t xml:space="preserve">,/ till we both, being </w:t>
      </w:r>
      <w:proofErr w:type="spellStart"/>
      <w:r w:rsidRPr="003037D2">
        <w:rPr>
          <w:rFonts w:ascii="Garamond" w:eastAsia="Calibri" w:hAnsi="Garamond" w:cs="Times New Roman"/>
        </w:rPr>
        <w:t>toss’d</w:t>
      </w:r>
      <w:proofErr w:type="spellEnd"/>
      <w:r w:rsidRPr="003037D2">
        <w:rPr>
          <w:rFonts w:ascii="Garamond" w:eastAsia="Calibri" w:hAnsi="Garamond" w:cs="Times New Roman"/>
        </w:rPr>
        <w:t xml:space="preserve"> from earth,/ </w:t>
      </w:r>
      <w:proofErr w:type="spellStart"/>
      <w:r w:rsidRPr="003037D2">
        <w:rPr>
          <w:rFonts w:ascii="Garamond" w:eastAsia="Calibri" w:hAnsi="Garamond" w:cs="Times New Roman"/>
        </w:rPr>
        <w:t>Flie</w:t>
      </w:r>
      <w:proofErr w:type="spellEnd"/>
      <w:r w:rsidRPr="003037D2">
        <w:rPr>
          <w:rFonts w:ascii="Garamond" w:eastAsia="Calibri" w:hAnsi="Garamond" w:cs="Times New Roman"/>
        </w:rPr>
        <w:t xml:space="preserve"> hand in hand to heaven’</w:t>
      </w:r>
      <w:r w:rsidR="0038415A" w:rsidRPr="003037D2">
        <w:rPr>
          <w:rFonts w:ascii="Garamond" w:eastAsia="Calibri" w:hAnsi="Garamond" w:cs="Times New Roman"/>
        </w:rPr>
        <w:t xml:space="preserve"> </w:t>
      </w:r>
      <w:r w:rsidRPr="003037D2">
        <w:rPr>
          <w:rFonts w:ascii="Garamond" w:eastAsia="Calibri" w:hAnsi="Garamond" w:cs="Times New Roman"/>
        </w:rPr>
        <w:t>(ll. 59-63)</w:t>
      </w:r>
      <w:r w:rsidR="0038415A" w:rsidRPr="003037D2">
        <w:rPr>
          <w:rFonts w:ascii="Garamond" w:eastAsia="Calibri" w:hAnsi="Garamond" w:cs="Times New Roman"/>
        </w:rPr>
        <w:t>.F</w:t>
      </w:r>
      <w:r w:rsidRPr="003037D2">
        <w:rPr>
          <w:rFonts w:ascii="Garamond" w:eastAsia="Calibri" w:hAnsi="Garamond" w:cs="Times New Roman"/>
        </w:rPr>
        <w:t xml:space="preserve"> Michael Clifton has argued that this recalls the language of gambling, with the speaker being ‘tossed in lucky sevens in a series of </w:t>
      </w:r>
      <w:r w:rsidRPr="003037D2">
        <w:rPr>
          <w:rFonts w:ascii="Garamond" w:eastAsia="Calibri" w:hAnsi="Garamond" w:cs="Times New Roman"/>
        </w:rPr>
        <w:lastRenderedPageBreak/>
        <w:t>winning throws’ on to heaven.</w:t>
      </w:r>
      <w:r w:rsidRPr="003037D2">
        <w:rPr>
          <w:rFonts w:ascii="Garamond" w:eastAsia="Calibri" w:hAnsi="Garamond" w:cs="Times New Roman"/>
          <w:vertAlign w:val="superscript"/>
        </w:rPr>
        <w:footnoteReference w:id="448"/>
      </w:r>
      <w:r w:rsidRPr="003037D2">
        <w:rPr>
          <w:rFonts w:ascii="Garamond" w:eastAsia="Calibri" w:hAnsi="Garamond" w:cs="Times New Roman"/>
        </w:rPr>
        <w:t xml:space="preserve"> This would open-up questions about the ‘luck’ implicit within a doctrine of election. However, in ‘The Church Porch’ Herbert has warned ‘that hath old gamesters </w:t>
      </w:r>
      <w:proofErr w:type="spellStart"/>
      <w:r w:rsidRPr="003037D2">
        <w:rPr>
          <w:rFonts w:ascii="Garamond" w:eastAsia="Calibri" w:hAnsi="Garamond" w:cs="Times New Roman"/>
        </w:rPr>
        <w:t>deerly</w:t>
      </w:r>
      <w:proofErr w:type="spellEnd"/>
      <w:r w:rsidRPr="003037D2">
        <w:rPr>
          <w:rFonts w:ascii="Garamond" w:eastAsia="Calibri" w:hAnsi="Garamond" w:cs="Times New Roman"/>
        </w:rPr>
        <w:t xml:space="preserve"> cost… Game is a civil gunpowder, in Peace/ Blowing up houses with their whole increase’. (ll. 200-4) Even without the gambling implications, the sense of ‘leaping’ from ‘</w:t>
      </w:r>
      <w:proofErr w:type="spellStart"/>
      <w:r w:rsidRPr="003037D2">
        <w:rPr>
          <w:rFonts w:ascii="Garamond" w:eastAsia="Calibri" w:hAnsi="Garamond" w:cs="Times New Roman"/>
        </w:rPr>
        <w:t>sev’n</w:t>
      </w:r>
      <w:proofErr w:type="spellEnd"/>
      <w:r w:rsidRPr="003037D2">
        <w:rPr>
          <w:rFonts w:ascii="Garamond" w:eastAsia="Calibri" w:hAnsi="Garamond" w:cs="Times New Roman"/>
        </w:rPr>
        <w:t xml:space="preserve"> to </w:t>
      </w:r>
      <w:proofErr w:type="spellStart"/>
      <w:r w:rsidRPr="003037D2">
        <w:rPr>
          <w:rFonts w:ascii="Garamond" w:eastAsia="Calibri" w:hAnsi="Garamond" w:cs="Times New Roman"/>
        </w:rPr>
        <w:t>sev’n</w:t>
      </w:r>
      <w:proofErr w:type="spellEnd"/>
      <w:r w:rsidRPr="003037D2">
        <w:rPr>
          <w:rFonts w:ascii="Garamond" w:eastAsia="Calibri" w:hAnsi="Garamond" w:cs="Times New Roman"/>
        </w:rPr>
        <w:t xml:space="preserve">’ creates a playful, energetic sense of time’s passing. Earlier in ‘Sunday’, however, these arches seemed to denote exhaustion. The week </w:t>
      </w:r>
      <w:proofErr w:type="gramStart"/>
      <w:r w:rsidRPr="003037D2">
        <w:rPr>
          <w:rFonts w:ascii="Garamond" w:eastAsia="Calibri" w:hAnsi="Garamond" w:cs="Times New Roman"/>
        </w:rPr>
        <w:t>as a whole is</w:t>
      </w:r>
      <w:proofErr w:type="gramEnd"/>
      <w:r w:rsidRPr="003037D2">
        <w:rPr>
          <w:rFonts w:ascii="Garamond" w:eastAsia="Calibri" w:hAnsi="Garamond" w:cs="Times New Roman"/>
        </w:rPr>
        <w:t xml:space="preserve"> described as a man bent double, ‘whose face thou [Sunday] art’ but ‘The </w:t>
      </w:r>
      <w:proofErr w:type="spellStart"/>
      <w:r w:rsidRPr="003037D2">
        <w:rPr>
          <w:rFonts w:ascii="Garamond" w:eastAsia="Calibri" w:hAnsi="Garamond" w:cs="Times New Roman"/>
        </w:rPr>
        <w:t>worky-daies</w:t>
      </w:r>
      <w:proofErr w:type="spellEnd"/>
      <w:r w:rsidRPr="003037D2">
        <w:rPr>
          <w:rFonts w:ascii="Garamond" w:eastAsia="Calibri" w:hAnsi="Garamond" w:cs="Times New Roman"/>
        </w:rPr>
        <w:t xml:space="preserve"> are the back-part’ on which ‘The burden of the week’ lies. This makes ‘the whole to stoup and </w:t>
      </w:r>
      <w:proofErr w:type="gramStart"/>
      <w:r w:rsidRPr="003037D2">
        <w:rPr>
          <w:rFonts w:ascii="Garamond" w:eastAsia="Calibri" w:hAnsi="Garamond" w:cs="Times New Roman"/>
        </w:rPr>
        <w:t>bow,/</w:t>
      </w:r>
      <w:proofErr w:type="gramEnd"/>
      <w:r w:rsidRPr="003037D2">
        <w:rPr>
          <w:rFonts w:ascii="Garamond" w:eastAsia="Calibri" w:hAnsi="Garamond" w:cs="Times New Roman"/>
        </w:rPr>
        <w:t xml:space="preserve"> Till thy release appear’. The image with which ‘Sunday’ opens, ‘day most calm, most bright… The fruit of this, the next worlds bud’, contains within itself a backwards turn. The forward temporal progression suggested by ‘fruit’, signifying potential reached, is then undercut by the term ‘bud’. Agricultural imagery necessarily leads to the depiction of time as cyclical rather than linear. The evocation of the natural world is returned to in stanza four, in which ‘</w:t>
      </w:r>
      <w:proofErr w:type="spellStart"/>
      <w:r w:rsidRPr="003037D2">
        <w:rPr>
          <w:rFonts w:ascii="Garamond" w:eastAsia="Calibri" w:hAnsi="Garamond" w:cs="Times New Roman"/>
        </w:rPr>
        <w:t>Sundaies</w:t>
      </w:r>
      <w:proofErr w:type="spellEnd"/>
      <w:r w:rsidRPr="003037D2">
        <w:rPr>
          <w:rFonts w:ascii="Garamond" w:eastAsia="Calibri" w:hAnsi="Garamond" w:cs="Times New Roman"/>
        </w:rPr>
        <w:t xml:space="preserve">’ are described as ‘the </w:t>
      </w:r>
      <w:proofErr w:type="spellStart"/>
      <w:r w:rsidRPr="003037D2">
        <w:rPr>
          <w:rFonts w:ascii="Garamond" w:eastAsia="Calibri" w:hAnsi="Garamond" w:cs="Times New Roman"/>
        </w:rPr>
        <w:t>fruitfull</w:t>
      </w:r>
      <w:proofErr w:type="spellEnd"/>
      <w:r w:rsidRPr="003037D2">
        <w:rPr>
          <w:rFonts w:ascii="Garamond" w:eastAsia="Calibri" w:hAnsi="Garamond" w:cs="Times New Roman"/>
        </w:rPr>
        <w:t xml:space="preserve"> beds and borders/ In Gods rich garden’. The focus upon the </w:t>
      </w:r>
      <w:proofErr w:type="spellStart"/>
      <w:r w:rsidRPr="003037D2">
        <w:rPr>
          <w:rFonts w:ascii="Garamond" w:eastAsia="Calibri" w:hAnsi="Garamond" w:cs="Times New Roman"/>
        </w:rPr>
        <w:t>labouring</w:t>
      </w:r>
      <w:proofErr w:type="spellEnd"/>
      <w:r w:rsidRPr="003037D2">
        <w:rPr>
          <w:rFonts w:ascii="Garamond" w:eastAsia="Calibri" w:hAnsi="Garamond" w:cs="Times New Roman"/>
        </w:rPr>
        <w:t xml:space="preserve"> patterns of the day, and the simple, rustic language used suggests that Herbert is perhaps drawing upon traditions of folk or ballad song. One 1639 rhyme </w:t>
      </w:r>
      <w:proofErr w:type="spellStart"/>
      <w:r w:rsidRPr="003037D2">
        <w:rPr>
          <w:rFonts w:ascii="Garamond" w:eastAsia="Calibri" w:hAnsi="Garamond" w:cs="Times New Roman"/>
        </w:rPr>
        <w:t>satirised</w:t>
      </w:r>
      <w:proofErr w:type="spellEnd"/>
      <w:r w:rsidRPr="003037D2">
        <w:rPr>
          <w:rFonts w:ascii="Garamond" w:eastAsia="Calibri" w:hAnsi="Garamond" w:cs="Times New Roman"/>
        </w:rPr>
        <w:t xml:space="preserve"> the tradition of allotting different tasks to </w:t>
      </w:r>
      <w:proofErr w:type="gramStart"/>
      <w:r w:rsidRPr="003037D2">
        <w:rPr>
          <w:rFonts w:ascii="Garamond" w:eastAsia="Calibri" w:hAnsi="Garamond" w:cs="Times New Roman"/>
        </w:rPr>
        <w:t>particular days</w:t>
      </w:r>
      <w:proofErr w:type="gramEnd"/>
      <w:r w:rsidRPr="003037D2">
        <w:rPr>
          <w:rFonts w:ascii="Garamond" w:eastAsia="Calibri" w:hAnsi="Garamond" w:cs="Times New Roman"/>
        </w:rPr>
        <w:t xml:space="preserve"> of the week: </w:t>
      </w:r>
    </w:p>
    <w:p w14:paraId="28B7C950" w14:textId="42A7A09F" w:rsidR="00162224" w:rsidRDefault="00162224" w:rsidP="00667CD5">
      <w:pPr>
        <w:ind w:left="737" w:right="737"/>
        <w:rPr>
          <w:rFonts w:ascii="Garamond" w:eastAsia="Calibri" w:hAnsi="Garamond" w:cs="Times New Roman"/>
        </w:rPr>
      </w:pPr>
      <w:r w:rsidRPr="003037D2">
        <w:rPr>
          <w:rFonts w:ascii="Garamond" w:eastAsia="Calibri" w:hAnsi="Garamond" w:cs="Times New Roman"/>
        </w:rPr>
        <w:t xml:space="preserve">You know that Munday is </w:t>
      </w:r>
      <w:proofErr w:type="spellStart"/>
      <w:r w:rsidRPr="003037D2">
        <w:rPr>
          <w:rFonts w:ascii="Garamond" w:eastAsia="Calibri" w:hAnsi="Garamond" w:cs="Times New Roman"/>
        </w:rPr>
        <w:t>Sundayes</w:t>
      </w:r>
      <w:proofErr w:type="spellEnd"/>
      <w:r w:rsidRPr="003037D2">
        <w:rPr>
          <w:rFonts w:ascii="Garamond" w:eastAsia="Calibri" w:hAnsi="Garamond" w:cs="Times New Roman"/>
        </w:rPr>
        <w:t xml:space="preserve"> brother; Tuesday is such another; Wednesday you must go to Church and pray; Thursday is half-holiday; On Friday it is too late to begin to spin; The Saturday is half-holiday </w:t>
      </w:r>
      <w:proofErr w:type="spellStart"/>
      <w:r w:rsidRPr="003037D2">
        <w:rPr>
          <w:rFonts w:ascii="Garamond" w:eastAsia="Calibri" w:hAnsi="Garamond" w:cs="Times New Roman"/>
        </w:rPr>
        <w:t>agen</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449"/>
      </w:r>
    </w:p>
    <w:p w14:paraId="5830F59E" w14:textId="66085006" w:rsidR="00667CD5" w:rsidRPr="003037D2" w:rsidRDefault="00667CD5" w:rsidP="00667CD5">
      <w:pPr>
        <w:ind w:left="737" w:right="737"/>
        <w:rPr>
          <w:rFonts w:ascii="Garamond" w:eastAsia="Calibri" w:hAnsi="Garamond" w:cs="Times New Roman"/>
        </w:rPr>
      </w:pPr>
    </w:p>
    <w:p w14:paraId="2DB2B8E9" w14:textId="77777777"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As discussed in the first chapter, the irregular working week was the focus of ‘much lament from moralists and mercantilist in the seventeenth and eighteenth centuries’ and was often associated with heavy drinking and other means of wasting time.</w:t>
      </w:r>
      <w:r w:rsidRPr="003037D2">
        <w:rPr>
          <w:rFonts w:ascii="Garamond" w:eastAsia="Calibri" w:hAnsi="Garamond" w:cs="Times New Roman"/>
          <w:vertAlign w:val="superscript"/>
        </w:rPr>
        <w:footnoteReference w:id="450"/>
      </w:r>
      <w:r w:rsidRPr="003037D2">
        <w:rPr>
          <w:rFonts w:ascii="Garamond" w:eastAsia="Calibri" w:hAnsi="Garamond" w:cs="Times New Roman"/>
        </w:rPr>
        <w:t xml:space="preserve"> Herbert was similarly concerned that time should be spent in productive but thoughtful </w:t>
      </w:r>
      <w:proofErr w:type="spellStart"/>
      <w:r w:rsidRPr="003037D2">
        <w:rPr>
          <w:rFonts w:ascii="Garamond" w:eastAsia="Calibri" w:hAnsi="Garamond" w:cs="Times New Roman"/>
        </w:rPr>
        <w:t>labour</w:t>
      </w:r>
      <w:proofErr w:type="spellEnd"/>
      <w:r w:rsidRPr="003037D2">
        <w:rPr>
          <w:rFonts w:ascii="Garamond" w:eastAsia="Calibri" w:hAnsi="Garamond" w:cs="Times New Roman"/>
        </w:rPr>
        <w:t xml:space="preserve">. </w:t>
      </w:r>
    </w:p>
    <w:p w14:paraId="3C6C9AFC" w14:textId="3AA52BB1" w:rsidR="00162224" w:rsidRDefault="00162224" w:rsidP="00162224">
      <w:pPr>
        <w:spacing w:line="360" w:lineRule="auto"/>
        <w:rPr>
          <w:rFonts w:ascii="Garamond" w:eastAsia="Calibri" w:hAnsi="Garamond" w:cs="Times New Roman"/>
        </w:rPr>
      </w:pPr>
    </w:p>
    <w:p w14:paraId="6D89F971" w14:textId="77777777" w:rsidR="00667CD5" w:rsidRPr="003037D2" w:rsidRDefault="00667CD5" w:rsidP="00162224">
      <w:pPr>
        <w:spacing w:line="360" w:lineRule="auto"/>
        <w:rPr>
          <w:rFonts w:ascii="Garamond" w:eastAsia="Calibri" w:hAnsi="Garamond" w:cs="Times New Roman"/>
        </w:rPr>
      </w:pPr>
    </w:p>
    <w:p w14:paraId="2D82954F" w14:textId="77777777"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ab/>
      </w:r>
      <w:bookmarkStart w:id="48" w:name="_Hlk509225661"/>
      <w:r w:rsidRPr="003037D2">
        <w:rPr>
          <w:rFonts w:ascii="Garamond" w:eastAsia="Calibri" w:hAnsi="Garamond" w:cs="Times New Roman"/>
        </w:rPr>
        <w:t xml:space="preserve">If ‘Sunday’ instructs the reader on how to manage their inner spiritual life on a weekly basis, ‘The Church Porch’ offers advice to the community </w:t>
      </w:r>
      <w:proofErr w:type="gramStart"/>
      <w:r w:rsidRPr="003037D2">
        <w:rPr>
          <w:rFonts w:ascii="Garamond" w:eastAsia="Calibri" w:hAnsi="Garamond" w:cs="Times New Roman"/>
        </w:rPr>
        <w:t>as a whole for</w:t>
      </w:r>
      <w:proofErr w:type="gramEnd"/>
      <w:r w:rsidRPr="003037D2">
        <w:rPr>
          <w:rFonts w:ascii="Garamond" w:eastAsia="Calibri" w:hAnsi="Garamond" w:cs="Times New Roman"/>
        </w:rPr>
        <w:t xml:space="preserve"> how to conduct themselves from day to day. This creates a communal notion of the passing of time, marked by timeless commonplaces instructing the reader on moral </w:t>
      </w:r>
      <w:proofErr w:type="spellStart"/>
      <w:r w:rsidRPr="003037D2">
        <w:rPr>
          <w:rFonts w:ascii="Garamond" w:eastAsia="Calibri" w:hAnsi="Garamond" w:cs="Times New Roman"/>
        </w:rPr>
        <w:t>behaviour</w:t>
      </w:r>
      <w:proofErr w:type="spellEnd"/>
      <w:r w:rsidRPr="003037D2">
        <w:rPr>
          <w:rFonts w:ascii="Garamond" w:eastAsia="Calibri" w:hAnsi="Garamond" w:cs="Times New Roman"/>
        </w:rPr>
        <w:t xml:space="preserve">. The </w:t>
      </w:r>
      <w:r w:rsidRPr="003037D2">
        <w:rPr>
          <w:rFonts w:ascii="Garamond" w:eastAsia="Calibri" w:hAnsi="Garamond" w:cs="Times New Roman"/>
        </w:rPr>
        <w:lastRenderedPageBreak/>
        <w:t xml:space="preserve">77-stanza long poem which opens </w:t>
      </w:r>
      <w:r w:rsidRPr="003037D2">
        <w:rPr>
          <w:rFonts w:ascii="Garamond" w:eastAsia="Calibri" w:hAnsi="Garamond" w:cs="Times New Roman"/>
          <w:i/>
          <w:iCs/>
        </w:rPr>
        <w:t xml:space="preserve">The Temple </w:t>
      </w:r>
      <w:r w:rsidRPr="003037D2">
        <w:rPr>
          <w:rFonts w:ascii="Garamond" w:eastAsia="Calibri" w:hAnsi="Garamond" w:cs="Times New Roman"/>
        </w:rPr>
        <w:t xml:space="preserve">at some points explicitly counsels against the wasting of time, with the declaration, ‘O England! Full of </w:t>
      </w:r>
      <w:proofErr w:type="spellStart"/>
      <w:r w:rsidRPr="003037D2">
        <w:rPr>
          <w:rFonts w:ascii="Garamond" w:eastAsia="Calibri" w:hAnsi="Garamond" w:cs="Times New Roman"/>
        </w:rPr>
        <w:t>sinne</w:t>
      </w:r>
      <w:proofErr w:type="spellEnd"/>
      <w:r w:rsidRPr="003037D2">
        <w:rPr>
          <w:rFonts w:ascii="Garamond" w:eastAsia="Calibri" w:hAnsi="Garamond" w:cs="Times New Roman"/>
        </w:rPr>
        <w:t xml:space="preserve">, but most of sloth’. (l. 91) This failure is laid at the feet of the aristocracy, continuing: </w:t>
      </w:r>
    </w:p>
    <w:p w14:paraId="66CAE5F7" w14:textId="77777777" w:rsidR="00162224" w:rsidRPr="003037D2" w:rsidRDefault="00162224" w:rsidP="00162224">
      <w:pPr>
        <w:ind w:left="1800" w:firstLine="357"/>
        <w:rPr>
          <w:rFonts w:ascii="Garamond" w:eastAsia="Calibri" w:hAnsi="Garamond" w:cs="Times New Roman"/>
        </w:rPr>
      </w:pPr>
      <w:r w:rsidRPr="003037D2">
        <w:rPr>
          <w:rFonts w:ascii="Garamond" w:eastAsia="Calibri" w:hAnsi="Garamond" w:cs="Times New Roman"/>
        </w:rPr>
        <w:t xml:space="preserve">Thy </w:t>
      </w:r>
      <w:proofErr w:type="spellStart"/>
      <w:r w:rsidRPr="003037D2">
        <w:rPr>
          <w:rFonts w:ascii="Garamond" w:eastAsia="Calibri" w:hAnsi="Garamond" w:cs="Times New Roman"/>
        </w:rPr>
        <w:t>Gentrie</w:t>
      </w:r>
      <w:proofErr w:type="spellEnd"/>
      <w:r w:rsidRPr="003037D2">
        <w:rPr>
          <w:rFonts w:ascii="Garamond" w:eastAsia="Calibri" w:hAnsi="Garamond" w:cs="Times New Roman"/>
        </w:rPr>
        <w:t xml:space="preserve"> bleats, as if thy native cloth </w:t>
      </w:r>
    </w:p>
    <w:p w14:paraId="10E5208E" w14:textId="77777777" w:rsidR="00162224" w:rsidRPr="003037D2" w:rsidRDefault="00162224" w:rsidP="00162224">
      <w:pPr>
        <w:ind w:left="1800" w:firstLine="357"/>
        <w:rPr>
          <w:rFonts w:ascii="Garamond" w:eastAsia="Calibri" w:hAnsi="Garamond" w:cs="Times New Roman"/>
        </w:rPr>
      </w:pPr>
      <w:proofErr w:type="spellStart"/>
      <w:r w:rsidRPr="003037D2">
        <w:rPr>
          <w:rFonts w:ascii="Garamond" w:eastAsia="Calibri" w:hAnsi="Garamond" w:cs="Times New Roman"/>
        </w:rPr>
        <w:t>Transfus’d</w:t>
      </w:r>
      <w:proofErr w:type="spellEnd"/>
      <w:r w:rsidRPr="003037D2">
        <w:rPr>
          <w:rFonts w:ascii="Garamond" w:eastAsia="Calibri" w:hAnsi="Garamond" w:cs="Times New Roman"/>
        </w:rPr>
        <w:t xml:space="preserve"> a </w:t>
      </w:r>
      <w:proofErr w:type="spellStart"/>
      <w:r w:rsidRPr="003037D2">
        <w:rPr>
          <w:rFonts w:ascii="Garamond" w:eastAsia="Calibri" w:hAnsi="Garamond" w:cs="Times New Roman"/>
        </w:rPr>
        <w:t>shepishnesse</w:t>
      </w:r>
      <w:proofErr w:type="spellEnd"/>
      <w:r w:rsidRPr="003037D2">
        <w:rPr>
          <w:rFonts w:ascii="Garamond" w:eastAsia="Calibri" w:hAnsi="Garamond" w:cs="Times New Roman"/>
        </w:rPr>
        <w:t xml:space="preserve"> into thy </w:t>
      </w:r>
      <w:proofErr w:type="spellStart"/>
      <w:r w:rsidRPr="003037D2">
        <w:rPr>
          <w:rFonts w:ascii="Garamond" w:eastAsia="Calibri" w:hAnsi="Garamond" w:cs="Times New Roman"/>
        </w:rPr>
        <w:t>storie</w:t>
      </w:r>
      <w:proofErr w:type="spellEnd"/>
      <w:r w:rsidRPr="003037D2">
        <w:rPr>
          <w:rFonts w:ascii="Garamond" w:eastAsia="Calibri" w:hAnsi="Garamond" w:cs="Times New Roman"/>
        </w:rPr>
        <w:t xml:space="preserve">: </w:t>
      </w:r>
    </w:p>
    <w:p w14:paraId="411EA9AC" w14:textId="77777777" w:rsidR="00162224" w:rsidRPr="003037D2" w:rsidRDefault="00162224" w:rsidP="00162224">
      <w:pPr>
        <w:ind w:left="2160" w:firstLine="357"/>
        <w:rPr>
          <w:rFonts w:ascii="Garamond" w:eastAsia="Calibri" w:hAnsi="Garamond" w:cs="Times New Roman"/>
        </w:rPr>
      </w:pPr>
      <w:r w:rsidRPr="003037D2">
        <w:rPr>
          <w:rFonts w:ascii="Garamond" w:eastAsia="Calibri" w:hAnsi="Garamond" w:cs="Times New Roman"/>
        </w:rPr>
        <w:t xml:space="preserve">Not that they all are so; but that the most </w:t>
      </w:r>
    </w:p>
    <w:p w14:paraId="50600D44" w14:textId="77777777" w:rsidR="00162224" w:rsidRPr="003037D2" w:rsidRDefault="00162224" w:rsidP="00162224">
      <w:pPr>
        <w:ind w:left="2160" w:firstLine="357"/>
        <w:rPr>
          <w:rFonts w:ascii="Garamond" w:eastAsia="Calibri" w:hAnsi="Garamond" w:cs="Times New Roman"/>
        </w:rPr>
      </w:pPr>
      <w:r w:rsidRPr="003037D2">
        <w:rPr>
          <w:rFonts w:ascii="Garamond" w:eastAsia="Calibri" w:hAnsi="Garamond" w:cs="Times New Roman"/>
        </w:rPr>
        <w:t xml:space="preserve">Are gone to </w:t>
      </w:r>
      <w:proofErr w:type="spellStart"/>
      <w:r w:rsidRPr="003037D2">
        <w:rPr>
          <w:rFonts w:ascii="Garamond" w:eastAsia="Calibri" w:hAnsi="Garamond" w:cs="Times New Roman"/>
        </w:rPr>
        <w:t>grasse</w:t>
      </w:r>
      <w:proofErr w:type="spellEnd"/>
      <w:r w:rsidRPr="003037D2">
        <w:rPr>
          <w:rFonts w:ascii="Garamond" w:eastAsia="Calibri" w:hAnsi="Garamond" w:cs="Times New Roman"/>
        </w:rPr>
        <w:t>, and in the pasture lost. (ll. 93-6)</w:t>
      </w:r>
    </w:p>
    <w:p w14:paraId="0FE9C51E" w14:textId="77777777" w:rsidR="00162224" w:rsidRPr="003037D2" w:rsidRDefault="00162224" w:rsidP="00162224">
      <w:pPr>
        <w:spacing w:line="360" w:lineRule="auto"/>
        <w:ind w:left="2160" w:firstLine="360"/>
        <w:rPr>
          <w:rFonts w:ascii="Garamond" w:eastAsia="Calibri" w:hAnsi="Garamond" w:cs="Times New Roman"/>
        </w:rPr>
      </w:pPr>
    </w:p>
    <w:p w14:paraId="163BDA74" w14:textId="7B5DCD7C"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Those who should be taking responsibility for the moral direction of the country are themselves giving in to sloth, behaving like beasts of the field. </w:t>
      </w:r>
      <w:bookmarkEnd w:id="48"/>
      <w:r w:rsidRPr="003037D2">
        <w:rPr>
          <w:rFonts w:ascii="Garamond" w:eastAsia="Calibri" w:hAnsi="Garamond" w:cs="Times New Roman"/>
        </w:rPr>
        <w:t xml:space="preserve">The language used, that of agricultural metaphor, is simultaneously both </w:t>
      </w:r>
      <w:proofErr w:type="spellStart"/>
      <w:r w:rsidRPr="003037D2">
        <w:rPr>
          <w:rFonts w:ascii="Garamond" w:eastAsia="Calibri" w:hAnsi="Garamond" w:cs="Times New Roman"/>
        </w:rPr>
        <w:t>recognisably</w:t>
      </w:r>
      <w:proofErr w:type="spellEnd"/>
      <w:r w:rsidRPr="003037D2">
        <w:rPr>
          <w:rFonts w:ascii="Garamond" w:eastAsia="Calibri" w:hAnsi="Garamond" w:cs="Times New Roman"/>
        </w:rPr>
        <w:t xml:space="preserve"> Biblical and accessible to the rural community that Herbert lived and worked in. In ‘The Church Porch’ Herbert covers a vast variety of topics, spending six stanzas advising against the dangers of drink and repeating three times, with minor variations, ‘Stay at the third </w:t>
      </w:r>
      <w:proofErr w:type="spellStart"/>
      <w:r w:rsidRPr="003037D2">
        <w:rPr>
          <w:rFonts w:ascii="Garamond" w:eastAsia="Calibri" w:hAnsi="Garamond" w:cs="Times New Roman"/>
        </w:rPr>
        <w:t>glasse</w:t>
      </w:r>
      <w:proofErr w:type="spellEnd"/>
      <w:r w:rsidRPr="003037D2">
        <w:rPr>
          <w:rFonts w:ascii="Garamond" w:eastAsia="Calibri" w:hAnsi="Garamond" w:cs="Times New Roman"/>
        </w:rPr>
        <w:t>’. (l. 41) Amy Charles suggested that the poem could likely have been addressed to He</w:t>
      </w:r>
      <w:r w:rsidR="00814479">
        <w:rPr>
          <w:rFonts w:ascii="Garamond" w:eastAsia="Calibri" w:hAnsi="Garamond" w:cs="Times New Roman"/>
        </w:rPr>
        <w:t>r</w:t>
      </w:r>
      <w:r w:rsidRPr="003037D2">
        <w:rPr>
          <w:rFonts w:ascii="Garamond" w:eastAsia="Calibri" w:hAnsi="Garamond" w:cs="Times New Roman"/>
        </w:rPr>
        <w:t>bert’s younger brother who in 1614 travelled to France, citing parallels between the poem and a letter written to Henry ‘at Paris’.</w:t>
      </w:r>
      <w:r w:rsidRPr="003037D2">
        <w:rPr>
          <w:rFonts w:ascii="Garamond" w:eastAsia="Calibri" w:hAnsi="Garamond" w:cs="Times New Roman"/>
          <w:vertAlign w:val="superscript"/>
        </w:rPr>
        <w:footnoteReference w:id="451"/>
      </w:r>
      <w:r w:rsidRPr="003037D2">
        <w:rPr>
          <w:rFonts w:ascii="Garamond" w:eastAsia="Calibri" w:hAnsi="Garamond" w:cs="Times New Roman"/>
        </w:rPr>
        <w:t xml:space="preserve"> However, although the poem may be based upon once personal advice, it would be effective as a general piece of advice. Indeed, its position at the beginning of </w:t>
      </w:r>
      <w:r w:rsidRPr="003037D2">
        <w:rPr>
          <w:rFonts w:ascii="Garamond" w:eastAsia="Calibri" w:hAnsi="Garamond" w:cs="Times New Roman"/>
          <w:i/>
          <w:iCs/>
        </w:rPr>
        <w:t xml:space="preserve">The Temple </w:t>
      </w:r>
      <w:proofErr w:type="gramStart"/>
      <w:r w:rsidRPr="003037D2">
        <w:rPr>
          <w:rFonts w:ascii="Garamond" w:eastAsia="Calibri" w:hAnsi="Garamond" w:cs="Times New Roman"/>
        </w:rPr>
        <w:t>ushers</w:t>
      </w:r>
      <w:proofErr w:type="gramEnd"/>
      <w:r w:rsidRPr="003037D2">
        <w:rPr>
          <w:rFonts w:ascii="Garamond" w:eastAsia="Calibri" w:hAnsi="Garamond" w:cs="Times New Roman"/>
        </w:rPr>
        <w:t xml:space="preserve"> readers into the devotional space of the volume, marking the move from profane to sacred matters. Sheridan </w:t>
      </w:r>
      <w:proofErr w:type="spellStart"/>
      <w:r w:rsidRPr="003037D2">
        <w:rPr>
          <w:rFonts w:ascii="Garamond" w:eastAsia="Calibri" w:hAnsi="Garamond" w:cs="Times New Roman"/>
        </w:rPr>
        <w:t>Blau</w:t>
      </w:r>
      <w:proofErr w:type="spellEnd"/>
      <w:r w:rsidRPr="003037D2">
        <w:rPr>
          <w:rFonts w:ascii="Garamond" w:eastAsia="Calibri" w:hAnsi="Garamond" w:cs="Times New Roman"/>
        </w:rPr>
        <w:t xml:space="preserve"> has argued that the poem is ‘a sort of sermon’ drawing on practical matters, preparing its reader for ‘the prayers of ‘The Church’.</w:t>
      </w:r>
      <w:r w:rsidRPr="003037D2">
        <w:rPr>
          <w:rFonts w:ascii="Garamond" w:eastAsia="Calibri" w:hAnsi="Garamond" w:cs="Times New Roman"/>
          <w:vertAlign w:val="superscript"/>
        </w:rPr>
        <w:footnoteReference w:id="452"/>
      </w:r>
      <w:r w:rsidRPr="003037D2">
        <w:rPr>
          <w:rFonts w:ascii="Garamond" w:eastAsia="Calibri" w:hAnsi="Garamond" w:cs="Times New Roman"/>
        </w:rPr>
        <w:t xml:space="preserve"> Herbert explicitly instructs the reader in the appropriate attitude towards their priest: ‘Judge not the preacher; for he is thy Judge’, ‘Jest not at preachers language, or expression:/ How </w:t>
      </w:r>
      <w:proofErr w:type="spellStart"/>
      <w:r w:rsidRPr="003037D2">
        <w:rPr>
          <w:rFonts w:ascii="Garamond" w:eastAsia="Calibri" w:hAnsi="Garamond" w:cs="Times New Roman"/>
        </w:rPr>
        <w:t>know’st</w:t>
      </w:r>
      <w:proofErr w:type="spellEnd"/>
      <w:r w:rsidRPr="003037D2">
        <w:rPr>
          <w:rFonts w:ascii="Garamond" w:eastAsia="Calibri" w:hAnsi="Garamond" w:cs="Times New Roman"/>
        </w:rPr>
        <w:t xml:space="preserve"> thou, but thy </w:t>
      </w:r>
      <w:proofErr w:type="spellStart"/>
      <w:r w:rsidRPr="003037D2">
        <w:rPr>
          <w:rFonts w:ascii="Garamond" w:eastAsia="Calibri" w:hAnsi="Garamond" w:cs="Times New Roman"/>
        </w:rPr>
        <w:t>sinnes</w:t>
      </w:r>
      <w:proofErr w:type="spellEnd"/>
      <w:r w:rsidRPr="003037D2">
        <w:rPr>
          <w:rFonts w:ascii="Garamond" w:eastAsia="Calibri" w:hAnsi="Garamond" w:cs="Times New Roman"/>
        </w:rPr>
        <w:t xml:space="preserve"> made him </w:t>
      </w:r>
      <w:proofErr w:type="spellStart"/>
      <w:r w:rsidRPr="003037D2">
        <w:rPr>
          <w:rFonts w:ascii="Garamond" w:eastAsia="Calibri" w:hAnsi="Garamond" w:cs="Times New Roman"/>
        </w:rPr>
        <w:t>miscarrie</w:t>
      </w:r>
      <w:proofErr w:type="spellEnd"/>
      <w:r w:rsidRPr="003037D2">
        <w:rPr>
          <w:rFonts w:ascii="Garamond" w:eastAsia="Calibri" w:hAnsi="Garamond" w:cs="Times New Roman"/>
        </w:rPr>
        <w:t xml:space="preserve">?’ (l. 427, ll. 439-40) Another couplet states that ‘a verse may </w:t>
      </w:r>
      <w:proofErr w:type="spellStart"/>
      <w:r w:rsidRPr="003037D2">
        <w:rPr>
          <w:rFonts w:ascii="Garamond" w:eastAsia="Calibri" w:hAnsi="Garamond" w:cs="Times New Roman"/>
        </w:rPr>
        <w:t>finde</w:t>
      </w:r>
      <w:proofErr w:type="spellEnd"/>
      <w:r w:rsidRPr="003037D2">
        <w:rPr>
          <w:rFonts w:ascii="Garamond" w:eastAsia="Calibri" w:hAnsi="Garamond" w:cs="Times New Roman"/>
        </w:rPr>
        <w:t xml:space="preserve"> him, who a sermon </w:t>
      </w:r>
      <w:proofErr w:type="gramStart"/>
      <w:r w:rsidRPr="003037D2">
        <w:rPr>
          <w:rFonts w:ascii="Garamond" w:eastAsia="Calibri" w:hAnsi="Garamond" w:cs="Times New Roman"/>
        </w:rPr>
        <w:t>flies,/</w:t>
      </w:r>
      <w:proofErr w:type="gramEnd"/>
      <w:r w:rsidRPr="003037D2">
        <w:rPr>
          <w:rFonts w:ascii="Garamond" w:eastAsia="Calibri" w:hAnsi="Garamond" w:cs="Times New Roman"/>
        </w:rPr>
        <w:t xml:space="preserve"> And </w:t>
      </w:r>
      <w:proofErr w:type="spellStart"/>
      <w:r w:rsidR="00470D01">
        <w:rPr>
          <w:rFonts w:ascii="Garamond" w:eastAsia="Calibri" w:hAnsi="Garamond" w:cs="Times New Roman"/>
        </w:rPr>
        <w:t>turne</w:t>
      </w:r>
      <w:proofErr w:type="spellEnd"/>
      <w:r w:rsidR="00470D01">
        <w:rPr>
          <w:rFonts w:ascii="Garamond" w:eastAsia="Calibri" w:hAnsi="Garamond" w:cs="Times New Roman"/>
        </w:rPr>
        <w:t xml:space="preserve"> delight into a sacrifice’</w:t>
      </w:r>
      <w:r w:rsidRPr="003037D2">
        <w:rPr>
          <w:rFonts w:ascii="Garamond" w:eastAsia="Calibri" w:hAnsi="Garamond" w:cs="Times New Roman"/>
        </w:rPr>
        <w:t xml:space="preserve"> (ll. 5-6)</w:t>
      </w:r>
      <w:r w:rsidR="00470D01">
        <w:rPr>
          <w:rFonts w:ascii="Garamond" w:eastAsia="Calibri" w:hAnsi="Garamond" w:cs="Times New Roman"/>
        </w:rPr>
        <w:t>.</w:t>
      </w:r>
      <w:r w:rsidRPr="003037D2">
        <w:rPr>
          <w:rFonts w:ascii="Garamond" w:eastAsia="Calibri" w:hAnsi="Garamond" w:cs="Times New Roman"/>
        </w:rPr>
        <w:t xml:space="preserve"> Herbert marks the entrance into the church, and the entrance into the volume of poetry by extension, as the start of a different sort of time, ‘church-time’, telling the readers to ‘In time of service seal up both thine </w:t>
      </w:r>
      <w:proofErr w:type="spellStart"/>
      <w:r w:rsidRPr="003037D2">
        <w:rPr>
          <w:rFonts w:ascii="Garamond" w:eastAsia="Calibri" w:hAnsi="Garamond" w:cs="Times New Roman"/>
        </w:rPr>
        <w:t>eies</w:t>
      </w:r>
      <w:proofErr w:type="spellEnd"/>
      <w:r w:rsidRPr="003037D2">
        <w:rPr>
          <w:rFonts w:ascii="Garamond" w:eastAsia="Calibri" w:hAnsi="Garamond" w:cs="Times New Roman"/>
        </w:rPr>
        <w:t xml:space="preserve">,/ And send them to thine heart; that spying </w:t>
      </w:r>
      <w:proofErr w:type="spellStart"/>
      <w:r w:rsidRPr="003037D2">
        <w:rPr>
          <w:rFonts w:ascii="Garamond" w:eastAsia="Calibri" w:hAnsi="Garamond" w:cs="Times New Roman"/>
        </w:rPr>
        <w:t>sinne</w:t>
      </w:r>
      <w:proofErr w:type="spellEnd"/>
      <w:r w:rsidRPr="003037D2">
        <w:rPr>
          <w:rFonts w:ascii="Garamond" w:eastAsia="Calibri" w:hAnsi="Garamond" w:cs="Times New Roman"/>
        </w:rPr>
        <w:t xml:space="preserve">,/ They may weep out the stains…’ (ll. 415-9) The concerns of the everyday, ‘vain or </w:t>
      </w:r>
      <w:proofErr w:type="spellStart"/>
      <w:r w:rsidRPr="003037D2">
        <w:rPr>
          <w:rFonts w:ascii="Garamond" w:eastAsia="Calibri" w:hAnsi="Garamond" w:cs="Times New Roman"/>
        </w:rPr>
        <w:t>busie</w:t>
      </w:r>
      <w:proofErr w:type="spellEnd"/>
      <w:r w:rsidRPr="003037D2">
        <w:rPr>
          <w:rFonts w:ascii="Garamond" w:eastAsia="Calibri" w:hAnsi="Garamond" w:cs="Times New Roman"/>
        </w:rPr>
        <w:t xml:space="preserve"> thoughts… thy plough, thy plo</w:t>
      </w:r>
      <w:r w:rsidR="00470D01">
        <w:rPr>
          <w:rFonts w:ascii="Garamond" w:eastAsia="Calibri" w:hAnsi="Garamond" w:cs="Times New Roman"/>
        </w:rPr>
        <w:t>ts, thy pleasures’ are banished</w:t>
      </w:r>
      <w:r w:rsidRPr="003037D2">
        <w:rPr>
          <w:rFonts w:ascii="Garamond" w:eastAsia="Calibri" w:hAnsi="Garamond" w:cs="Times New Roman"/>
        </w:rPr>
        <w:t xml:space="preserve"> (ll. 421-2)</w:t>
      </w:r>
      <w:r w:rsidR="00470D01">
        <w:rPr>
          <w:rFonts w:ascii="Garamond" w:eastAsia="Calibri" w:hAnsi="Garamond" w:cs="Times New Roman"/>
        </w:rPr>
        <w:t>.</w:t>
      </w:r>
      <w:r w:rsidRPr="003037D2">
        <w:rPr>
          <w:rFonts w:ascii="Garamond" w:eastAsia="Calibri" w:hAnsi="Garamond" w:cs="Times New Roman"/>
        </w:rPr>
        <w:t xml:space="preserve"> William FitzGerald notes that ‘devotion is paid in the currency of time’, as a call to prayer ‘marks a ritual moment… a </w:t>
      </w:r>
      <w:r w:rsidRPr="003037D2">
        <w:rPr>
          <w:rFonts w:ascii="Garamond" w:eastAsia="Calibri" w:hAnsi="Garamond" w:cs="Times New Roman"/>
        </w:rPr>
        <w:lastRenderedPageBreak/>
        <w:t>liminal moment that separates prayer’s time from ordinary time’.</w:t>
      </w:r>
      <w:r w:rsidRPr="003037D2">
        <w:rPr>
          <w:rFonts w:ascii="Garamond" w:eastAsia="Calibri" w:hAnsi="Garamond" w:cs="Times New Roman"/>
          <w:vertAlign w:val="superscript"/>
        </w:rPr>
        <w:footnoteReference w:id="453"/>
      </w:r>
      <w:r w:rsidRPr="003037D2">
        <w:rPr>
          <w:rFonts w:ascii="Garamond" w:eastAsia="Calibri" w:hAnsi="Garamond" w:cs="Times New Roman"/>
        </w:rPr>
        <w:t xml:space="preserve"> However, as discussed with reference to ‘Sunday’, Herbert does not fully separate the sacred and the profane. The spaces, objects, and times of the church and the community are melded together, as directed in his advice to preachers. The concrete language which Herbert makes use of draws both from everyday experience and from liturgy. </w:t>
      </w:r>
    </w:p>
    <w:p w14:paraId="113863B8" w14:textId="77777777" w:rsidR="00162224" w:rsidRPr="003037D2" w:rsidRDefault="00162224" w:rsidP="00162224">
      <w:pPr>
        <w:spacing w:line="360" w:lineRule="auto"/>
        <w:rPr>
          <w:rFonts w:ascii="Garamond" w:eastAsia="Calibri" w:hAnsi="Garamond" w:cs="Times New Roman"/>
        </w:rPr>
      </w:pPr>
    </w:p>
    <w:p w14:paraId="3B563993" w14:textId="77777777" w:rsidR="00162224" w:rsidRPr="003037D2" w:rsidRDefault="00162224" w:rsidP="00162224">
      <w:pPr>
        <w:spacing w:line="360" w:lineRule="auto"/>
        <w:ind w:firstLine="360"/>
        <w:rPr>
          <w:rFonts w:ascii="Garamond" w:eastAsia="Calibri" w:hAnsi="Garamond" w:cs="Times New Roman"/>
        </w:rPr>
      </w:pPr>
      <w:bookmarkStart w:id="49" w:name="_Hlk509225686"/>
      <w:r w:rsidRPr="003037D2">
        <w:rPr>
          <w:rFonts w:ascii="Garamond" w:eastAsia="Calibri" w:hAnsi="Garamond" w:cs="Times New Roman"/>
        </w:rPr>
        <w:t xml:space="preserve">‘The Church Porch’ sits in a long tradition of advice literature proscribing industry to potentially profligate audiences, yet at the same time Herbert counsels against simply performing busy works without self-reflection. Time spent in church is demarcated as being for inner inspection; </w:t>
      </w:r>
      <w:proofErr w:type="gramStart"/>
      <w:r w:rsidRPr="003037D2">
        <w:rPr>
          <w:rFonts w:ascii="Garamond" w:eastAsia="Calibri" w:hAnsi="Garamond" w:cs="Times New Roman"/>
        </w:rPr>
        <w:t>however</w:t>
      </w:r>
      <w:proofErr w:type="gramEnd"/>
      <w:r w:rsidRPr="003037D2">
        <w:rPr>
          <w:rFonts w:ascii="Garamond" w:eastAsia="Calibri" w:hAnsi="Garamond" w:cs="Times New Roman"/>
        </w:rPr>
        <w:t xml:space="preserve"> the reader is told that they must also work this into their daily routine: </w:t>
      </w:r>
    </w:p>
    <w:p w14:paraId="683D8DB9" w14:textId="77777777" w:rsidR="00162224" w:rsidRPr="003037D2" w:rsidRDefault="00162224" w:rsidP="00162224">
      <w:pPr>
        <w:ind w:left="1361" w:firstLine="360"/>
        <w:rPr>
          <w:rFonts w:ascii="Garamond" w:eastAsia="Calibri" w:hAnsi="Garamond" w:cs="Times New Roman"/>
        </w:rPr>
      </w:pPr>
      <w:proofErr w:type="spellStart"/>
      <w:r w:rsidRPr="003037D2">
        <w:rPr>
          <w:rFonts w:ascii="Garamond" w:eastAsia="Calibri" w:hAnsi="Garamond" w:cs="Times New Roman"/>
        </w:rPr>
        <w:t>Summe</w:t>
      </w:r>
      <w:proofErr w:type="spellEnd"/>
      <w:r w:rsidRPr="003037D2">
        <w:rPr>
          <w:rFonts w:ascii="Garamond" w:eastAsia="Calibri" w:hAnsi="Garamond" w:cs="Times New Roman"/>
        </w:rPr>
        <w:t xml:space="preserve"> up at night, what thou hast done by day;</w:t>
      </w:r>
    </w:p>
    <w:p w14:paraId="1C72D424" w14:textId="77777777" w:rsidR="00162224" w:rsidRPr="003037D2" w:rsidRDefault="00162224" w:rsidP="00162224">
      <w:pPr>
        <w:ind w:left="1361" w:firstLine="360"/>
        <w:rPr>
          <w:rFonts w:ascii="Garamond" w:eastAsia="Calibri" w:hAnsi="Garamond" w:cs="Times New Roman"/>
        </w:rPr>
      </w:pPr>
      <w:r w:rsidRPr="003037D2">
        <w:rPr>
          <w:rFonts w:ascii="Garamond" w:eastAsia="Calibri" w:hAnsi="Garamond" w:cs="Times New Roman"/>
        </w:rPr>
        <w:t xml:space="preserve">And in the morning, what thou hast to do. </w:t>
      </w:r>
    </w:p>
    <w:p w14:paraId="7C412C10" w14:textId="77777777" w:rsidR="00162224" w:rsidRPr="003037D2" w:rsidRDefault="00162224" w:rsidP="00162224">
      <w:pPr>
        <w:ind w:left="1361" w:firstLine="360"/>
        <w:rPr>
          <w:rFonts w:ascii="Garamond" w:eastAsia="Calibri" w:hAnsi="Garamond" w:cs="Times New Roman"/>
        </w:rPr>
      </w:pPr>
      <w:proofErr w:type="spellStart"/>
      <w:r w:rsidRPr="003037D2">
        <w:rPr>
          <w:rFonts w:ascii="Garamond" w:eastAsia="Calibri" w:hAnsi="Garamond" w:cs="Times New Roman"/>
        </w:rPr>
        <w:t>Dresse</w:t>
      </w:r>
      <w:proofErr w:type="spellEnd"/>
      <w:r w:rsidRPr="003037D2">
        <w:rPr>
          <w:rFonts w:ascii="Garamond" w:eastAsia="Calibri" w:hAnsi="Garamond" w:cs="Times New Roman"/>
        </w:rPr>
        <w:t xml:space="preserve"> and </w:t>
      </w:r>
      <w:proofErr w:type="spellStart"/>
      <w:r w:rsidRPr="003037D2">
        <w:rPr>
          <w:rFonts w:ascii="Garamond" w:eastAsia="Calibri" w:hAnsi="Garamond" w:cs="Times New Roman"/>
        </w:rPr>
        <w:t>undresse</w:t>
      </w:r>
      <w:proofErr w:type="spellEnd"/>
      <w:r w:rsidRPr="003037D2">
        <w:rPr>
          <w:rFonts w:ascii="Garamond" w:eastAsia="Calibri" w:hAnsi="Garamond" w:cs="Times New Roman"/>
        </w:rPr>
        <w:t xml:space="preserve"> thy soul: Mark the decay </w:t>
      </w:r>
    </w:p>
    <w:p w14:paraId="6B444A7C" w14:textId="77777777" w:rsidR="00162224" w:rsidRPr="003037D2" w:rsidRDefault="00162224" w:rsidP="00162224">
      <w:pPr>
        <w:ind w:left="1361" w:firstLine="360"/>
        <w:rPr>
          <w:rFonts w:ascii="Garamond" w:eastAsia="Calibri" w:hAnsi="Garamond" w:cs="Times New Roman"/>
        </w:rPr>
      </w:pPr>
      <w:r w:rsidRPr="003037D2">
        <w:rPr>
          <w:rFonts w:ascii="Garamond" w:eastAsia="Calibri" w:hAnsi="Garamond" w:cs="Times New Roman"/>
        </w:rPr>
        <w:t>And growth of it: if with thy watch, that too</w:t>
      </w:r>
    </w:p>
    <w:p w14:paraId="35EA6DCF" w14:textId="77777777" w:rsidR="00162224" w:rsidRPr="003037D2" w:rsidRDefault="00162224" w:rsidP="00162224">
      <w:pPr>
        <w:ind w:left="1361" w:firstLine="720"/>
        <w:rPr>
          <w:rFonts w:ascii="Garamond" w:eastAsia="Calibri" w:hAnsi="Garamond" w:cs="Times New Roman"/>
        </w:rPr>
      </w:pPr>
      <w:r w:rsidRPr="003037D2">
        <w:rPr>
          <w:rFonts w:ascii="Garamond" w:eastAsia="Calibri" w:hAnsi="Garamond" w:cs="Times New Roman"/>
        </w:rPr>
        <w:t xml:space="preserve">Be down, then </w:t>
      </w:r>
      <w:proofErr w:type="spellStart"/>
      <w:r w:rsidRPr="003037D2">
        <w:rPr>
          <w:rFonts w:ascii="Garamond" w:eastAsia="Calibri" w:hAnsi="Garamond" w:cs="Times New Roman"/>
        </w:rPr>
        <w:t>winde</w:t>
      </w:r>
      <w:proofErr w:type="spellEnd"/>
      <w:r w:rsidRPr="003037D2">
        <w:rPr>
          <w:rFonts w:ascii="Garamond" w:eastAsia="Calibri" w:hAnsi="Garamond" w:cs="Times New Roman"/>
        </w:rPr>
        <w:t xml:space="preserve"> up both; since we shall be</w:t>
      </w:r>
    </w:p>
    <w:p w14:paraId="7D83744A" w14:textId="77777777" w:rsidR="00162224" w:rsidRPr="003037D2" w:rsidRDefault="00162224" w:rsidP="00162224">
      <w:pPr>
        <w:ind w:left="1361" w:firstLine="720"/>
        <w:rPr>
          <w:rFonts w:ascii="Garamond" w:eastAsia="Calibri" w:hAnsi="Garamond" w:cs="Times New Roman"/>
        </w:rPr>
      </w:pPr>
      <w:r w:rsidRPr="003037D2">
        <w:rPr>
          <w:rFonts w:ascii="Garamond" w:eastAsia="Calibri" w:hAnsi="Garamond" w:cs="Times New Roman"/>
        </w:rPr>
        <w:t xml:space="preserve">Most surely </w:t>
      </w:r>
      <w:proofErr w:type="spellStart"/>
      <w:r w:rsidRPr="003037D2">
        <w:rPr>
          <w:rFonts w:ascii="Garamond" w:eastAsia="Calibri" w:hAnsi="Garamond" w:cs="Times New Roman"/>
        </w:rPr>
        <w:t>judg’d</w:t>
      </w:r>
      <w:proofErr w:type="spellEnd"/>
      <w:r w:rsidRPr="003037D2">
        <w:rPr>
          <w:rFonts w:ascii="Garamond" w:eastAsia="Calibri" w:hAnsi="Garamond" w:cs="Times New Roman"/>
        </w:rPr>
        <w:t xml:space="preserve">, make thy accounts agree. (ll. 451-6)     </w:t>
      </w:r>
    </w:p>
    <w:p w14:paraId="37112FC6" w14:textId="77777777" w:rsidR="00162224" w:rsidRPr="003037D2" w:rsidRDefault="00162224" w:rsidP="00162224">
      <w:pPr>
        <w:spacing w:line="360" w:lineRule="auto"/>
        <w:ind w:left="1361" w:firstLine="720"/>
        <w:rPr>
          <w:rFonts w:ascii="Garamond" w:eastAsia="Calibri" w:hAnsi="Garamond" w:cs="Times New Roman"/>
        </w:rPr>
      </w:pPr>
      <w:r w:rsidRPr="003037D2">
        <w:rPr>
          <w:rFonts w:ascii="Garamond" w:eastAsia="Calibri" w:hAnsi="Garamond" w:cs="Times New Roman"/>
        </w:rPr>
        <w:t xml:space="preserve">                        </w:t>
      </w:r>
    </w:p>
    <w:p w14:paraId="29628032" w14:textId="2E809647"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The reader is advised that they should examine their soul with the same scrutiny as they do their account books and their watch. </w:t>
      </w:r>
      <w:proofErr w:type="spellStart"/>
      <w:r w:rsidRPr="003037D2">
        <w:rPr>
          <w:rFonts w:ascii="Garamond" w:eastAsia="Calibri" w:hAnsi="Garamond" w:cs="Times New Roman"/>
        </w:rPr>
        <w:t>Ceri</w:t>
      </w:r>
      <w:proofErr w:type="spellEnd"/>
      <w:r w:rsidRPr="003037D2">
        <w:rPr>
          <w:rFonts w:ascii="Garamond" w:eastAsia="Calibri" w:hAnsi="Garamond" w:cs="Times New Roman"/>
        </w:rPr>
        <w:t xml:space="preserve"> Sullivan has explored the mercantile language of worth often used as a mark of devotion in early modern texts. She argues that the language of commercial instruments, account books and systems of credit, were ‘images of the public self of the merchant, products to be traded’, and that the ‘attraction of the merchant’s career is precisely because it is arduous, time-consuming, painstaking, weighty and arcane’.</w:t>
      </w:r>
      <w:r w:rsidRPr="003037D2">
        <w:rPr>
          <w:rFonts w:ascii="Garamond" w:eastAsia="Calibri" w:hAnsi="Garamond" w:cs="Times New Roman"/>
          <w:vertAlign w:val="superscript"/>
        </w:rPr>
        <w:footnoteReference w:id="454"/>
      </w:r>
      <w:r w:rsidRPr="003037D2">
        <w:rPr>
          <w:rFonts w:ascii="Garamond" w:eastAsia="Calibri" w:hAnsi="Garamond" w:cs="Times New Roman"/>
        </w:rPr>
        <w:t xml:space="preserve">  As discussed in the first chapter, many authors of accounting handbooks drew an explicit link between godliness and good account keeping. One of the earliest guides to double entry book-keeping, written by </w:t>
      </w:r>
      <w:proofErr w:type="spellStart"/>
      <w:r w:rsidRPr="003037D2">
        <w:rPr>
          <w:rFonts w:ascii="Garamond" w:eastAsia="Calibri" w:hAnsi="Garamond" w:cs="Times New Roman"/>
        </w:rPr>
        <w:t>Pacioli</w:t>
      </w:r>
      <w:proofErr w:type="spellEnd"/>
      <w:r w:rsidRPr="003037D2">
        <w:rPr>
          <w:rFonts w:ascii="Garamond" w:eastAsia="Calibri" w:hAnsi="Garamond" w:cs="Times New Roman"/>
        </w:rPr>
        <w:t>, a Franciscan friar, says that every book should open with an address to God, going on to say, ‘Give your daily attention to your affairs, chiefly in holding the pen to paper and writing day by day… but, above all, first always keep God before your eyes and never miss hearing Mass in the morning, bearing in mind that because of it time is never lost, as by charity riches are not wasted’.</w:t>
      </w:r>
      <w:r w:rsidRPr="003037D2">
        <w:rPr>
          <w:rFonts w:ascii="Garamond" w:eastAsia="Calibri" w:hAnsi="Garamond" w:cs="Times New Roman"/>
          <w:vertAlign w:val="superscript"/>
        </w:rPr>
        <w:footnoteReference w:id="455"/>
      </w:r>
      <w:r w:rsidRPr="003037D2">
        <w:rPr>
          <w:rFonts w:ascii="Garamond" w:eastAsia="Calibri" w:hAnsi="Garamond" w:cs="Times New Roman"/>
        </w:rPr>
        <w:t xml:space="preserve"> In ‘The Church-Porch’ Herbert draws on objects </w:t>
      </w:r>
      <w:r w:rsidRPr="003037D2">
        <w:rPr>
          <w:rFonts w:ascii="Garamond" w:eastAsia="Calibri" w:hAnsi="Garamond" w:cs="Times New Roman"/>
        </w:rPr>
        <w:lastRenderedPageBreak/>
        <w:t xml:space="preserve">and actions rooted in this world of commerce, the evening accounts and the wealthy merchant’s watch, to strengthen his moral guidance. Similarly, in </w:t>
      </w:r>
      <w:r w:rsidRPr="003037D2">
        <w:rPr>
          <w:rFonts w:ascii="Garamond" w:eastAsia="Calibri" w:hAnsi="Garamond" w:cs="Times New Roman"/>
          <w:i/>
        </w:rPr>
        <w:t xml:space="preserve">The Country Parson </w:t>
      </w:r>
      <w:r w:rsidRPr="003037D2">
        <w:rPr>
          <w:rFonts w:ascii="Garamond" w:eastAsia="Calibri" w:hAnsi="Garamond" w:cs="Times New Roman"/>
        </w:rPr>
        <w:t xml:space="preserve">Herbert describes how ‘as soon as he [the Parson] awakes on Sunday morning, presently he falls to work and seems to </w:t>
      </w:r>
      <w:r w:rsidR="00164AB4" w:rsidRPr="003037D2">
        <w:rPr>
          <w:rFonts w:ascii="Garamond" w:eastAsia="Calibri" w:hAnsi="Garamond" w:cs="Times New Roman"/>
        </w:rPr>
        <w:t>hi</w:t>
      </w:r>
      <w:r w:rsidRPr="003037D2">
        <w:rPr>
          <w:rFonts w:ascii="Garamond" w:eastAsia="Calibri" w:hAnsi="Garamond" w:cs="Times New Roman"/>
        </w:rPr>
        <w:t>mself so as a market-man is when the market day comes, or a shopkeeper’.</w:t>
      </w:r>
      <w:r w:rsidRPr="003037D2">
        <w:rPr>
          <w:rFonts w:ascii="Garamond" w:eastAsia="Calibri" w:hAnsi="Garamond" w:cs="Times New Roman"/>
          <w:vertAlign w:val="superscript"/>
        </w:rPr>
        <w:footnoteReference w:id="456"/>
      </w:r>
      <w:r w:rsidRPr="003037D2">
        <w:rPr>
          <w:rFonts w:ascii="Garamond" w:eastAsia="Calibri" w:hAnsi="Garamond" w:cs="Times New Roman"/>
        </w:rPr>
        <w:t xml:space="preserve"> The </w:t>
      </w:r>
      <w:proofErr w:type="spellStart"/>
      <w:r w:rsidRPr="003037D2">
        <w:rPr>
          <w:rFonts w:ascii="Garamond" w:eastAsia="Calibri" w:hAnsi="Garamond" w:cs="Times New Roman"/>
        </w:rPr>
        <w:t>labour</w:t>
      </w:r>
      <w:proofErr w:type="spellEnd"/>
      <w:r w:rsidRPr="003037D2">
        <w:rPr>
          <w:rFonts w:ascii="Garamond" w:eastAsia="Calibri" w:hAnsi="Garamond" w:cs="Times New Roman"/>
        </w:rPr>
        <w:t xml:space="preserve"> of the working world is explicitly connected to godliness; and systems of commercial and self-accounting are analogous.  </w:t>
      </w:r>
    </w:p>
    <w:p w14:paraId="42DCB9A8" w14:textId="77777777" w:rsidR="00162224" w:rsidRPr="003037D2" w:rsidRDefault="00162224" w:rsidP="00162224">
      <w:pPr>
        <w:spacing w:line="360" w:lineRule="auto"/>
        <w:rPr>
          <w:rFonts w:ascii="Garamond" w:eastAsia="Calibri" w:hAnsi="Garamond" w:cs="Times New Roman"/>
        </w:rPr>
      </w:pPr>
    </w:p>
    <w:p w14:paraId="28CB446A" w14:textId="77777777" w:rsidR="00162224" w:rsidRPr="003037D2" w:rsidRDefault="00162224" w:rsidP="00162224">
      <w:pPr>
        <w:spacing w:line="360" w:lineRule="auto"/>
        <w:ind w:firstLine="360"/>
        <w:rPr>
          <w:rFonts w:ascii="Garamond" w:eastAsia="Calibri" w:hAnsi="Garamond" w:cs="Times New Roman"/>
        </w:rPr>
      </w:pPr>
      <w:r w:rsidRPr="003037D2">
        <w:rPr>
          <w:rFonts w:ascii="Garamond" w:eastAsia="Calibri" w:hAnsi="Garamond" w:cs="Times New Roman"/>
        </w:rPr>
        <w:t xml:space="preserve">For Herbert how one spent time </w:t>
      </w:r>
      <w:proofErr w:type="gramStart"/>
      <w:r w:rsidRPr="003037D2">
        <w:rPr>
          <w:rFonts w:ascii="Garamond" w:eastAsia="Calibri" w:hAnsi="Garamond" w:cs="Times New Roman"/>
        </w:rPr>
        <w:t>on a daily basis</w:t>
      </w:r>
      <w:proofErr w:type="gramEnd"/>
      <w:r w:rsidRPr="003037D2">
        <w:rPr>
          <w:rFonts w:ascii="Garamond" w:eastAsia="Calibri" w:hAnsi="Garamond" w:cs="Times New Roman"/>
        </w:rPr>
        <w:t xml:space="preserve"> was a spiritual matter. From his time spent at Westminster school, under the instruction of Lancelot Andrewes, Herbert had been forbidden from spending ‘an hour of loitering-time’ from morning to night’.</w:t>
      </w:r>
      <w:r w:rsidRPr="003037D2">
        <w:rPr>
          <w:rFonts w:ascii="Garamond" w:eastAsia="Calibri" w:hAnsi="Garamond" w:cs="Times New Roman"/>
          <w:vertAlign w:val="superscript"/>
        </w:rPr>
        <w:footnoteReference w:id="457"/>
      </w:r>
      <w:r w:rsidRPr="003037D2">
        <w:rPr>
          <w:rFonts w:ascii="Garamond" w:eastAsia="Calibri" w:hAnsi="Garamond" w:cs="Times New Roman"/>
        </w:rPr>
        <w:t xml:space="preserve"> His contemporary John </w:t>
      </w:r>
      <w:proofErr w:type="spellStart"/>
      <w:r w:rsidRPr="003037D2">
        <w:rPr>
          <w:rFonts w:ascii="Garamond" w:eastAsia="Calibri" w:hAnsi="Garamond" w:cs="Times New Roman"/>
        </w:rPr>
        <w:t>Hacket</w:t>
      </w:r>
      <w:proofErr w:type="spellEnd"/>
      <w:r w:rsidRPr="003037D2">
        <w:rPr>
          <w:rFonts w:ascii="Garamond" w:eastAsia="Calibri" w:hAnsi="Garamond" w:cs="Times New Roman"/>
        </w:rPr>
        <w:t>, who was selected to be a Westminster scholar at Cambridge at the same time as him, reported that their master had to counsel them to be ‘careful not to impair their health with too much studying’.</w:t>
      </w:r>
      <w:r w:rsidRPr="003037D2">
        <w:rPr>
          <w:rFonts w:ascii="Garamond" w:eastAsia="Calibri" w:hAnsi="Garamond" w:cs="Times New Roman"/>
          <w:vertAlign w:val="superscript"/>
        </w:rPr>
        <w:footnoteReference w:id="458"/>
      </w:r>
      <w:r w:rsidRPr="003037D2">
        <w:rPr>
          <w:rFonts w:ascii="Garamond" w:eastAsia="Calibri" w:hAnsi="Garamond" w:cs="Times New Roman"/>
        </w:rPr>
        <w:t xml:space="preserve"> Holding this in mind, it is noticeable that discussions of industry recur throughout </w:t>
      </w:r>
      <w:r w:rsidRPr="003037D2">
        <w:rPr>
          <w:rFonts w:ascii="Garamond" w:eastAsia="Calibri" w:hAnsi="Garamond" w:cs="Times New Roman"/>
          <w:i/>
        </w:rPr>
        <w:t>The Temple</w:t>
      </w:r>
      <w:r w:rsidRPr="003037D2">
        <w:rPr>
          <w:rFonts w:ascii="Garamond" w:eastAsia="Calibri" w:hAnsi="Garamond" w:cs="Times New Roman"/>
        </w:rPr>
        <w:t xml:space="preserve">. In ‘Time’ Herbert’s speaker rebukes personified Time, ‘slack thing, said </w:t>
      </w:r>
      <w:proofErr w:type="gramStart"/>
      <w:r w:rsidRPr="003037D2">
        <w:rPr>
          <w:rFonts w:ascii="Garamond" w:eastAsia="Calibri" w:hAnsi="Garamond" w:cs="Times New Roman"/>
        </w:rPr>
        <w:t>I,/</w:t>
      </w:r>
      <w:proofErr w:type="gramEnd"/>
      <w:r w:rsidRPr="003037D2">
        <w:rPr>
          <w:rFonts w:ascii="Garamond" w:eastAsia="Calibri" w:hAnsi="Garamond" w:cs="Times New Roman"/>
        </w:rPr>
        <w:t xml:space="preserve"> Thy scythe is dull: whet it for shame’. The conventional imagery of Time as a reaper, cutting short life, is then subtly transformed, as the poetic voice argues that Time’s ravages are a useful aid to the Christian: </w:t>
      </w:r>
    </w:p>
    <w:p w14:paraId="0A565981" w14:textId="77777777" w:rsidR="00162224" w:rsidRPr="003037D2" w:rsidRDefault="00162224" w:rsidP="00162224">
      <w:pPr>
        <w:ind w:left="2160" w:firstLine="357"/>
        <w:rPr>
          <w:rFonts w:ascii="Garamond" w:eastAsia="Calibri" w:hAnsi="Garamond" w:cs="Times New Roman"/>
        </w:rPr>
      </w:pPr>
      <w:r w:rsidRPr="003037D2">
        <w:rPr>
          <w:rFonts w:ascii="Garamond" w:eastAsia="Calibri" w:hAnsi="Garamond" w:cs="Times New Roman"/>
        </w:rPr>
        <w:t xml:space="preserve">To whom thy scythe a hatchet was, </w:t>
      </w:r>
    </w:p>
    <w:p w14:paraId="2DB45613" w14:textId="77777777" w:rsidR="00162224" w:rsidRPr="003037D2" w:rsidRDefault="00162224" w:rsidP="00162224">
      <w:pPr>
        <w:ind w:left="2160" w:firstLine="357"/>
        <w:rPr>
          <w:rFonts w:ascii="Garamond" w:eastAsia="Calibri" w:hAnsi="Garamond" w:cs="Times New Roman"/>
        </w:rPr>
      </w:pPr>
      <w:r w:rsidRPr="003037D2">
        <w:rPr>
          <w:rFonts w:ascii="Garamond" w:eastAsia="Calibri" w:hAnsi="Garamond" w:cs="Times New Roman"/>
        </w:rPr>
        <w:t xml:space="preserve">Which now is but a pruning-knife. </w:t>
      </w:r>
    </w:p>
    <w:p w14:paraId="7A56D0D2" w14:textId="77777777" w:rsidR="00162224" w:rsidRPr="003037D2" w:rsidRDefault="00162224" w:rsidP="00162224">
      <w:pPr>
        <w:ind w:left="2160" w:firstLine="357"/>
        <w:rPr>
          <w:rFonts w:ascii="Garamond" w:eastAsia="Calibri" w:hAnsi="Garamond" w:cs="Times New Roman"/>
        </w:rPr>
      </w:pPr>
      <w:r w:rsidRPr="003037D2">
        <w:rPr>
          <w:rFonts w:ascii="Garamond" w:eastAsia="Calibri" w:hAnsi="Garamond" w:cs="Times New Roman"/>
        </w:rPr>
        <w:tab/>
        <w:t xml:space="preserve">Christ’s coming hath made man thy debtor, </w:t>
      </w:r>
    </w:p>
    <w:p w14:paraId="6F95F1C9" w14:textId="77777777" w:rsidR="00162224" w:rsidRPr="003037D2" w:rsidRDefault="00162224" w:rsidP="00162224">
      <w:pPr>
        <w:ind w:left="2160" w:firstLine="357"/>
        <w:rPr>
          <w:rFonts w:ascii="Garamond" w:eastAsia="Calibri" w:hAnsi="Garamond" w:cs="Times New Roman"/>
        </w:rPr>
      </w:pPr>
      <w:r w:rsidRPr="003037D2">
        <w:rPr>
          <w:rFonts w:ascii="Garamond" w:eastAsia="Calibri" w:hAnsi="Garamond" w:cs="Times New Roman"/>
        </w:rPr>
        <w:tab/>
        <w:t xml:space="preserve">Since by thy cutting he grows better. </w:t>
      </w:r>
    </w:p>
    <w:p w14:paraId="6669A2A1" w14:textId="77777777" w:rsidR="00162224" w:rsidRPr="003037D2" w:rsidRDefault="00162224" w:rsidP="00162224">
      <w:pPr>
        <w:ind w:left="2160" w:firstLine="357"/>
        <w:rPr>
          <w:rFonts w:ascii="Garamond" w:eastAsia="Calibri" w:hAnsi="Garamond" w:cs="Times New Roman"/>
        </w:rPr>
      </w:pPr>
    </w:p>
    <w:p w14:paraId="7D90E901" w14:textId="77777777" w:rsidR="00162224" w:rsidRPr="003037D2" w:rsidRDefault="00162224" w:rsidP="00162224">
      <w:pPr>
        <w:ind w:left="2160" w:firstLine="357"/>
        <w:rPr>
          <w:rFonts w:ascii="Garamond" w:eastAsia="Calibri" w:hAnsi="Garamond" w:cs="Times New Roman"/>
        </w:rPr>
      </w:pPr>
      <w:r w:rsidRPr="003037D2">
        <w:rPr>
          <w:rFonts w:ascii="Garamond" w:eastAsia="Calibri" w:hAnsi="Garamond" w:cs="Times New Roman"/>
        </w:rPr>
        <w:t xml:space="preserve">And in his </w:t>
      </w:r>
      <w:proofErr w:type="gramStart"/>
      <w:r w:rsidRPr="003037D2">
        <w:rPr>
          <w:rFonts w:ascii="Garamond" w:eastAsia="Calibri" w:hAnsi="Garamond" w:cs="Times New Roman"/>
        </w:rPr>
        <w:t>blessing</w:t>
      </w:r>
      <w:proofErr w:type="gramEnd"/>
      <w:r w:rsidRPr="003037D2">
        <w:rPr>
          <w:rFonts w:ascii="Garamond" w:eastAsia="Calibri" w:hAnsi="Garamond" w:cs="Times New Roman"/>
        </w:rPr>
        <w:t xml:space="preserve"> thou art blessed; </w:t>
      </w:r>
    </w:p>
    <w:p w14:paraId="3B47C87F" w14:textId="77777777" w:rsidR="00162224" w:rsidRPr="003037D2" w:rsidRDefault="00162224" w:rsidP="00162224">
      <w:pPr>
        <w:ind w:left="2160" w:firstLine="357"/>
        <w:rPr>
          <w:rFonts w:ascii="Garamond" w:eastAsia="Calibri" w:hAnsi="Garamond" w:cs="Times New Roman"/>
        </w:rPr>
      </w:pPr>
      <w:r w:rsidRPr="003037D2">
        <w:rPr>
          <w:rFonts w:ascii="Garamond" w:eastAsia="Calibri" w:hAnsi="Garamond" w:cs="Times New Roman"/>
        </w:rPr>
        <w:t xml:space="preserve">For where thou only wert before </w:t>
      </w:r>
    </w:p>
    <w:p w14:paraId="4BE370CD" w14:textId="77777777" w:rsidR="00162224" w:rsidRPr="003037D2" w:rsidRDefault="00162224" w:rsidP="00162224">
      <w:pPr>
        <w:ind w:left="2160" w:firstLine="357"/>
        <w:rPr>
          <w:rFonts w:ascii="Garamond" w:eastAsia="Calibri" w:hAnsi="Garamond" w:cs="Times New Roman"/>
        </w:rPr>
      </w:pPr>
      <w:r w:rsidRPr="003037D2">
        <w:rPr>
          <w:rFonts w:ascii="Garamond" w:eastAsia="Calibri" w:hAnsi="Garamond" w:cs="Times New Roman"/>
        </w:rPr>
        <w:t xml:space="preserve">An executioner at best; </w:t>
      </w:r>
    </w:p>
    <w:p w14:paraId="6F6B38F1" w14:textId="77777777" w:rsidR="00162224" w:rsidRPr="003037D2" w:rsidRDefault="00162224" w:rsidP="00162224">
      <w:pPr>
        <w:ind w:left="2160" w:firstLine="357"/>
        <w:rPr>
          <w:rFonts w:ascii="Garamond" w:eastAsia="Calibri" w:hAnsi="Garamond" w:cs="Times New Roman"/>
        </w:rPr>
      </w:pPr>
      <w:r w:rsidRPr="003037D2">
        <w:rPr>
          <w:rFonts w:ascii="Garamond" w:eastAsia="Calibri" w:hAnsi="Garamond" w:cs="Times New Roman"/>
        </w:rPr>
        <w:t xml:space="preserve">Thou art a </w:t>
      </w:r>
      <w:proofErr w:type="spellStart"/>
      <w:r w:rsidRPr="003037D2">
        <w:rPr>
          <w:rFonts w:ascii="Garamond" w:eastAsia="Calibri" w:hAnsi="Garamond" w:cs="Times New Roman"/>
        </w:rPr>
        <w:t>gard’ner</w:t>
      </w:r>
      <w:proofErr w:type="spellEnd"/>
      <w:r w:rsidRPr="003037D2">
        <w:rPr>
          <w:rFonts w:ascii="Garamond" w:eastAsia="Calibri" w:hAnsi="Garamond" w:cs="Times New Roman"/>
        </w:rPr>
        <w:t xml:space="preserve"> now, and more, </w:t>
      </w:r>
    </w:p>
    <w:p w14:paraId="7F7478E6" w14:textId="77777777" w:rsidR="00162224" w:rsidRPr="003037D2" w:rsidRDefault="00162224" w:rsidP="00162224">
      <w:pPr>
        <w:ind w:left="2160" w:firstLine="357"/>
        <w:rPr>
          <w:rFonts w:ascii="Garamond" w:eastAsia="Calibri" w:hAnsi="Garamond" w:cs="Times New Roman"/>
        </w:rPr>
      </w:pPr>
      <w:r w:rsidRPr="003037D2">
        <w:rPr>
          <w:rFonts w:ascii="Garamond" w:eastAsia="Calibri" w:hAnsi="Garamond" w:cs="Times New Roman"/>
        </w:rPr>
        <w:tab/>
        <w:t>An usher to convey our souls</w:t>
      </w:r>
    </w:p>
    <w:p w14:paraId="1AC3BDC4" w14:textId="195A2C5F" w:rsidR="00162224" w:rsidRDefault="00162224" w:rsidP="00667CD5">
      <w:pPr>
        <w:ind w:left="2160" w:firstLine="357"/>
        <w:rPr>
          <w:rFonts w:ascii="Garamond" w:eastAsia="Calibri" w:hAnsi="Garamond" w:cs="Times New Roman"/>
        </w:rPr>
      </w:pPr>
      <w:r w:rsidRPr="003037D2">
        <w:rPr>
          <w:rFonts w:ascii="Garamond" w:eastAsia="Calibri" w:hAnsi="Garamond" w:cs="Times New Roman"/>
        </w:rPr>
        <w:tab/>
        <w:t>Beyond the utmost stars and poles.</w:t>
      </w:r>
      <w:r w:rsidRPr="003037D2">
        <w:rPr>
          <w:rFonts w:ascii="Garamond" w:eastAsia="Calibri" w:hAnsi="Garamond" w:cs="Times New Roman"/>
          <w:vertAlign w:val="superscript"/>
        </w:rPr>
        <w:footnoteReference w:id="459"/>
      </w:r>
      <w:r w:rsidR="00667CD5">
        <w:rPr>
          <w:rFonts w:ascii="Garamond" w:eastAsia="Calibri" w:hAnsi="Garamond" w:cs="Times New Roman"/>
        </w:rPr>
        <w:t xml:space="preserve"> </w:t>
      </w:r>
    </w:p>
    <w:p w14:paraId="3364FD26" w14:textId="77777777" w:rsidR="00667CD5" w:rsidRPr="003037D2" w:rsidRDefault="00667CD5" w:rsidP="00667CD5">
      <w:pPr>
        <w:ind w:left="2160" w:firstLine="357"/>
        <w:rPr>
          <w:rFonts w:ascii="Garamond" w:eastAsia="Calibri" w:hAnsi="Garamond" w:cs="Times New Roman"/>
        </w:rPr>
      </w:pPr>
    </w:p>
    <w:p w14:paraId="6253C2A5" w14:textId="77777777"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Time becomes a gardener, pruning what is presumably dead or diseased material, in order to strengthen the </w:t>
      </w:r>
      <w:proofErr w:type="gramStart"/>
      <w:r w:rsidRPr="003037D2">
        <w:rPr>
          <w:rFonts w:ascii="Garamond" w:eastAsia="Calibri" w:hAnsi="Garamond" w:cs="Times New Roman"/>
        </w:rPr>
        <w:t>plant as a whole</w:t>
      </w:r>
      <w:proofErr w:type="gramEnd"/>
      <w:r w:rsidRPr="003037D2">
        <w:rPr>
          <w:rFonts w:ascii="Garamond" w:eastAsia="Calibri" w:hAnsi="Garamond" w:cs="Times New Roman"/>
        </w:rPr>
        <w:t>.</w:t>
      </w:r>
      <w:r w:rsidRPr="003037D2">
        <w:rPr>
          <w:rFonts w:ascii="Garamond" w:eastAsia="Calibri" w:hAnsi="Garamond" w:cs="Times New Roman"/>
          <w:vertAlign w:val="superscript"/>
        </w:rPr>
        <w:footnoteReference w:id="460"/>
      </w:r>
      <w:r w:rsidRPr="003037D2">
        <w:rPr>
          <w:rFonts w:ascii="Garamond" w:eastAsia="Calibri" w:hAnsi="Garamond" w:cs="Times New Roman"/>
        </w:rPr>
        <w:t xml:space="preserve"> This homely image is then extended, with the gardener becoming a heavenly usher, moving beyond the limits of the known natural </w:t>
      </w:r>
      <w:r w:rsidRPr="003037D2">
        <w:rPr>
          <w:rFonts w:ascii="Garamond" w:eastAsia="Calibri" w:hAnsi="Garamond" w:cs="Times New Roman"/>
        </w:rPr>
        <w:lastRenderedPageBreak/>
        <w:t xml:space="preserve">world. However, the speaker’s insistence that ‘life so long’ ‘detains us from our God’, particularly their assertion that Christians should desire the swift end of life is revealed to be based on a misapprehension. They exclaim ‘Of what strange length must that needs </w:t>
      </w:r>
      <w:proofErr w:type="gramStart"/>
      <w:r w:rsidRPr="003037D2">
        <w:rPr>
          <w:rFonts w:ascii="Garamond" w:eastAsia="Calibri" w:hAnsi="Garamond" w:cs="Times New Roman"/>
        </w:rPr>
        <w:t>be,/</w:t>
      </w:r>
      <w:proofErr w:type="gramEnd"/>
      <w:r w:rsidRPr="003037D2">
        <w:rPr>
          <w:rFonts w:ascii="Garamond" w:eastAsia="Calibri" w:hAnsi="Garamond" w:cs="Times New Roman"/>
        </w:rPr>
        <w:t xml:space="preserve"> Which </w:t>
      </w:r>
      <w:proofErr w:type="spellStart"/>
      <w:r w:rsidRPr="003037D2">
        <w:rPr>
          <w:rFonts w:ascii="Garamond" w:eastAsia="Calibri" w:hAnsi="Garamond" w:cs="Times New Roman"/>
        </w:rPr>
        <w:t>ev’n</w:t>
      </w:r>
      <w:proofErr w:type="spellEnd"/>
      <w:r w:rsidRPr="003037D2">
        <w:rPr>
          <w:rFonts w:ascii="Garamond" w:eastAsia="Calibri" w:hAnsi="Garamond" w:cs="Times New Roman"/>
        </w:rPr>
        <w:t xml:space="preserve"> eternity excludes!’ The strange length is that of life, from which they believe eternity (or God) has been removed. Time has listened to them ‘patiently’, not cutting the speaker short in the manner they declare they should be, finally responding with a swift simplicity that contrasts with the speaker’s panicked self-deluding loquaciousness: </w:t>
      </w:r>
    </w:p>
    <w:p w14:paraId="425F27DB"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 xml:space="preserve">Then chafing said, </w:t>
      </w:r>
      <w:proofErr w:type="gramStart"/>
      <w:r w:rsidRPr="003037D2">
        <w:rPr>
          <w:rFonts w:ascii="Garamond" w:eastAsia="Calibri" w:hAnsi="Garamond" w:cs="Times New Roman"/>
        </w:rPr>
        <w:t>This</w:t>
      </w:r>
      <w:proofErr w:type="gramEnd"/>
      <w:r w:rsidRPr="003037D2">
        <w:rPr>
          <w:rFonts w:ascii="Garamond" w:eastAsia="Calibri" w:hAnsi="Garamond" w:cs="Times New Roman"/>
        </w:rPr>
        <w:t xml:space="preserve"> man deludes: </w:t>
      </w:r>
    </w:p>
    <w:p w14:paraId="5788D652"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ab/>
        <w:t xml:space="preserve">What do I here before his door? </w:t>
      </w:r>
    </w:p>
    <w:p w14:paraId="3792F8DB"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ab/>
        <w:t xml:space="preserve">He doth not crave less time, but more. </w:t>
      </w:r>
    </w:p>
    <w:p w14:paraId="1C61C712" w14:textId="77777777" w:rsidR="00162224" w:rsidRPr="003037D2" w:rsidRDefault="00162224" w:rsidP="00162224">
      <w:pPr>
        <w:ind w:left="2160"/>
        <w:rPr>
          <w:rFonts w:ascii="Garamond" w:eastAsia="Calibri" w:hAnsi="Garamond" w:cs="Times New Roman"/>
        </w:rPr>
      </w:pPr>
    </w:p>
    <w:p w14:paraId="6E1ECB63" w14:textId="1611FA23"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The measured caesura before the last two evenly stressed syllables of the poem halt it, before the resolute finality of the final rhyming couplet. The speaker’s claims to have understood time, and to have overcome the human desire for life are punctured. The motif of death as an act of pruning is revealed as overly simplistic. ‘The Church-Porch’, ‘Time’ and ‘Sunday’ all demonstrate that focusing on only one meaning of a metaphor results in misreading. The interactions between the different poems of </w:t>
      </w:r>
      <w:r w:rsidRPr="003037D2">
        <w:rPr>
          <w:rFonts w:ascii="Garamond" w:eastAsia="Calibri" w:hAnsi="Garamond" w:cs="Times New Roman"/>
          <w:i/>
        </w:rPr>
        <w:t xml:space="preserve">The Temple </w:t>
      </w:r>
      <w:r w:rsidRPr="003037D2">
        <w:rPr>
          <w:rFonts w:ascii="Garamond" w:eastAsia="Calibri" w:hAnsi="Garamond" w:cs="Times New Roman"/>
        </w:rPr>
        <w:t xml:space="preserve">need to be drawn out in order in the same way that Biblical imagery needs to be </w:t>
      </w:r>
      <w:proofErr w:type="gramStart"/>
      <w:r w:rsidRPr="003037D2">
        <w:rPr>
          <w:rFonts w:ascii="Garamond" w:eastAsia="Calibri" w:hAnsi="Garamond" w:cs="Times New Roman"/>
        </w:rPr>
        <w:t>interpolated, and</w:t>
      </w:r>
      <w:proofErr w:type="gramEnd"/>
      <w:r w:rsidRPr="003037D2">
        <w:rPr>
          <w:rFonts w:ascii="Garamond" w:eastAsia="Calibri" w:hAnsi="Garamond" w:cs="Times New Roman"/>
        </w:rPr>
        <w:t xml:space="preserve"> understood as part of a wider network of meaning, as I will discuss further in the following section. These misinterpretations are particularly easy to make regarding questions of time. Herbert’s repeated advice, in both his poetry and </w:t>
      </w:r>
      <w:r w:rsidRPr="003037D2">
        <w:rPr>
          <w:rFonts w:ascii="Garamond" w:eastAsia="Calibri" w:hAnsi="Garamond" w:cs="Times New Roman"/>
          <w:i/>
        </w:rPr>
        <w:t xml:space="preserve">The Country Parson </w:t>
      </w:r>
      <w:r w:rsidRPr="003037D2">
        <w:rPr>
          <w:rFonts w:ascii="Garamond" w:eastAsia="Calibri" w:hAnsi="Garamond" w:cs="Times New Roman"/>
        </w:rPr>
        <w:t xml:space="preserve">to be productive and engaged in work, whilst ensuring that such business is considered, aware and directed to God, should make his reader alive to the need to be constantly aware of how they perceive and use time. </w:t>
      </w:r>
    </w:p>
    <w:bookmarkEnd w:id="49"/>
    <w:p w14:paraId="2E6D8A9B" w14:textId="063D45F1" w:rsidR="00162224" w:rsidRPr="003037D2" w:rsidRDefault="00162224" w:rsidP="00162224">
      <w:pPr>
        <w:spacing w:line="360" w:lineRule="auto"/>
        <w:ind w:firstLine="360"/>
        <w:rPr>
          <w:rFonts w:ascii="Garamond" w:eastAsia="Calibri" w:hAnsi="Garamond" w:cs="Times New Roman"/>
        </w:rPr>
      </w:pPr>
      <w:r w:rsidRPr="003037D2">
        <w:rPr>
          <w:rFonts w:ascii="Garamond" w:eastAsia="Calibri" w:hAnsi="Garamond" w:cs="Times New Roman"/>
        </w:rPr>
        <w:t xml:space="preserve">         </w:t>
      </w:r>
    </w:p>
    <w:p w14:paraId="3B6B16AE" w14:textId="75728D82" w:rsidR="00162224" w:rsidRDefault="00162224" w:rsidP="00162224">
      <w:pPr>
        <w:spacing w:line="360" w:lineRule="auto"/>
        <w:ind w:firstLine="360"/>
        <w:rPr>
          <w:rFonts w:ascii="Garamond" w:eastAsia="Calibri" w:hAnsi="Garamond" w:cs="Times New Roman"/>
        </w:rPr>
      </w:pPr>
      <w:r w:rsidRPr="003037D2">
        <w:rPr>
          <w:rFonts w:ascii="Garamond" w:eastAsia="Calibri" w:hAnsi="Garamond" w:cs="Times New Roman"/>
        </w:rPr>
        <w:t xml:space="preserve">             </w:t>
      </w:r>
    </w:p>
    <w:p w14:paraId="46ABA2AC" w14:textId="0F1B113F" w:rsidR="00667CD5" w:rsidRDefault="00667CD5" w:rsidP="00162224">
      <w:pPr>
        <w:spacing w:line="360" w:lineRule="auto"/>
        <w:ind w:firstLine="360"/>
        <w:rPr>
          <w:rFonts w:ascii="Garamond" w:eastAsia="Calibri" w:hAnsi="Garamond" w:cs="Times New Roman"/>
        </w:rPr>
      </w:pPr>
    </w:p>
    <w:p w14:paraId="1C714899" w14:textId="7F0BB6D9" w:rsidR="00667CD5" w:rsidRDefault="00667CD5" w:rsidP="00162224">
      <w:pPr>
        <w:spacing w:line="360" w:lineRule="auto"/>
        <w:ind w:firstLine="360"/>
        <w:rPr>
          <w:rFonts w:ascii="Garamond" w:eastAsia="Calibri" w:hAnsi="Garamond" w:cs="Times New Roman"/>
        </w:rPr>
      </w:pPr>
    </w:p>
    <w:p w14:paraId="7F729206" w14:textId="30780EF8" w:rsidR="00667CD5" w:rsidRDefault="00667CD5" w:rsidP="00162224">
      <w:pPr>
        <w:spacing w:line="360" w:lineRule="auto"/>
        <w:ind w:firstLine="360"/>
        <w:rPr>
          <w:rFonts w:ascii="Garamond" w:eastAsia="Calibri" w:hAnsi="Garamond" w:cs="Times New Roman"/>
        </w:rPr>
      </w:pPr>
    </w:p>
    <w:p w14:paraId="08E2FE37" w14:textId="36B9B92F" w:rsidR="00667CD5" w:rsidRDefault="00667CD5" w:rsidP="00162224">
      <w:pPr>
        <w:spacing w:line="360" w:lineRule="auto"/>
        <w:ind w:firstLine="360"/>
        <w:rPr>
          <w:rFonts w:ascii="Garamond" w:eastAsia="Calibri" w:hAnsi="Garamond" w:cs="Times New Roman"/>
        </w:rPr>
      </w:pPr>
    </w:p>
    <w:p w14:paraId="0E0211E6" w14:textId="7340FFA4" w:rsidR="00470D01" w:rsidRDefault="00470D01" w:rsidP="00162224">
      <w:pPr>
        <w:spacing w:line="360" w:lineRule="auto"/>
        <w:ind w:firstLine="360"/>
        <w:rPr>
          <w:rFonts w:ascii="Garamond" w:eastAsia="Calibri" w:hAnsi="Garamond" w:cs="Times New Roman"/>
        </w:rPr>
      </w:pPr>
    </w:p>
    <w:p w14:paraId="1F9C2E04" w14:textId="7B4E712B" w:rsidR="00470D01" w:rsidRDefault="00470D01" w:rsidP="00162224">
      <w:pPr>
        <w:spacing w:line="360" w:lineRule="auto"/>
        <w:ind w:firstLine="360"/>
        <w:rPr>
          <w:rFonts w:ascii="Garamond" w:eastAsia="Calibri" w:hAnsi="Garamond" w:cs="Times New Roman"/>
        </w:rPr>
      </w:pPr>
    </w:p>
    <w:p w14:paraId="0B5876F6" w14:textId="49DCD21D" w:rsidR="00470D01" w:rsidRDefault="00470D01" w:rsidP="00162224">
      <w:pPr>
        <w:spacing w:line="360" w:lineRule="auto"/>
        <w:ind w:firstLine="360"/>
        <w:rPr>
          <w:rFonts w:ascii="Garamond" w:eastAsia="Calibri" w:hAnsi="Garamond" w:cs="Times New Roman"/>
        </w:rPr>
      </w:pPr>
    </w:p>
    <w:p w14:paraId="37757302" w14:textId="272E800B" w:rsidR="00470D01" w:rsidRDefault="00470D01" w:rsidP="00162224">
      <w:pPr>
        <w:spacing w:line="360" w:lineRule="auto"/>
        <w:ind w:firstLine="360"/>
        <w:rPr>
          <w:rFonts w:ascii="Garamond" w:eastAsia="Calibri" w:hAnsi="Garamond" w:cs="Times New Roman"/>
        </w:rPr>
      </w:pPr>
    </w:p>
    <w:p w14:paraId="3DF2F319" w14:textId="7E824547" w:rsidR="00470D01" w:rsidRDefault="00470D01" w:rsidP="00162224">
      <w:pPr>
        <w:spacing w:line="360" w:lineRule="auto"/>
        <w:ind w:firstLine="360"/>
        <w:rPr>
          <w:rFonts w:ascii="Garamond" w:eastAsia="Calibri" w:hAnsi="Garamond" w:cs="Times New Roman"/>
        </w:rPr>
      </w:pPr>
    </w:p>
    <w:p w14:paraId="66A8AC87" w14:textId="77777777" w:rsidR="00470D01" w:rsidRDefault="00470D01" w:rsidP="00162224">
      <w:pPr>
        <w:spacing w:line="360" w:lineRule="auto"/>
        <w:ind w:firstLine="360"/>
        <w:rPr>
          <w:rFonts w:ascii="Garamond" w:eastAsia="Calibri" w:hAnsi="Garamond" w:cs="Times New Roman"/>
        </w:rPr>
      </w:pPr>
    </w:p>
    <w:p w14:paraId="2A1B0677" w14:textId="67D568E6" w:rsidR="00667CD5" w:rsidRDefault="00667CD5" w:rsidP="00162224">
      <w:pPr>
        <w:spacing w:line="360" w:lineRule="auto"/>
        <w:ind w:firstLine="360"/>
        <w:rPr>
          <w:rFonts w:ascii="Garamond" w:eastAsia="Calibri" w:hAnsi="Garamond" w:cs="Times New Roman"/>
        </w:rPr>
      </w:pPr>
    </w:p>
    <w:p w14:paraId="012635DF" w14:textId="77777777" w:rsidR="00667CD5" w:rsidRPr="003037D2" w:rsidRDefault="00667CD5" w:rsidP="00162224">
      <w:pPr>
        <w:spacing w:line="360" w:lineRule="auto"/>
        <w:ind w:firstLine="360"/>
        <w:rPr>
          <w:rFonts w:ascii="Garamond" w:eastAsia="Calibri" w:hAnsi="Garamond" w:cs="Times New Roman"/>
        </w:rPr>
      </w:pPr>
    </w:p>
    <w:p w14:paraId="1651D7CC" w14:textId="6ED44E2A" w:rsidR="00162224" w:rsidRPr="00667CD5" w:rsidRDefault="00162224" w:rsidP="00A721D6">
      <w:pPr>
        <w:pStyle w:val="Heading2"/>
        <w:rPr>
          <w:sz w:val="28"/>
          <w:szCs w:val="28"/>
        </w:rPr>
      </w:pPr>
      <w:bookmarkStart w:id="50" w:name="_Toc3967181"/>
      <w:r w:rsidRPr="00667CD5">
        <w:rPr>
          <w:sz w:val="28"/>
          <w:szCs w:val="28"/>
        </w:rPr>
        <w:t>The Temple as Commonplace book and commonplace time</w:t>
      </w:r>
      <w:bookmarkEnd w:id="50"/>
      <w:r w:rsidRPr="00667CD5">
        <w:rPr>
          <w:sz w:val="28"/>
          <w:szCs w:val="28"/>
        </w:rPr>
        <w:t xml:space="preserve"> </w:t>
      </w:r>
    </w:p>
    <w:p w14:paraId="5CD064A1" w14:textId="77777777" w:rsidR="00162224" w:rsidRPr="003037D2" w:rsidRDefault="00162224" w:rsidP="00162224">
      <w:pPr>
        <w:spacing w:line="360" w:lineRule="auto"/>
        <w:ind w:firstLine="720"/>
        <w:rPr>
          <w:rFonts w:ascii="Garamond" w:eastAsia="Calibri" w:hAnsi="Garamond" w:cs="Times New Roman"/>
        </w:rPr>
      </w:pPr>
    </w:p>
    <w:p w14:paraId="41B1652E" w14:textId="58A0FB5E" w:rsidR="00162224" w:rsidRPr="003037D2" w:rsidRDefault="00162224" w:rsidP="00162224">
      <w:pPr>
        <w:spacing w:after="120" w:line="360" w:lineRule="auto"/>
        <w:ind w:firstLine="720"/>
        <w:rPr>
          <w:rFonts w:ascii="Garamond" w:eastAsia="Calibri" w:hAnsi="Garamond" w:cs="Times New Roman"/>
        </w:rPr>
      </w:pPr>
      <w:r w:rsidRPr="003037D2">
        <w:rPr>
          <w:rFonts w:ascii="Garamond" w:eastAsia="Calibri" w:hAnsi="Garamond" w:cs="Times New Roman"/>
        </w:rPr>
        <w:t xml:space="preserve">The theme of commonplacing runs through both Herbert’s poetry, and his advice literature. In </w:t>
      </w:r>
      <w:proofErr w:type="gramStart"/>
      <w:r w:rsidRPr="003037D2">
        <w:rPr>
          <w:rFonts w:ascii="Garamond" w:eastAsia="Calibri" w:hAnsi="Garamond" w:cs="Times New Roman"/>
          <w:i/>
        </w:rPr>
        <w:t>The</w:t>
      </w:r>
      <w:proofErr w:type="gramEnd"/>
      <w:r w:rsidRPr="003037D2">
        <w:rPr>
          <w:rFonts w:ascii="Garamond" w:eastAsia="Calibri" w:hAnsi="Garamond" w:cs="Times New Roman"/>
          <w:i/>
        </w:rPr>
        <w:t xml:space="preserve"> Country Parson, </w:t>
      </w:r>
      <w:r w:rsidRPr="003037D2">
        <w:rPr>
          <w:rFonts w:ascii="Garamond" w:eastAsia="Calibri" w:hAnsi="Garamond" w:cs="Times New Roman"/>
        </w:rPr>
        <w:t>He</w:t>
      </w:r>
      <w:r w:rsidR="00814479">
        <w:rPr>
          <w:rFonts w:ascii="Garamond" w:eastAsia="Calibri" w:hAnsi="Garamond" w:cs="Times New Roman"/>
        </w:rPr>
        <w:t>r</w:t>
      </w:r>
      <w:r w:rsidRPr="003037D2">
        <w:rPr>
          <w:rFonts w:ascii="Garamond" w:eastAsia="Calibri" w:hAnsi="Garamond" w:cs="Times New Roman"/>
        </w:rPr>
        <w:t xml:space="preserve">bert declares ‘the chief and top of [the parson’s] knowledge consists in the book of books, the storehouse and magazine of life and comfort, the holy Scriptures. There he sucks and </w:t>
      </w:r>
      <w:proofErr w:type="gramStart"/>
      <w:r w:rsidRPr="003037D2">
        <w:rPr>
          <w:rFonts w:ascii="Garamond" w:eastAsia="Calibri" w:hAnsi="Garamond" w:cs="Times New Roman"/>
        </w:rPr>
        <w:t>lives’</w:t>
      </w:r>
      <w:proofErr w:type="gramEnd"/>
      <w:r w:rsidRPr="003037D2">
        <w:rPr>
          <w:rFonts w:ascii="Garamond" w:eastAsia="Calibri" w:hAnsi="Garamond" w:cs="Times New Roman"/>
        </w:rPr>
        <w:t>.</w:t>
      </w:r>
      <w:r w:rsidRPr="003037D2">
        <w:rPr>
          <w:rFonts w:ascii="Garamond" w:eastAsia="Calibri" w:hAnsi="Garamond" w:cs="Times New Roman"/>
          <w:vertAlign w:val="superscript"/>
        </w:rPr>
        <w:footnoteReference w:id="461"/>
      </w:r>
      <w:r w:rsidRPr="003037D2">
        <w:rPr>
          <w:rFonts w:ascii="Garamond" w:eastAsia="Calibri" w:hAnsi="Garamond" w:cs="Times New Roman"/>
        </w:rPr>
        <w:t xml:space="preserve"> Herbert also draws upon commonly known descriptions of commonplacing, echoing Seneca’s famous words on the importance of gathering and </w:t>
      </w:r>
      <w:proofErr w:type="spellStart"/>
      <w:r w:rsidRPr="003037D2">
        <w:rPr>
          <w:rFonts w:ascii="Garamond" w:eastAsia="Calibri" w:hAnsi="Garamond" w:cs="Times New Roman"/>
        </w:rPr>
        <w:t>organising</w:t>
      </w:r>
      <w:proofErr w:type="spellEnd"/>
      <w:r w:rsidRPr="003037D2">
        <w:rPr>
          <w:rFonts w:ascii="Garamond" w:eastAsia="Calibri" w:hAnsi="Garamond" w:cs="Times New Roman"/>
        </w:rPr>
        <w:t xml:space="preserve"> quotations for learning:</w:t>
      </w:r>
    </w:p>
    <w:p w14:paraId="4D8376BE" w14:textId="7C50C872" w:rsidR="00162224" w:rsidRPr="003037D2" w:rsidRDefault="00162224" w:rsidP="00162224">
      <w:pPr>
        <w:spacing w:after="360"/>
        <w:ind w:left="737" w:right="737"/>
        <w:rPr>
          <w:rFonts w:ascii="Garamond" w:eastAsia="Calibri" w:hAnsi="Garamond" w:cs="Times New Roman"/>
        </w:rPr>
      </w:pPr>
      <w:r w:rsidRPr="003037D2">
        <w:rPr>
          <w:rFonts w:ascii="Garamond" w:eastAsia="Calibri" w:hAnsi="Garamond" w:cs="Times New Roman"/>
        </w:rPr>
        <w:t xml:space="preserve">we should imitate bees and we should keep in separate compartments whatever we have collected from our diverse reading, for things conserved separately keep better. Then, diligently </w:t>
      </w:r>
      <w:proofErr w:type="gramStart"/>
      <w:r w:rsidRPr="003037D2">
        <w:rPr>
          <w:rFonts w:ascii="Garamond" w:eastAsia="Calibri" w:hAnsi="Garamond" w:cs="Times New Roman"/>
        </w:rPr>
        <w:t>applying  all</w:t>
      </w:r>
      <w:proofErr w:type="gramEnd"/>
      <w:r w:rsidRPr="003037D2">
        <w:rPr>
          <w:rFonts w:ascii="Garamond" w:eastAsia="Calibri" w:hAnsi="Garamond" w:cs="Times New Roman"/>
        </w:rPr>
        <w:t xml:space="preserve"> the resources of our native talent, we should mingle all the various nectars we have tasted, and turn them into a single sweet substance… quite different from wh</w:t>
      </w:r>
      <w:r w:rsidR="002F1250">
        <w:rPr>
          <w:rFonts w:ascii="Garamond" w:eastAsia="Calibri" w:hAnsi="Garamond" w:cs="Times New Roman"/>
        </w:rPr>
        <w:t>at it was in its original state.</w:t>
      </w:r>
      <w:r w:rsidRPr="003037D2">
        <w:rPr>
          <w:rFonts w:ascii="Garamond" w:eastAsia="Calibri" w:hAnsi="Garamond" w:cs="Times New Roman"/>
          <w:vertAlign w:val="superscript"/>
        </w:rPr>
        <w:footnoteReference w:id="462"/>
      </w:r>
    </w:p>
    <w:p w14:paraId="476F397B" w14:textId="0CEDD5E6"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In the chapter on ‘the Parson’s Accessory Knowledge’, Herbert specifically </w:t>
      </w:r>
      <w:r w:rsidR="0038415A" w:rsidRPr="003037D2">
        <w:rPr>
          <w:rFonts w:ascii="Garamond" w:eastAsia="Calibri" w:hAnsi="Garamond" w:cs="Times New Roman"/>
        </w:rPr>
        <w:t>counsels</w:t>
      </w:r>
      <w:r w:rsidRPr="003037D2">
        <w:rPr>
          <w:rFonts w:ascii="Garamond" w:eastAsia="Calibri" w:hAnsi="Garamond" w:cs="Times New Roman"/>
        </w:rPr>
        <w:t xml:space="preserve"> that a good parson ‘hath compiled a book and body of Divinity’ from his extensive reading of ‘the Fathers’ and ‘the Schoolmen, and the later writers’. This can be the ‘storehouse of his sermons’ from which he can ‘</w:t>
      </w:r>
      <w:proofErr w:type="spellStart"/>
      <w:r w:rsidRPr="003037D2">
        <w:rPr>
          <w:rFonts w:ascii="Garamond" w:eastAsia="Calibri" w:hAnsi="Garamond" w:cs="Times New Roman"/>
        </w:rPr>
        <w:t>preacheth</w:t>
      </w:r>
      <w:proofErr w:type="spellEnd"/>
      <w:r w:rsidRPr="003037D2">
        <w:rPr>
          <w:rFonts w:ascii="Garamond" w:eastAsia="Calibri" w:hAnsi="Garamond" w:cs="Times New Roman"/>
        </w:rPr>
        <w:t xml:space="preserve"> all his life, but diversely clothed, illustrated, and enlarged’.</w:t>
      </w:r>
      <w:r w:rsidRPr="003037D2">
        <w:rPr>
          <w:rFonts w:ascii="Garamond" w:eastAsia="Calibri" w:hAnsi="Garamond" w:cs="Times New Roman"/>
          <w:vertAlign w:val="superscript"/>
        </w:rPr>
        <w:footnoteReference w:id="463"/>
      </w:r>
      <w:r w:rsidRPr="003037D2">
        <w:rPr>
          <w:rFonts w:ascii="Garamond" w:eastAsia="Calibri" w:hAnsi="Garamond" w:cs="Times New Roman"/>
        </w:rPr>
        <w:t xml:space="preserve"> Commonplacing creates a very specific temporal dimension to reading: one that is intimately connected to the creation of communal memory, bolstered through repetition. These sayings are both timeless, and to be deployed at the right time in order to either improve one’s rhetoric or offer moral guidance.  </w:t>
      </w:r>
    </w:p>
    <w:p w14:paraId="10FCF116" w14:textId="77777777" w:rsidR="00162224" w:rsidRPr="003037D2" w:rsidRDefault="00162224" w:rsidP="00162224">
      <w:pPr>
        <w:spacing w:line="360" w:lineRule="auto"/>
        <w:rPr>
          <w:rFonts w:ascii="Garamond" w:eastAsia="Calibri" w:hAnsi="Garamond" w:cs="Times New Roman"/>
        </w:rPr>
      </w:pPr>
    </w:p>
    <w:p w14:paraId="52B9A4D2" w14:textId="77777777"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The following section explores how Herbert draws on the </w:t>
      </w:r>
      <w:proofErr w:type="spellStart"/>
      <w:r w:rsidRPr="003037D2">
        <w:rPr>
          <w:rFonts w:ascii="Garamond" w:eastAsia="Calibri" w:hAnsi="Garamond" w:cs="Times New Roman"/>
        </w:rPr>
        <w:t>decentring</w:t>
      </w:r>
      <w:proofErr w:type="spellEnd"/>
      <w:r w:rsidRPr="003037D2">
        <w:rPr>
          <w:rFonts w:ascii="Garamond" w:eastAsia="Calibri" w:hAnsi="Garamond" w:cs="Times New Roman"/>
        </w:rPr>
        <w:t xml:space="preserve"> effects of Biblical reading and commonplacing in </w:t>
      </w:r>
      <w:r w:rsidRPr="003037D2">
        <w:rPr>
          <w:rFonts w:ascii="Garamond" w:eastAsia="Calibri" w:hAnsi="Garamond" w:cs="Times New Roman"/>
          <w:i/>
        </w:rPr>
        <w:t xml:space="preserve">The Temple. </w:t>
      </w:r>
      <w:r w:rsidRPr="003037D2">
        <w:rPr>
          <w:rFonts w:ascii="Garamond" w:eastAsia="Calibri" w:hAnsi="Garamond" w:cs="Times New Roman"/>
          <w:iCs/>
        </w:rPr>
        <w:t xml:space="preserve"> I examine Herbert’s use of</w:t>
      </w:r>
      <w:r w:rsidRPr="003037D2">
        <w:rPr>
          <w:rFonts w:ascii="Garamond" w:eastAsia="Calibri" w:hAnsi="Garamond" w:cs="Times New Roman"/>
        </w:rPr>
        <w:t xml:space="preserve"> aphorisms and commonplacing, both of which in some ways remove the author from a text, making each poetic utterance seem as though it could be taken on by anyone. This </w:t>
      </w:r>
      <w:r w:rsidRPr="003037D2">
        <w:rPr>
          <w:rFonts w:ascii="Garamond" w:eastAsia="Calibri" w:hAnsi="Garamond" w:cs="Times New Roman"/>
        </w:rPr>
        <w:lastRenderedPageBreak/>
        <w:t xml:space="preserve">allows the reader to </w:t>
      </w:r>
      <w:proofErr w:type="spellStart"/>
      <w:r w:rsidRPr="003037D2">
        <w:rPr>
          <w:rFonts w:ascii="Garamond" w:eastAsia="Calibri" w:hAnsi="Garamond" w:cs="Times New Roman"/>
        </w:rPr>
        <w:t>ventriloquise</w:t>
      </w:r>
      <w:proofErr w:type="spellEnd"/>
      <w:r w:rsidRPr="003037D2">
        <w:rPr>
          <w:rFonts w:ascii="Garamond" w:eastAsia="Calibri" w:hAnsi="Garamond" w:cs="Times New Roman"/>
        </w:rPr>
        <w:t xml:space="preserve"> </w:t>
      </w:r>
      <w:proofErr w:type="gramStart"/>
      <w:r w:rsidRPr="003037D2">
        <w:rPr>
          <w:rFonts w:ascii="Garamond" w:eastAsia="Calibri" w:hAnsi="Garamond" w:cs="Times New Roman"/>
        </w:rPr>
        <w:t>a number of</w:t>
      </w:r>
      <w:proofErr w:type="gramEnd"/>
      <w:r w:rsidRPr="003037D2">
        <w:rPr>
          <w:rFonts w:ascii="Garamond" w:eastAsia="Calibri" w:hAnsi="Garamond" w:cs="Times New Roman"/>
        </w:rPr>
        <w:t xml:space="preserve"> different emotional responses to times of personal and devotional trial. I shall explore how Herbert, and his first publishers, </w:t>
      </w:r>
      <w:proofErr w:type="spellStart"/>
      <w:r w:rsidRPr="003037D2">
        <w:rPr>
          <w:rFonts w:ascii="Garamond" w:eastAsia="Calibri" w:hAnsi="Garamond" w:cs="Times New Roman"/>
        </w:rPr>
        <w:t>emphasised</w:t>
      </w:r>
      <w:proofErr w:type="spellEnd"/>
      <w:r w:rsidRPr="003037D2">
        <w:rPr>
          <w:rFonts w:ascii="Garamond" w:eastAsia="Calibri" w:hAnsi="Garamond" w:cs="Times New Roman"/>
        </w:rPr>
        <w:t xml:space="preserve"> the universality of his words and encouraged reading practices that would train readers in how to approach Biblical texts. Returning to Matthew Parker’s words on the Psalms, he states that: </w:t>
      </w:r>
    </w:p>
    <w:p w14:paraId="36F4DF3C" w14:textId="77777777" w:rsidR="00162224" w:rsidRPr="003037D2" w:rsidRDefault="00162224" w:rsidP="00162224">
      <w:pPr>
        <w:ind w:left="737" w:right="737"/>
        <w:rPr>
          <w:rFonts w:ascii="Garamond" w:eastAsia="Calibri" w:hAnsi="Garamond" w:cs="Times New Roman"/>
        </w:rPr>
      </w:pPr>
      <w:r w:rsidRPr="003037D2">
        <w:rPr>
          <w:rFonts w:ascii="Garamond" w:eastAsia="Calibri" w:hAnsi="Garamond" w:cs="Times New Roman"/>
        </w:rPr>
        <w:t xml:space="preserve">whosoever take this </w:t>
      </w:r>
      <w:proofErr w:type="spellStart"/>
      <w:r w:rsidRPr="003037D2">
        <w:rPr>
          <w:rFonts w:ascii="Garamond" w:eastAsia="Calibri" w:hAnsi="Garamond" w:cs="Times New Roman"/>
        </w:rPr>
        <w:t>booke</w:t>
      </w:r>
      <w:proofErr w:type="spellEnd"/>
      <w:r w:rsidRPr="003037D2">
        <w:rPr>
          <w:rFonts w:ascii="Garamond" w:eastAsia="Calibri" w:hAnsi="Garamond" w:cs="Times New Roman"/>
        </w:rPr>
        <w:t xml:space="preserve"> [i.e. the Psalms] in his </w:t>
      </w:r>
      <w:proofErr w:type="spellStart"/>
      <w:r w:rsidRPr="003037D2">
        <w:rPr>
          <w:rFonts w:ascii="Garamond" w:eastAsia="Calibri" w:hAnsi="Garamond" w:cs="Times New Roman"/>
        </w:rPr>
        <w:t>hande</w:t>
      </w:r>
      <w:proofErr w:type="spellEnd"/>
      <w:r w:rsidRPr="003037D2">
        <w:rPr>
          <w:rFonts w:ascii="Garamond" w:eastAsia="Calibri" w:hAnsi="Garamond" w:cs="Times New Roman"/>
        </w:rPr>
        <w:t xml:space="preserve">, he </w:t>
      </w:r>
      <w:proofErr w:type="spellStart"/>
      <w:r w:rsidRPr="003037D2">
        <w:rPr>
          <w:rFonts w:ascii="Garamond" w:eastAsia="Calibri" w:hAnsi="Garamond" w:cs="Times New Roman"/>
        </w:rPr>
        <w:t>reputeth</w:t>
      </w:r>
      <w:proofErr w:type="spellEnd"/>
      <w:r w:rsidRPr="003037D2">
        <w:rPr>
          <w:rFonts w:ascii="Garamond" w:eastAsia="Calibri" w:hAnsi="Garamond" w:cs="Times New Roman"/>
        </w:rPr>
        <w:t xml:space="preserve"> &amp; thinketh all the </w:t>
      </w:r>
      <w:proofErr w:type="spellStart"/>
      <w:r w:rsidRPr="003037D2">
        <w:rPr>
          <w:rFonts w:ascii="Garamond" w:eastAsia="Calibri" w:hAnsi="Garamond" w:cs="Times New Roman"/>
        </w:rPr>
        <w:t>wordes</w:t>
      </w:r>
      <w:proofErr w:type="spellEnd"/>
      <w:r w:rsidRPr="003037D2">
        <w:rPr>
          <w:rFonts w:ascii="Garamond" w:eastAsia="Calibri" w:hAnsi="Garamond" w:cs="Times New Roman"/>
        </w:rPr>
        <w:t xml:space="preserve"> he </w:t>
      </w:r>
      <w:proofErr w:type="spellStart"/>
      <w:r w:rsidRPr="003037D2">
        <w:rPr>
          <w:rFonts w:ascii="Garamond" w:eastAsia="Calibri" w:hAnsi="Garamond" w:cs="Times New Roman"/>
        </w:rPr>
        <w:t>readeth</w:t>
      </w:r>
      <w:proofErr w:type="spellEnd"/>
      <w:r w:rsidRPr="003037D2">
        <w:rPr>
          <w:rFonts w:ascii="Garamond" w:eastAsia="Calibri" w:hAnsi="Garamond" w:cs="Times New Roman"/>
        </w:rPr>
        <w:t xml:space="preserve">… To be as his very </w:t>
      </w:r>
      <w:proofErr w:type="spellStart"/>
      <w:r w:rsidRPr="003037D2">
        <w:rPr>
          <w:rFonts w:ascii="Garamond" w:eastAsia="Calibri" w:hAnsi="Garamond" w:cs="Times New Roman"/>
        </w:rPr>
        <w:t>owne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wordes</w:t>
      </w:r>
      <w:proofErr w:type="spellEnd"/>
      <w:r w:rsidRPr="003037D2">
        <w:rPr>
          <w:rFonts w:ascii="Garamond" w:eastAsia="Calibri" w:hAnsi="Garamond" w:cs="Times New Roman"/>
        </w:rPr>
        <w:t xml:space="preserve"> spoken in his </w:t>
      </w:r>
      <w:proofErr w:type="spellStart"/>
      <w:r w:rsidRPr="003037D2">
        <w:rPr>
          <w:rFonts w:ascii="Garamond" w:eastAsia="Calibri" w:hAnsi="Garamond" w:cs="Times New Roman"/>
        </w:rPr>
        <w:t>owne</w:t>
      </w:r>
      <w:proofErr w:type="spellEnd"/>
      <w:r w:rsidRPr="003037D2">
        <w:rPr>
          <w:rFonts w:ascii="Garamond" w:eastAsia="Calibri" w:hAnsi="Garamond" w:cs="Times New Roman"/>
        </w:rPr>
        <w:t xml:space="preserve"> person, yeah and whosoever do but here them </w:t>
      </w:r>
      <w:proofErr w:type="spellStart"/>
      <w:r w:rsidRPr="003037D2">
        <w:rPr>
          <w:rFonts w:ascii="Garamond" w:eastAsia="Calibri" w:hAnsi="Garamond" w:cs="Times New Roman"/>
        </w:rPr>
        <w:t>reade</w:t>
      </w:r>
      <w:proofErr w:type="spellEnd"/>
      <w:r w:rsidRPr="003037D2">
        <w:rPr>
          <w:rFonts w:ascii="Garamond" w:eastAsia="Calibri" w:hAnsi="Garamond" w:cs="Times New Roman"/>
        </w:rPr>
        <w:t xml:space="preserve">, he is so affected to them, as he were the very man that read them, or first </w:t>
      </w:r>
      <w:proofErr w:type="spellStart"/>
      <w:r w:rsidRPr="003037D2">
        <w:rPr>
          <w:rFonts w:ascii="Garamond" w:eastAsia="Calibri" w:hAnsi="Garamond" w:cs="Times New Roman"/>
        </w:rPr>
        <w:t>spake</w:t>
      </w:r>
      <w:proofErr w:type="spellEnd"/>
      <w:r w:rsidRPr="003037D2">
        <w:rPr>
          <w:rFonts w:ascii="Garamond" w:eastAsia="Calibri" w:hAnsi="Garamond" w:cs="Times New Roman"/>
        </w:rPr>
        <w:t xml:space="preserve"> them, and so is disposed to </w:t>
      </w:r>
      <w:proofErr w:type="spellStart"/>
      <w:r w:rsidRPr="003037D2">
        <w:rPr>
          <w:rFonts w:ascii="Garamond" w:eastAsia="Calibri" w:hAnsi="Garamond" w:cs="Times New Roman"/>
        </w:rPr>
        <w:t>warde</w:t>
      </w:r>
      <w:proofErr w:type="spellEnd"/>
      <w:r w:rsidRPr="003037D2">
        <w:rPr>
          <w:rFonts w:ascii="Garamond" w:eastAsia="Calibri" w:hAnsi="Garamond" w:cs="Times New Roman"/>
        </w:rPr>
        <w:t xml:space="preserve"> the </w:t>
      </w:r>
      <w:proofErr w:type="spellStart"/>
      <w:r w:rsidRPr="003037D2">
        <w:rPr>
          <w:rFonts w:ascii="Garamond" w:eastAsia="Calibri" w:hAnsi="Garamond" w:cs="Times New Roman"/>
        </w:rPr>
        <w:t>wordes</w:t>
      </w:r>
      <w:proofErr w:type="spellEnd"/>
      <w:r w:rsidRPr="003037D2">
        <w:rPr>
          <w:rFonts w:ascii="Garamond" w:eastAsia="Calibri" w:hAnsi="Garamond" w:cs="Times New Roman"/>
        </w:rPr>
        <w:t xml:space="preserve"> of the verses, when they be uttered, as they were </w:t>
      </w:r>
      <w:proofErr w:type="spellStart"/>
      <w:r w:rsidRPr="003037D2">
        <w:rPr>
          <w:rFonts w:ascii="Garamond" w:eastAsia="Calibri" w:hAnsi="Garamond" w:cs="Times New Roman"/>
        </w:rPr>
        <w:t>properlye</w:t>
      </w:r>
      <w:proofErr w:type="spellEnd"/>
      <w:r w:rsidRPr="003037D2">
        <w:rPr>
          <w:rFonts w:ascii="Garamond" w:eastAsia="Calibri" w:hAnsi="Garamond" w:cs="Times New Roman"/>
        </w:rPr>
        <w:t xml:space="preserve"> his </w:t>
      </w:r>
      <w:proofErr w:type="spellStart"/>
      <w:r w:rsidRPr="003037D2">
        <w:rPr>
          <w:rFonts w:ascii="Garamond" w:eastAsia="Calibri" w:hAnsi="Garamond" w:cs="Times New Roman"/>
        </w:rPr>
        <w:t>owne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onelye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wordes</w:t>
      </w:r>
      <w:proofErr w:type="spellEnd"/>
      <w:r w:rsidRPr="003037D2">
        <w:rPr>
          <w:rFonts w:ascii="Garamond" w:eastAsia="Calibri" w:hAnsi="Garamond" w:cs="Times New Roman"/>
        </w:rPr>
        <w:t xml:space="preserve">, first by him </w:t>
      </w:r>
      <w:proofErr w:type="spellStart"/>
      <w:r w:rsidRPr="003037D2">
        <w:rPr>
          <w:rFonts w:ascii="Garamond" w:eastAsia="Calibri" w:hAnsi="Garamond" w:cs="Times New Roman"/>
        </w:rPr>
        <w:t>conceyved</w:t>
      </w:r>
      <w:proofErr w:type="spellEnd"/>
      <w:r w:rsidRPr="003037D2">
        <w:rPr>
          <w:rFonts w:ascii="Garamond" w:eastAsia="Calibri" w:hAnsi="Garamond" w:cs="Times New Roman"/>
        </w:rPr>
        <w:t xml:space="preserve"> and pronounced.</w:t>
      </w:r>
      <w:r w:rsidRPr="003037D2">
        <w:rPr>
          <w:rFonts w:ascii="Garamond" w:eastAsia="Calibri" w:hAnsi="Garamond" w:cs="Times New Roman"/>
          <w:vertAlign w:val="superscript"/>
        </w:rPr>
        <w:footnoteReference w:id="464"/>
      </w:r>
    </w:p>
    <w:p w14:paraId="6B24DD8E" w14:textId="77777777"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The experience of feeling these words to be one’s own allows a person to see themselves as ‘the very man that… first </w:t>
      </w:r>
      <w:proofErr w:type="spellStart"/>
      <w:r w:rsidRPr="003037D2">
        <w:rPr>
          <w:rFonts w:ascii="Garamond" w:eastAsia="Calibri" w:hAnsi="Garamond" w:cs="Times New Roman"/>
        </w:rPr>
        <w:t>spake</w:t>
      </w:r>
      <w:proofErr w:type="spellEnd"/>
      <w:r w:rsidRPr="003037D2">
        <w:rPr>
          <w:rFonts w:ascii="Garamond" w:eastAsia="Calibri" w:hAnsi="Garamond" w:cs="Times New Roman"/>
        </w:rPr>
        <w:t xml:space="preserve"> them’, making them more didactically and emotionally effective. As with the Psalms, the repetition of religious commonplaces at once allows for the reader to imagine themselves in conversation with a timeless God, whilst building up the words’ incantatory powers. Speaking of the repetition of prayer, FitzGerald states that prayer is a cumulative act, ‘whether performed in an individual or a communal setting, its scene of address is a collective one distributed over time… An imagined collectivity of persons unknown to one another prays this same prayer as a practice of cultural memory’.</w:t>
      </w:r>
      <w:r w:rsidRPr="003037D2">
        <w:rPr>
          <w:rFonts w:ascii="Garamond" w:eastAsia="Calibri" w:hAnsi="Garamond" w:cs="Times New Roman"/>
          <w:vertAlign w:val="superscript"/>
        </w:rPr>
        <w:footnoteReference w:id="465"/>
      </w:r>
      <w:r w:rsidRPr="003037D2">
        <w:rPr>
          <w:rFonts w:ascii="Garamond" w:eastAsia="Calibri" w:hAnsi="Garamond" w:cs="Times New Roman"/>
        </w:rPr>
        <w:t xml:space="preserve"> The repetition of commonplaces similarly works to build up a practice of cultural memory over time, a ‘collective one distributed over time’.  </w:t>
      </w:r>
    </w:p>
    <w:p w14:paraId="00548BD9" w14:textId="77777777" w:rsidR="00162224" w:rsidRPr="003037D2" w:rsidRDefault="00162224" w:rsidP="00162224">
      <w:pPr>
        <w:spacing w:line="360" w:lineRule="auto"/>
        <w:rPr>
          <w:rFonts w:ascii="Garamond" w:eastAsia="Calibri" w:hAnsi="Garamond" w:cs="Times New Roman"/>
        </w:rPr>
      </w:pPr>
    </w:p>
    <w:p w14:paraId="4685AFAA" w14:textId="586B32F2"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A commonplace book is a collection of quotations arranged under topic headings, often taken from classical authors with the purpose of being used as the basis for effective argumentation or as a guide for moral training. In the early modern period, commonplace books were essential ‘information-retrieval system(s)’ for those trained in grammar schools.</w:t>
      </w:r>
      <w:r w:rsidRPr="003037D2">
        <w:rPr>
          <w:rFonts w:ascii="Garamond" w:eastAsia="Calibri" w:hAnsi="Garamond" w:cs="Times New Roman"/>
          <w:vertAlign w:val="superscript"/>
        </w:rPr>
        <w:footnoteReference w:id="466"/>
      </w:r>
      <w:r w:rsidRPr="003037D2">
        <w:rPr>
          <w:rFonts w:ascii="Garamond" w:eastAsia="Calibri" w:hAnsi="Garamond" w:cs="Times New Roman"/>
        </w:rPr>
        <w:t xml:space="preserve"> The idea of dividing knowledge into useful ‘topics’ originated in Aristotle’s </w:t>
      </w:r>
      <w:r w:rsidRPr="003037D2">
        <w:rPr>
          <w:rFonts w:ascii="Garamond" w:eastAsia="Calibri" w:hAnsi="Garamond" w:cs="Times New Roman"/>
          <w:i/>
        </w:rPr>
        <w:t xml:space="preserve">Topics, </w:t>
      </w:r>
      <w:r w:rsidRPr="003037D2">
        <w:rPr>
          <w:rFonts w:ascii="Garamond" w:eastAsia="Calibri" w:hAnsi="Garamond" w:cs="Times New Roman"/>
        </w:rPr>
        <w:t xml:space="preserve">and was developed by Cicero in </w:t>
      </w:r>
      <w:r w:rsidRPr="003037D2">
        <w:rPr>
          <w:rFonts w:ascii="Garamond" w:eastAsia="Calibri" w:hAnsi="Garamond" w:cs="Times New Roman"/>
          <w:i/>
        </w:rPr>
        <w:t xml:space="preserve">De </w:t>
      </w:r>
      <w:proofErr w:type="spellStart"/>
      <w:r w:rsidRPr="003037D2">
        <w:rPr>
          <w:rFonts w:ascii="Garamond" w:eastAsia="Calibri" w:hAnsi="Garamond" w:cs="Times New Roman"/>
          <w:i/>
        </w:rPr>
        <w:t>Invention</w:t>
      </w:r>
      <w:r w:rsidR="00805301" w:rsidRPr="003037D2">
        <w:rPr>
          <w:rFonts w:ascii="Garamond" w:eastAsia="Calibri" w:hAnsi="Garamond" w:cs="Times New Roman"/>
          <w:i/>
        </w:rPr>
        <w:t>e</w:t>
      </w:r>
      <w:proofErr w:type="spellEnd"/>
      <w:r w:rsidRPr="003037D2">
        <w:rPr>
          <w:rFonts w:ascii="Garamond" w:eastAsia="Calibri" w:hAnsi="Garamond" w:cs="Times New Roman"/>
          <w:i/>
        </w:rPr>
        <w:t xml:space="preserve">. </w:t>
      </w:r>
      <w:r w:rsidRPr="003037D2">
        <w:rPr>
          <w:rFonts w:ascii="Garamond" w:eastAsia="Calibri" w:hAnsi="Garamond" w:cs="Times New Roman"/>
        </w:rPr>
        <w:t xml:space="preserve">Cicero described ‘the places where arguments are to be found’ as </w:t>
      </w:r>
      <w:proofErr w:type="spellStart"/>
      <w:r w:rsidRPr="003037D2">
        <w:rPr>
          <w:rFonts w:ascii="Garamond" w:eastAsia="Calibri" w:hAnsi="Garamond" w:cs="Times New Roman"/>
          <w:i/>
        </w:rPr>
        <w:t>sedes</w:t>
      </w:r>
      <w:proofErr w:type="spellEnd"/>
      <w:r w:rsidRPr="003037D2">
        <w:rPr>
          <w:rFonts w:ascii="Garamond" w:eastAsia="Calibri" w:hAnsi="Garamond" w:cs="Times New Roman"/>
          <w:i/>
        </w:rPr>
        <w:t xml:space="preserve"> </w:t>
      </w:r>
      <w:r w:rsidRPr="003037D2">
        <w:rPr>
          <w:rFonts w:ascii="Garamond" w:eastAsia="Calibri" w:hAnsi="Garamond" w:cs="Times New Roman"/>
        </w:rPr>
        <w:t>(dwelling places) and a claimed that dividing an argument into subjects was an essential part of rhetoric.</w:t>
      </w:r>
      <w:r w:rsidRPr="003037D2">
        <w:rPr>
          <w:rFonts w:ascii="Garamond" w:eastAsia="Calibri" w:hAnsi="Garamond" w:cs="Times New Roman"/>
          <w:vertAlign w:val="superscript"/>
        </w:rPr>
        <w:footnoteReference w:id="467"/>
      </w:r>
      <w:r w:rsidRPr="003037D2">
        <w:rPr>
          <w:rFonts w:ascii="Garamond" w:eastAsia="Calibri" w:hAnsi="Garamond" w:cs="Times New Roman"/>
        </w:rPr>
        <w:t xml:space="preserve"> Following this, Quintilian proposed that commonplaces, or </w:t>
      </w:r>
      <w:proofErr w:type="spellStart"/>
      <w:r w:rsidRPr="003037D2">
        <w:rPr>
          <w:rFonts w:ascii="Garamond" w:eastAsia="Calibri" w:hAnsi="Garamond" w:cs="Times New Roman"/>
        </w:rPr>
        <w:t>generalised</w:t>
      </w:r>
      <w:proofErr w:type="spellEnd"/>
      <w:r w:rsidRPr="003037D2">
        <w:rPr>
          <w:rFonts w:ascii="Garamond" w:eastAsia="Calibri" w:hAnsi="Garamond" w:cs="Times New Roman"/>
        </w:rPr>
        <w:t xml:space="preserve"> moral lessons, were an essential </w:t>
      </w:r>
      <w:r w:rsidRPr="003037D2">
        <w:rPr>
          <w:rFonts w:ascii="Garamond" w:eastAsia="Calibri" w:hAnsi="Garamond" w:cs="Times New Roman"/>
        </w:rPr>
        <w:lastRenderedPageBreak/>
        <w:t>part of education, providing a moral theme that could then be amplified via rhetoric. Quintilian’s teachings on memory were of particular interest for later Renaissance readers, proposing that to achieve great powers of oratory, students must learn quotations that they themselves have written down.</w:t>
      </w:r>
      <w:r w:rsidRPr="003037D2">
        <w:rPr>
          <w:rFonts w:ascii="Garamond" w:eastAsia="Calibri" w:hAnsi="Garamond" w:cs="Times New Roman"/>
          <w:vertAlign w:val="superscript"/>
        </w:rPr>
        <w:footnoteReference w:id="468"/>
      </w:r>
      <w:r w:rsidRPr="003037D2">
        <w:rPr>
          <w:rFonts w:ascii="Garamond" w:eastAsia="Calibri" w:hAnsi="Garamond" w:cs="Times New Roman"/>
        </w:rPr>
        <w:t xml:space="preserve"> These ideas were further developed by Seneca and Boethius, who combined the teachings of both Aristotle and Cicero on the use of </w:t>
      </w:r>
      <w:r w:rsidRPr="003037D2">
        <w:rPr>
          <w:rFonts w:ascii="Garamond" w:eastAsia="Calibri" w:hAnsi="Garamond" w:cs="Times New Roman"/>
          <w:i/>
        </w:rPr>
        <w:t xml:space="preserve">loci, </w:t>
      </w:r>
      <w:r w:rsidRPr="003037D2">
        <w:rPr>
          <w:rFonts w:ascii="Garamond" w:eastAsia="Calibri" w:hAnsi="Garamond" w:cs="Times New Roman"/>
        </w:rPr>
        <w:t>but who also attempted to define the ways in which dialectic and rhetoric differed. Se</w:t>
      </w:r>
      <w:r w:rsidR="00805301" w:rsidRPr="003037D2">
        <w:rPr>
          <w:rFonts w:ascii="Garamond" w:eastAsia="Calibri" w:hAnsi="Garamond" w:cs="Times New Roman"/>
        </w:rPr>
        <w:t>n</w:t>
      </w:r>
      <w:r w:rsidRPr="003037D2">
        <w:rPr>
          <w:rFonts w:ascii="Garamond" w:eastAsia="Calibri" w:hAnsi="Garamond" w:cs="Times New Roman"/>
        </w:rPr>
        <w:t xml:space="preserve">eca </w:t>
      </w:r>
      <w:proofErr w:type="spellStart"/>
      <w:r w:rsidRPr="003037D2">
        <w:rPr>
          <w:rFonts w:ascii="Garamond" w:eastAsia="Calibri" w:hAnsi="Garamond" w:cs="Times New Roman"/>
        </w:rPr>
        <w:t>amd</w:t>
      </w:r>
      <w:proofErr w:type="spellEnd"/>
      <w:r w:rsidRPr="003037D2">
        <w:rPr>
          <w:rFonts w:ascii="Garamond" w:eastAsia="Calibri" w:hAnsi="Garamond" w:cs="Times New Roman"/>
        </w:rPr>
        <w:t xml:space="preserve"> Boethius suggest that dialectic addresses subjects in a general, abstract manner, as </w:t>
      </w:r>
      <w:r w:rsidRPr="003037D2">
        <w:rPr>
          <w:rFonts w:ascii="Garamond" w:eastAsia="Calibri" w:hAnsi="Garamond" w:cs="Times New Roman"/>
          <w:i/>
        </w:rPr>
        <w:t xml:space="preserve">theses, </w:t>
      </w:r>
      <w:r w:rsidRPr="003037D2">
        <w:rPr>
          <w:rFonts w:ascii="Garamond" w:eastAsia="Calibri" w:hAnsi="Garamond" w:cs="Times New Roman"/>
        </w:rPr>
        <w:t xml:space="preserve">whilst rhetoric deals with </w:t>
      </w:r>
      <w:proofErr w:type="spellStart"/>
      <w:r w:rsidRPr="003037D2">
        <w:rPr>
          <w:rFonts w:ascii="Garamond" w:eastAsia="Calibri" w:hAnsi="Garamond" w:cs="Times New Roman"/>
          <w:i/>
        </w:rPr>
        <w:t>hypothesies</w:t>
      </w:r>
      <w:proofErr w:type="spellEnd"/>
      <w:r w:rsidRPr="003037D2">
        <w:rPr>
          <w:rFonts w:ascii="Garamond" w:eastAsia="Calibri" w:hAnsi="Garamond" w:cs="Times New Roman"/>
          <w:i/>
        </w:rPr>
        <w:t xml:space="preserve">, </w:t>
      </w:r>
      <w:r w:rsidRPr="003037D2">
        <w:rPr>
          <w:rFonts w:ascii="Garamond" w:eastAsia="Calibri" w:hAnsi="Garamond" w:cs="Times New Roman"/>
        </w:rPr>
        <w:t xml:space="preserve">questions that are rooted in a </w:t>
      </w:r>
      <w:proofErr w:type="gramStart"/>
      <w:r w:rsidRPr="003037D2">
        <w:rPr>
          <w:rFonts w:ascii="Garamond" w:eastAsia="Calibri" w:hAnsi="Garamond" w:cs="Times New Roman"/>
        </w:rPr>
        <w:t>particular case</w:t>
      </w:r>
      <w:proofErr w:type="gramEnd"/>
      <w:r w:rsidRPr="003037D2">
        <w:rPr>
          <w:rFonts w:ascii="Garamond" w:eastAsia="Calibri" w:hAnsi="Garamond" w:cs="Times New Roman"/>
        </w:rPr>
        <w:t>, time or place.</w:t>
      </w:r>
      <w:r w:rsidRPr="003037D2">
        <w:rPr>
          <w:rFonts w:ascii="Garamond" w:eastAsia="Calibri" w:hAnsi="Garamond" w:cs="Times New Roman"/>
          <w:vertAlign w:val="superscript"/>
        </w:rPr>
        <w:footnoteReference w:id="469"/>
      </w:r>
      <w:r w:rsidRPr="003037D2">
        <w:rPr>
          <w:rFonts w:ascii="Garamond" w:eastAsia="Calibri" w:hAnsi="Garamond" w:cs="Times New Roman"/>
        </w:rPr>
        <w:t xml:space="preserve"> </w:t>
      </w:r>
    </w:p>
    <w:p w14:paraId="11B0F091" w14:textId="77777777" w:rsidR="00162224" w:rsidRPr="003037D2" w:rsidRDefault="00162224" w:rsidP="00162224">
      <w:pPr>
        <w:spacing w:line="360" w:lineRule="auto"/>
        <w:ind w:firstLine="360"/>
        <w:rPr>
          <w:rFonts w:ascii="Garamond" w:eastAsia="Calibri" w:hAnsi="Garamond" w:cs="Times New Roman"/>
        </w:rPr>
      </w:pPr>
    </w:p>
    <w:p w14:paraId="4C09AA70" w14:textId="3B9E27D0" w:rsidR="00162224" w:rsidRPr="003037D2" w:rsidRDefault="00162224" w:rsidP="004F590E">
      <w:pPr>
        <w:spacing w:line="360" w:lineRule="auto"/>
        <w:ind w:firstLine="720"/>
        <w:rPr>
          <w:rFonts w:ascii="Garamond" w:eastAsia="Calibri" w:hAnsi="Garamond" w:cs="Times New Roman"/>
        </w:rPr>
      </w:pPr>
      <w:r w:rsidRPr="003037D2">
        <w:rPr>
          <w:rFonts w:ascii="Garamond" w:eastAsia="Calibri" w:hAnsi="Garamond" w:cs="Times New Roman"/>
        </w:rPr>
        <w:t xml:space="preserve">During the medieval period, the policy of collecting together these sayings for moral guidance or help in constructing an argument began to develop, with </w:t>
      </w:r>
      <w:r w:rsidRPr="003037D2">
        <w:rPr>
          <w:rFonts w:ascii="Garamond" w:eastAsia="Calibri" w:hAnsi="Garamond" w:cs="Times New Roman"/>
          <w:i/>
        </w:rPr>
        <w:t xml:space="preserve">florilegia </w:t>
      </w:r>
      <w:r w:rsidRPr="003037D2">
        <w:rPr>
          <w:rFonts w:ascii="Garamond" w:eastAsia="Calibri" w:hAnsi="Garamond" w:cs="Times New Roman"/>
        </w:rPr>
        <w:t xml:space="preserve">collecting together extracts from classical authors, or </w:t>
      </w:r>
      <w:proofErr w:type="spellStart"/>
      <w:r w:rsidRPr="003037D2">
        <w:rPr>
          <w:rFonts w:ascii="Garamond" w:eastAsia="Calibri" w:hAnsi="Garamond" w:cs="Times New Roman"/>
          <w:i/>
        </w:rPr>
        <w:t>flores</w:t>
      </w:r>
      <w:proofErr w:type="spellEnd"/>
      <w:r w:rsidRPr="003037D2">
        <w:rPr>
          <w:rFonts w:ascii="Garamond" w:eastAsia="Calibri" w:hAnsi="Garamond" w:cs="Times New Roman"/>
          <w:i/>
        </w:rPr>
        <w:t xml:space="preserve"> </w:t>
      </w:r>
      <w:proofErr w:type="spellStart"/>
      <w:r w:rsidRPr="003037D2">
        <w:rPr>
          <w:rFonts w:ascii="Garamond" w:eastAsia="Calibri" w:hAnsi="Garamond" w:cs="Times New Roman"/>
          <w:i/>
        </w:rPr>
        <w:t>philosophum</w:t>
      </w:r>
      <w:proofErr w:type="spellEnd"/>
      <w:r w:rsidRPr="003037D2">
        <w:rPr>
          <w:rFonts w:ascii="Garamond" w:eastAsia="Calibri" w:hAnsi="Garamond" w:cs="Times New Roman"/>
          <w:i/>
        </w:rPr>
        <w:t xml:space="preserve"> </w:t>
      </w:r>
      <w:r w:rsidRPr="003037D2">
        <w:rPr>
          <w:rFonts w:ascii="Garamond" w:eastAsia="Calibri" w:hAnsi="Garamond" w:cs="Times New Roman"/>
        </w:rPr>
        <w:t>(flowers of philosophy) in large volumes, taking quotations from plays, prose and poetry.</w:t>
      </w:r>
      <w:r w:rsidRPr="003037D2">
        <w:rPr>
          <w:rFonts w:ascii="Garamond" w:eastAsia="Calibri" w:hAnsi="Garamond" w:cs="Times New Roman"/>
          <w:vertAlign w:val="superscript"/>
        </w:rPr>
        <w:footnoteReference w:id="470"/>
      </w:r>
      <w:r w:rsidRPr="003037D2">
        <w:rPr>
          <w:rFonts w:ascii="Garamond" w:eastAsia="Calibri" w:hAnsi="Garamond" w:cs="Times New Roman"/>
        </w:rPr>
        <w:t xml:space="preserve"> The twelfth century John of Salisbury reassured his readers that those with ‘good minds’ would be capable of selecting what is useful to them in their readings, ‘some things a good mind will instinctively evacuate, others it will digest to nourish its moral life and its command of language’.</w:t>
      </w:r>
      <w:r w:rsidRPr="003037D2">
        <w:rPr>
          <w:rFonts w:ascii="Garamond" w:eastAsia="Calibri" w:hAnsi="Garamond" w:cs="Times New Roman"/>
          <w:vertAlign w:val="superscript"/>
        </w:rPr>
        <w:footnoteReference w:id="471"/>
      </w:r>
      <w:r w:rsidRPr="003037D2">
        <w:rPr>
          <w:rFonts w:ascii="Garamond" w:eastAsia="Calibri" w:hAnsi="Garamond" w:cs="Times New Roman"/>
        </w:rPr>
        <w:t xml:space="preserve"> This process of selection was cemented as a crucial element of humanist practice by the publication of Agricola’s </w:t>
      </w:r>
      <w:r w:rsidRPr="003037D2">
        <w:rPr>
          <w:rFonts w:ascii="Garamond" w:eastAsia="Calibri" w:hAnsi="Garamond" w:cs="Times New Roman"/>
          <w:i/>
        </w:rPr>
        <w:t xml:space="preserve">De </w:t>
      </w:r>
      <w:proofErr w:type="spellStart"/>
      <w:r w:rsidRPr="003037D2">
        <w:rPr>
          <w:rFonts w:ascii="Garamond" w:eastAsia="Calibri" w:hAnsi="Garamond" w:cs="Times New Roman"/>
          <w:i/>
        </w:rPr>
        <w:t>Invention</w:t>
      </w:r>
      <w:r w:rsidR="00805301" w:rsidRPr="003037D2">
        <w:rPr>
          <w:rFonts w:ascii="Garamond" w:eastAsia="Calibri" w:hAnsi="Garamond" w:cs="Times New Roman"/>
          <w:i/>
        </w:rPr>
        <w:t>e</w:t>
      </w:r>
      <w:proofErr w:type="spellEnd"/>
      <w:r w:rsidRPr="003037D2">
        <w:rPr>
          <w:rFonts w:ascii="Garamond" w:eastAsia="Calibri" w:hAnsi="Garamond" w:cs="Times New Roman"/>
          <w:i/>
        </w:rPr>
        <w:t xml:space="preserve"> </w:t>
      </w:r>
      <w:proofErr w:type="spellStart"/>
      <w:r w:rsidRPr="003037D2">
        <w:rPr>
          <w:rFonts w:ascii="Garamond" w:eastAsia="Calibri" w:hAnsi="Garamond" w:cs="Times New Roman"/>
          <w:i/>
        </w:rPr>
        <w:t>Dialectica</w:t>
      </w:r>
      <w:proofErr w:type="spellEnd"/>
      <w:r w:rsidRPr="003037D2">
        <w:rPr>
          <w:rFonts w:ascii="Garamond" w:eastAsia="Calibri" w:hAnsi="Garamond" w:cs="Times New Roman"/>
          <w:i/>
        </w:rPr>
        <w:t xml:space="preserve">, </w:t>
      </w:r>
      <w:r w:rsidRPr="003037D2">
        <w:rPr>
          <w:rFonts w:ascii="Garamond" w:eastAsia="Calibri" w:hAnsi="Garamond" w:cs="Times New Roman"/>
        </w:rPr>
        <w:t xml:space="preserve">first printed in 1515 and followed by a definitive edition in 1539. </w:t>
      </w:r>
      <w:r w:rsidRPr="003037D2">
        <w:rPr>
          <w:rFonts w:ascii="Garamond" w:eastAsia="Calibri" w:hAnsi="Garamond" w:cs="Times New Roman"/>
          <w:i/>
        </w:rPr>
        <w:t xml:space="preserve">De </w:t>
      </w:r>
      <w:proofErr w:type="spellStart"/>
      <w:r w:rsidRPr="003037D2">
        <w:rPr>
          <w:rFonts w:ascii="Garamond" w:eastAsia="Calibri" w:hAnsi="Garamond" w:cs="Times New Roman"/>
          <w:i/>
        </w:rPr>
        <w:t>Invention</w:t>
      </w:r>
      <w:r w:rsidR="00805301" w:rsidRPr="003037D2">
        <w:rPr>
          <w:rFonts w:ascii="Garamond" w:eastAsia="Calibri" w:hAnsi="Garamond" w:cs="Times New Roman"/>
          <w:i/>
        </w:rPr>
        <w:t>e</w:t>
      </w:r>
      <w:proofErr w:type="spellEnd"/>
      <w:r w:rsidRPr="003037D2">
        <w:rPr>
          <w:rFonts w:ascii="Garamond" w:eastAsia="Calibri" w:hAnsi="Garamond" w:cs="Times New Roman"/>
          <w:i/>
        </w:rPr>
        <w:t xml:space="preserve"> </w:t>
      </w:r>
      <w:r w:rsidRPr="003037D2">
        <w:rPr>
          <w:rFonts w:ascii="Garamond" w:eastAsia="Calibri" w:hAnsi="Garamond" w:cs="Times New Roman"/>
        </w:rPr>
        <w:t>offered a series of steps to help the reader become a better philosopher, and indeed a better person, stating that ‘neither does this discipline train only the tongue, merely supplying fluency to the speaker; rather, it seems to provide the soul with foresight and to clear the way to proper counsel’.</w:t>
      </w:r>
      <w:r w:rsidRPr="003037D2">
        <w:rPr>
          <w:rFonts w:ascii="Garamond" w:eastAsia="Calibri" w:hAnsi="Garamond" w:cs="Times New Roman"/>
          <w:vertAlign w:val="superscript"/>
        </w:rPr>
        <w:footnoteReference w:id="472"/>
      </w:r>
      <w:r w:rsidRPr="003037D2">
        <w:rPr>
          <w:rFonts w:ascii="Garamond" w:eastAsia="Calibri" w:hAnsi="Garamond" w:cs="Times New Roman"/>
        </w:rPr>
        <w:t xml:space="preserve"> Agricola proscribed a system of training, collecting information in notebooks under one of ‘twenty f</w:t>
      </w:r>
      <w:r w:rsidR="00805301" w:rsidRPr="003037D2">
        <w:rPr>
          <w:rFonts w:ascii="Garamond" w:eastAsia="Calibri" w:hAnsi="Garamond" w:cs="Times New Roman"/>
        </w:rPr>
        <w:t>o</w:t>
      </w:r>
      <w:r w:rsidRPr="003037D2">
        <w:rPr>
          <w:rFonts w:ascii="Garamond" w:eastAsia="Calibri" w:hAnsi="Garamond" w:cs="Times New Roman"/>
        </w:rPr>
        <w:t>ur places w</w:t>
      </w:r>
      <w:r w:rsidR="00805301" w:rsidRPr="003037D2">
        <w:rPr>
          <w:rFonts w:ascii="Garamond" w:eastAsia="Calibri" w:hAnsi="Garamond" w:cs="Times New Roman"/>
        </w:rPr>
        <w:t>h</w:t>
      </w:r>
      <w:r w:rsidRPr="003037D2">
        <w:rPr>
          <w:rFonts w:ascii="Garamond" w:eastAsia="Calibri" w:hAnsi="Garamond" w:cs="Times New Roman"/>
        </w:rPr>
        <w:t xml:space="preserve">ere an argument </w:t>
      </w:r>
      <w:r w:rsidR="00805301" w:rsidRPr="003037D2">
        <w:rPr>
          <w:rFonts w:ascii="Garamond" w:eastAsia="Calibri" w:hAnsi="Garamond" w:cs="Times New Roman"/>
        </w:rPr>
        <w:t>m</w:t>
      </w:r>
      <w:r w:rsidRPr="003037D2">
        <w:rPr>
          <w:rFonts w:ascii="Garamond" w:eastAsia="Calibri" w:hAnsi="Garamond" w:cs="Times New Roman"/>
        </w:rPr>
        <w:t>ay be produced on any aspect of any subject’.</w:t>
      </w:r>
      <w:r w:rsidRPr="003037D2">
        <w:rPr>
          <w:rFonts w:ascii="Garamond" w:eastAsia="Calibri" w:hAnsi="Garamond" w:cs="Times New Roman"/>
          <w:vertAlign w:val="superscript"/>
        </w:rPr>
        <w:footnoteReference w:id="473"/>
      </w:r>
      <w:r w:rsidRPr="003037D2">
        <w:rPr>
          <w:rFonts w:ascii="Garamond" w:eastAsia="Calibri" w:hAnsi="Garamond" w:cs="Times New Roman"/>
        </w:rPr>
        <w:t xml:space="preserve"> By the 1530s, the commonplace book had become a mainstay of the school room, and was entrenched in public practice. Both manuscript and printed commonplace books were widespread.</w:t>
      </w:r>
      <w:r w:rsidRPr="003037D2">
        <w:rPr>
          <w:rFonts w:ascii="Garamond" w:eastAsia="Calibri" w:hAnsi="Garamond" w:cs="Times New Roman"/>
          <w:vertAlign w:val="superscript"/>
        </w:rPr>
        <w:footnoteReference w:id="474"/>
      </w:r>
      <w:r w:rsidRPr="003037D2">
        <w:rPr>
          <w:rFonts w:ascii="Garamond" w:eastAsia="Calibri" w:hAnsi="Garamond" w:cs="Times New Roman"/>
        </w:rPr>
        <w:t xml:space="preserve"> An anonymous seventeenth-</w:t>
      </w:r>
      <w:r w:rsidRPr="003037D2">
        <w:rPr>
          <w:rFonts w:ascii="Garamond" w:eastAsia="Calibri" w:hAnsi="Garamond" w:cs="Times New Roman"/>
        </w:rPr>
        <w:lastRenderedPageBreak/>
        <w:t>century treatise on commonplace books cautioned its reader, ‘</w:t>
      </w:r>
      <w:proofErr w:type="spellStart"/>
      <w:r w:rsidRPr="003037D2">
        <w:rPr>
          <w:rFonts w:ascii="Garamond" w:eastAsia="Calibri" w:hAnsi="Garamond" w:cs="Times New Roman"/>
        </w:rPr>
        <w:t>legere</w:t>
      </w:r>
      <w:proofErr w:type="spellEnd"/>
      <w:r w:rsidRPr="003037D2">
        <w:rPr>
          <w:rFonts w:ascii="Garamond" w:eastAsia="Calibri" w:hAnsi="Garamond" w:cs="Times New Roman"/>
        </w:rPr>
        <w:t xml:space="preserve">, et nihil </w:t>
      </w:r>
      <w:proofErr w:type="spellStart"/>
      <w:r w:rsidRPr="003037D2">
        <w:rPr>
          <w:rFonts w:ascii="Garamond" w:eastAsia="Calibri" w:hAnsi="Garamond" w:cs="Times New Roman"/>
        </w:rPr>
        <w:t>colligere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est</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negligere</w:t>
      </w:r>
      <w:proofErr w:type="spellEnd"/>
      <w:r w:rsidRPr="003037D2">
        <w:rPr>
          <w:rFonts w:ascii="Garamond" w:eastAsia="Calibri" w:hAnsi="Garamond" w:cs="Times New Roman"/>
        </w:rPr>
        <w:t>’ (it is a waste to read without taking notes).</w:t>
      </w:r>
      <w:r w:rsidRPr="003037D2">
        <w:rPr>
          <w:rFonts w:ascii="Garamond" w:eastAsia="Calibri" w:hAnsi="Garamond" w:cs="Times New Roman"/>
          <w:vertAlign w:val="superscript"/>
        </w:rPr>
        <w:footnoteReference w:id="475"/>
      </w:r>
      <w:r w:rsidRPr="003037D2">
        <w:rPr>
          <w:rFonts w:ascii="Garamond" w:eastAsia="Calibri" w:hAnsi="Garamond" w:cs="Times New Roman"/>
        </w:rPr>
        <w:t xml:space="preserve"> Ann Moss describes these books as ‘symptomatic of the mind-set of educated Western Europeans from the early years of the sixteenth century up until the last decade or so of the seventeenth’.</w:t>
      </w:r>
      <w:r w:rsidRPr="003037D2">
        <w:rPr>
          <w:rFonts w:ascii="Garamond" w:eastAsia="Calibri" w:hAnsi="Garamond" w:cs="Times New Roman"/>
          <w:vertAlign w:val="superscript"/>
        </w:rPr>
        <w:footnoteReference w:id="476"/>
      </w:r>
      <w:r w:rsidRPr="003037D2">
        <w:rPr>
          <w:rFonts w:ascii="Garamond" w:eastAsia="Calibri" w:hAnsi="Garamond" w:cs="Times New Roman"/>
        </w:rPr>
        <w:t xml:space="preserve">  Moss argues that the techniques of both reading and writing prescribed by the commonplace book inextricably shaped the way in which early modern people thought and constructed arguments. Similarly, Mary Thomas </w:t>
      </w:r>
      <w:r w:rsidR="00805301" w:rsidRPr="003037D2">
        <w:rPr>
          <w:rFonts w:ascii="Garamond" w:eastAsia="Calibri" w:hAnsi="Garamond" w:cs="Times New Roman"/>
        </w:rPr>
        <w:t xml:space="preserve">Crane </w:t>
      </w:r>
      <w:r w:rsidRPr="003037D2">
        <w:rPr>
          <w:rFonts w:ascii="Garamond" w:eastAsia="Calibri" w:hAnsi="Garamond" w:cs="Times New Roman"/>
        </w:rPr>
        <w:t>argues that the collection of quotes from classical and patristic sources formed both individual’s understanding of particular topic and controlled most forms of literary and political discourse in sixteenth-century England.</w:t>
      </w:r>
      <w:r w:rsidRPr="003037D2">
        <w:rPr>
          <w:rFonts w:ascii="Garamond" w:eastAsia="Calibri" w:hAnsi="Garamond" w:cs="Times New Roman"/>
          <w:vertAlign w:val="superscript"/>
        </w:rPr>
        <w:footnoteReference w:id="477"/>
      </w:r>
      <w:r w:rsidRPr="003037D2">
        <w:rPr>
          <w:rFonts w:ascii="Garamond" w:eastAsia="Calibri" w:hAnsi="Garamond" w:cs="Times New Roman"/>
        </w:rPr>
        <w:t xml:space="preserve"> Readers and writers who had received a similar education could draw on a storehouse of quotations, understood and </w:t>
      </w:r>
      <w:proofErr w:type="spellStart"/>
      <w:r w:rsidRPr="003037D2">
        <w:rPr>
          <w:rFonts w:ascii="Garamond" w:eastAsia="Calibri" w:hAnsi="Garamond" w:cs="Times New Roman"/>
        </w:rPr>
        <w:t>recognised</w:t>
      </w:r>
      <w:proofErr w:type="spellEnd"/>
      <w:r w:rsidRPr="003037D2">
        <w:rPr>
          <w:rFonts w:ascii="Garamond" w:eastAsia="Calibri" w:hAnsi="Garamond" w:cs="Times New Roman"/>
        </w:rPr>
        <w:t xml:space="preserve"> by all, which would be publicly circulated and exchanged in printed commonplace books. As the seventeenth</w:t>
      </w:r>
      <w:r w:rsidR="004F590E">
        <w:rPr>
          <w:rFonts w:ascii="Garamond" w:eastAsia="Calibri" w:hAnsi="Garamond" w:cs="Times New Roman"/>
        </w:rPr>
        <w:t xml:space="preserve"> </w:t>
      </w:r>
      <w:r w:rsidRPr="003037D2">
        <w:rPr>
          <w:rFonts w:ascii="Garamond" w:eastAsia="Calibri" w:hAnsi="Garamond" w:cs="Times New Roman"/>
        </w:rPr>
        <w:t xml:space="preserve">century progressed, plays and poetry were often printed with marginalia directing the reader’s attention towards passages that could be fruitfully </w:t>
      </w:r>
      <w:proofErr w:type="spellStart"/>
      <w:r w:rsidRPr="003037D2">
        <w:rPr>
          <w:rFonts w:ascii="Garamond" w:eastAsia="Calibri" w:hAnsi="Garamond" w:cs="Times New Roman"/>
        </w:rPr>
        <w:t>commonplaced</w:t>
      </w:r>
      <w:proofErr w:type="spellEnd"/>
      <w:r w:rsidRPr="003037D2">
        <w:rPr>
          <w:rFonts w:ascii="Garamond" w:eastAsia="Calibri" w:hAnsi="Garamond" w:cs="Times New Roman"/>
        </w:rPr>
        <w:t xml:space="preserve">. The practice of commonplacing has long been associated with a model of pragmatic reading: the diligent student scanning texts in search of key passages to support their own arguments. This has, however, in more recent years been complicated by both Heidi </w:t>
      </w:r>
      <w:proofErr w:type="spellStart"/>
      <w:r w:rsidRPr="003037D2">
        <w:rPr>
          <w:rFonts w:ascii="Garamond" w:eastAsia="Calibri" w:hAnsi="Garamond" w:cs="Times New Roman"/>
        </w:rPr>
        <w:t>Brayman-Hackel</w:t>
      </w:r>
      <w:proofErr w:type="spellEnd"/>
      <w:r w:rsidRPr="003037D2">
        <w:rPr>
          <w:rFonts w:ascii="Garamond" w:eastAsia="Calibri" w:hAnsi="Garamond" w:cs="Times New Roman"/>
        </w:rPr>
        <w:t xml:space="preserve"> and Fred </w:t>
      </w:r>
      <w:proofErr w:type="spellStart"/>
      <w:r w:rsidRPr="003037D2">
        <w:rPr>
          <w:rFonts w:ascii="Garamond" w:eastAsia="Calibri" w:hAnsi="Garamond" w:cs="Times New Roman"/>
        </w:rPr>
        <w:t>Schurink</w:t>
      </w:r>
      <w:proofErr w:type="spellEnd"/>
      <w:r w:rsidRPr="003037D2">
        <w:rPr>
          <w:rFonts w:ascii="Garamond" w:eastAsia="Calibri" w:hAnsi="Garamond" w:cs="Times New Roman"/>
        </w:rPr>
        <w:t>, who have taken issue with this division, examining individual manuscript commonplace books and miscellanies to find evidence that even when readers sought to extract wisdom, they could still maintain an interest in, and take pleasure in, the works as a whole.</w:t>
      </w:r>
      <w:r w:rsidRPr="003037D2">
        <w:rPr>
          <w:rFonts w:ascii="Garamond" w:eastAsia="Calibri" w:hAnsi="Garamond" w:cs="Times New Roman"/>
          <w:vertAlign w:val="superscript"/>
        </w:rPr>
        <w:footnoteReference w:id="478"/>
      </w:r>
      <w:r w:rsidRPr="003037D2">
        <w:rPr>
          <w:rFonts w:ascii="Garamond" w:eastAsia="Calibri" w:hAnsi="Garamond" w:cs="Times New Roman"/>
        </w:rPr>
        <w:t xml:space="preserve"> Commonplace books were of particular use to preachers, who needed to create widely accessible dilations on scripture on a weekly basis in their sermons.</w:t>
      </w:r>
      <w:r w:rsidRPr="003037D2">
        <w:rPr>
          <w:rFonts w:ascii="Garamond" w:eastAsia="Calibri" w:hAnsi="Garamond" w:cs="Times New Roman"/>
          <w:vertAlign w:val="superscript"/>
        </w:rPr>
        <w:footnoteReference w:id="479"/>
      </w:r>
      <w:r w:rsidRPr="003037D2">
        <w:rPr>
          <w:rFonts w:ascii="Garamond" w:eastAsia="Calibri" w:hAnsi="Garamond" w:cs="Times New Roman"/>
        </w:rPr>
        <w:t xml:space="preserve"> Perhaps counterintuitively, commonplaces are both general, for all time, and suited for a particular place and time. Renaissance rhetoric training aimed to provide a storehouse of knowledge that could be drawn on at the opportune (</w:t>
      </w:r>
      <w:proofErr w:type="spellStart"/>
      <w:r w:rsidRPr="003037D2">
        <w:rPr>
          <w:rFonts w:ascii="Garamond" w:eastAsia="Calibri" w:hAnsi="Garamond" w:cs="Times New Roman"/>
          <w:i/>
        </w:rPr>
        <w:t>kairotic</w:t>
      </w:r>
      <w:proofErr w:type="spellEnd"/>
      <w:r w:rsidRPr="003037D2">
        <w:rPr>
          <w:rFonts w:ascii="Garamond" w:eastAsia="Calibri" w:hAnsi="Garamond" w:cs="Times New Roman"/>
        </w:rPr>
        <w:t xml:space="preserve">) moment. </w:t>
      </w:r>
    </w:p>
    <w:p w14:paraId="29DC7AA2" w14:textId="77777777" w:rsidR="00162224" w:rsidRPr="003037D2" w:rsidRDefault="00162224" w:rsidP="00162224">
      <w:pPr>
        <w:spacing w:line="360" w:lineRule="auto"/>
        <w:ind w:firstLine="720"/>
        <w:rPr>
          <w:rFonts w:ascii="Garamond" w:eastAsia="Calibri" w:hAnsi="Garamond" w:cs="Times New Roman"/>
        </w:rPr>
      </w:pPr>
    </w:p>
    <w:p w14:paraId="20F42B9E" w14:textId="4A0D2022"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Some of the material features of </w:t>
      </w:r>
      <w:r w:rsidRPr="003037D2">
        <w:rPr>
          <w:rFonts w:ascii="Garamond" w:eastAsia="Calibri" w:hAnsi="Garamond" w:cs="Times New Roman"/>
          <w:i/>
          <w:iCs/>
        </w:rPr>
        <w:t xml:space="preserve">The Temple </w:t>
      </w:r>
      <w:r w:rsidRPr="003037D2">
        <w:rPr>
          <w:rFonts w:ascii="Garamond" w:eastAsia="Calibri" w:hAnsi="Garamond" w:cs="Times New Roman"/>
        </w:rPr>
        <w:t xml:space="preserve">suggest that it can be read as akin to a commonplace book. Anne Ferry argues that Herbert put much effort into reworking the titles and order of the poems in </w:t>
      </w:r>
      <w:r w:rsidRPr="003037D2">
        <w:rPr>
          <w:rFonts w:ascii="Garamond" w:eastAsia="Calibri" w:hAnsi="Garamond" w:cs="Times New Roman"/>
          <w:i/>
        </w:rPr>
        <w:t>The Temple</w:t>
      </w:r>
      <w:r w:rsidRPr="003037D2">
        <w:rPr>
          <w:rFonts w:ascii="Garamond" w:eastAsia="Calibri" w:hAnsi="Garamond" w:cs="Times New Roman"/>
        </w:rPr>
        <w:t>, saying that ‘we have evidence… that these formulations must have been carefully considered over a long period spanned by two authoritative manuscripts’.</w:t>
      </w:r>
      <w:r w:rsidRPr="003037D2">
        <w:rPr>
          <w:rFonts w:ascii="Garamond" w:eastAsia="Calibri" w:hAnsi="Garamond" w:cs="Times New Roman"/>
          <w:vertAlign w:val="superscript"/>
        </w:rPr>
        <w:footnoteReference w:id="480"/>
      </w:r>
      <w:r w:rsidRPr="003037D2">
        <w:rPr>
          <w:rFonts w:ascii="Garamond" w:eastAsia="Calibri" w:hAnsi="Garamond" w:cs="Times New Roman"/>
        </w:rPr>
        <w:t xml:space="preserve"> These two manuscripts are now held in the Bodleian Library, Oxford, and the Doctor Williams Library, London respectively. The Williams manuscript (MS Jones B 62) collects together some of Herbert’s poems in both Latin and English. Many of the poems in </w:t>
      </w:r>
      <w:r w:rsidRPr="003037D2">
        <w:rPr>
          <w:rFonts w:ascii="Garamond" w:eastAsia="Calibri" w:hAnsi="Garamond" w:cs="Times New Roman"/>
          <w:i/>
          <w:iCs/>
        </w:rPr>
        <w:t xml:space="preserve">The Temple </w:t>
      </w:r>
      <w:r w:rsidRPr="003037D2">
        <w:rPr>
          <w:rFonts w:ascii="Garamond" w:eastAsia="Calibri" w:hAnsi="Garamond" w:cs="Times New Roman"/>
        </w:rPr>
        <w:t xml:space="preserve">are absent but the basic structure of the volume can be seen, divided into ‘The Church-porch’, ‘The Church’ and ‘The Church Militant’ with blank pages between each section. However, Wilcox suggests that ‘it is not clear that they were necessarily intended as one </w:t>
      </w:r>
      <w:proofErr w:type="spellStart"/>
      <w:r w:rsidRPr="003037D2">
        <w:rPr>
          <w:rFonts w:ascii="Garamond" w:eastAsia="Calibri" w:hAnsi="Garamond" w:cs="Times New Roman"/>
        </w:rPr>
        <w:t>tripartie</w:t>
      </w:r>
      <w:proofErr w:type="spellEnd"/>
      <w:r w:rsidRPr="003037D2">
        <w:rPr>
          <w:rFonts w:ascii="Garamond" w:eastAsia="Calibri" w:hAnsi="Garamond" w:cs="Times New Roman"/>
        </w:rPr>
        <w:t xml:space="preserve"> work’.</w:t>
      </w:r>
      <w:r w:rsidRPr="003037D2">
        <w:rPr>
          <w:rFonts w:ascii="Garamond" w:eastAsia="Calibri" w:hAnsi="Garamond" w:cs="Times New Roman"/>
          <w:vertAlign w:val="superscript"/>
        </w:rPr>
        <w:footnoteReference w:id="481"/>
      </w:r>
      <w:r w:rsidRPr="003037D2">
        <w:rPr>
          <w:rFonts w:ascii="Garamond" w:eastAsia="Calibri" w:hAnsi="Garamond" w:cs="Times New Roman"/>
        </w:rPr>
        <w:t xml:space="preserve">  The manuscript bears witness to Herbert’s careful process of creation, with several corrections and alterations made in his own hand. Critics have debated if the entire volume, or just the corrections are autograph copies.</w:t>
      </w:r>
      <w:r w:rsidRPr="003037D2">
        <w:rPr>
          <w:rFonts w:ascii="Garamond" w:eastAsia="Calibri" w:hAnsi="Garamond" w:cs="Times New Roman"/>
          <w:vertAlign w:val="superscript"/>
        </w:rPr>
        <w:footnoteReference w:id="482"/>
      </w:r>
      <w:r w:rsidRPr="003037D2">
        <w:rPr>
          <w:rFonts w:ascii="Garamond" w:eastAsia="Calibri" w:hAnsi="Garamond" w:cs="Times New Roman"/>
        </w:rPr>
        <w:t xml:space="preserve"> Indeed, Greg Miller has suggested that the manuscript may have been produced as a group </w:t>
      </w:r>
      <w:proofErr w:type="spellStart"/>
      <w:r w:rsidRPr="003037D2">
        <w:rPr>
          <w:rFonts w:ascii="Garamond" w:eastAsia="Calibri" w:hAnsi="Garamond" w:cs="Times New Roman"/>
        </w:rPr>
        <w:t>endeavour</w:t>
      </w:r>
      <w:proofErr w:type="spellEnd"/>
      <w:r w:rsidRPr="003037D2">
        <w:rPr>
          <w:rFonts w:ascii="Garamond" w:eastAsia="Calibri" w:hAnsi="Garamond" w:cs="Times New Roman"/>
        </w:rPr>
        <w:t xml:space="preserve"> at Little </w:t>
      </w:r>
      <w:proofErr w:type="spellStart"/>
      <w:r w:rsidRPr="003037D2">
        <w:rPr>
          <w:rFonts w:ascii="Garamond" w:eastAsia="Calibri" w:hAnsi="Garamond" w:cs="Times New Roman"/>
        </w:rPr>
        <w:t>Gidding</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483"/>
      </w:r>
      <w:r w:rsidRPr="003037D2">
        <w:rPr>
          <w:rFonts w:ascii="Garamond" w:eastAsia="Calibri" w:hAnsi="Garamond" w:cs="Times New Roman"/>
        </w:rPr>
        <w:t xml:space="preserve"> Despite this debate, critics generally agree that the volume was produced earlier than the Bodleian (MS Tanner 307) manuscript, with the poems contained likely written in the period from 1615-1625, irrespective of when the manuscript itself was compiled. The Bodleian manuscript is a precisely presented manuscript prepared by the women of Little </w:t>
      </w:r>
      <w:proofErr w:type="spellStart"/>
      <w:r w:rsidRPr="003037D2">
        <w:rPr>
          <w:rFonts w:ascii="Garamond" w:eastAsia="Calibri" w:hAnsi="Garamond" w:cs="Times New Roman"/>
        </w:rPr>
        <w:t>Gidding</w:t>
      </w:r>
      <w:proofErr w:type="spellEnd"/>
      <w:r w:rsidRPr="003037D2">
        <w:rPr>
          <w:rFonts w:ascii="Garamond" w:eastAsia="Calibri" w:hAnsi="Garamond" w:cs="Times New Roman"/>
        </w:rPr>
        <w:t>. As Ferry states, this sort of ‘meticulously ordered manuscript’ was highly unusual for the time. She extrapolates from this evidence that He</w:t>
      </w:r>
      <w:r w:rsidR="0038415A" w:rsidRPr="003037D2">
        <w:rPr>
          <w:rFonts w:ascii="Garamond" w:eastAsia="Calibri" w:hAnsi="Garamond" w:cs="Times New Roman"/>
        </w:rPr>
        <w:t>r</w:t>
      </w:r>
      <w:r w:rsidRPr="003037D2">
        <w:rPr>
          <w:rFonts w:ascii="Garamond" w:eastAsia="Calibri" w:hAnsi="Garamond" w:cs="Times New Roman"/>
        </w:rPr>
        <w:t>bert had begun to think of his manuscript volume as a book early in its development.</w:t>
      </w:r>
      <w:r w:rsidRPr="003037D2">
        <w:rPr>
          <w:rFonts w:ascii="Garamond" w:eastAsia="Calibri" w:hAnsi="Garamond" w:cs="Times New Roman"/>
          <w:vertAlign w:val="superscript"/>
        </w:rPr>
        <w:footnoteReference w:id="484"/>
      </w:r>
    </w:p>
    <w:p w14:paraId="2A3E3537" w14:textId="77777777" w:rsidR="00EF635C" w:rsidRPr="003037D2" w:rsidRDefault="00EF635C" w:rsidP="00162224">
      <w:pPr>
        <w:spacing w:line="360" w:lineRule="auto"/>
        <w:ind w:firstLine="720"/>
        <w:rPr>
          <w:rFonts w:ascii="Garamond" w:eastAsia="Calibri" w:hAnsi="Garamond" w:cs="Times New Roman"/>
        </w:rPr>
      </w:pPr>
    </w:p>
    <w:p w14:paraId="523A160D" w14:textId="32D81F97"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In the </w:t>
      </w:r>
      <w:r w:rsidRPr="003037D2">
        <w:rPr>
          <w:rFonts w:ascii="Garamond" w:eastAsia="Calibri" w:hAnsi="Garamond" w:cs="Times New Roman"/>
          <w:i/>
        </w:rPr>
        <w:t xml:space="preserve">Life, </w:t>
      </w:r>
      <w:r w:rsidRPr="003037D2">
        <w:rPr>
          <w:rFonts w:ascii="Garamond" w:eastAsia="Calibri" w:hAnsi="Garamond" w:cs="Times New Roman"/>
        </w:rPr>
        <w:t xml:space="preserve">Walton similarly </w:t>
      </w:r>
      <w:proofErr w:type="spellStart"/>
      <w:r w:rsidRPr="003037D2">
        <w:rPr>
          <w:rFonts w:ascii="Garamond" w:eastAsia="Calibri" w:hAnsi="Garamond" w:cs="Times New Roman"/>
        </w:rPr>
        <w:t>emphasises</w:t>
      </w:r>
      <w:proofErr w:type="spellEnd"/>
      <w:r w:rsidRPr="003037D2">
        <w:rPr>
          <w:rFonts w:ascii="Garamond" w:eastAsia="Calibri" w:hAnsi="Garamond" w:cs="Times New Roman"/>
        </w:rPr>
        <w:t xml:space="preserve"> the book’s completeness, reassuring his readers that the manuscript was sent by the dying Herbert straight to Little </w:t>
      </w:r>
      <w:proofErr w:type="spellStart"/>
      <w:r w:rsidRPr="003037D2">
        <w:rPr>
          <w:rFonts w:ascii="Garamond" w:eastAsia="Calibri" w:hAnsi="Garamond" w:cs="Times New Roman"/>
        </w:rPr>
        <w:t>Gidding</w:t>
      </w:r>
      <w:proofErr w:type="spellEnd"/>
      <w:r w:rsidRPr="003037D2">
        <w:rPr>
          <w:rFonts w:ascii="Garamond" w:eastAsia="Calibri" w:hAnsi="Garamond" w:cs="Times New Roman"/>
        </w:rPr>
        <w:t xml:space="preserve">. There it was passed into the care of Nicholas </w:t>
      </w:r>
      <w:proofErr w:type="spellStart"/>
      <w:r w:rsidRPr="003037D2">
        <w:rPr>
          <w:rFonts w:ascii="Garamond" w:eastAsia="Calibri" w:hAnsi="Garamond" w:cs="Times New Roman"/>
        </w:rPr>
        <w:t>Ferrar</w:t>
      </w:r>
      <w:proofErr w:type="spellEnd"/>
      <w:r w:rsidRPr="003037D2">
        <w:rPr>
          <w:rFonts w:ascii="Garamond" w:eastAsia="Calibri" w:hAnsi="Garamond" w:cs="Times New Roman"/>
        </w:rPr>
        <w:t xml:space="preserve">, and from there to the printers at Cambridge, where it was ‘printed, without diminution or addition of a syllable, since it was delivered into the hands of </w:t>
      </w:r>
      <w:proofErr w:type="spellStart"/>
      <w:r w:rsidRPr="003037D2">
        <w:rPr>
          <w:rFonts w:ascii="Garamond" w:eastAsia="Calibri" w:hAnsi="Garamond" w:cs="Times New Roman"/>
        </w:rPr>
        <w:t>Mr</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Duncon</w:t>
      </w:r>
      <w:proofErr w:type="spellEnd"/>
      <w:r w:rsidRPr="003037D2">
        <w:rPr>
          <w:rFonts w:ascii="Garamond" w:eastAsia="Calibri" w:hAnsi="Garamond" w:cs="Times New Roman"/>
        </w:rPr>
        <w:t xml:space="preserve">, save only that </w:t>
      </w:r>
      <w:proofErr w:type="spellStart"/>
      <w:r w:rsidRPr="003037D2">
        <w:rPr>
          <w:rFonts w:ascii="Garamond" w:eastAsia="Calibri" w:hAnsi="Garamond" w:cs="Times New Roman"/>
        </w:rPr>
        <w:t>Mr</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Ferrar</w:t>
      </w:r>
      <w:proofErr w:type="spellEnd"/>
      <w:r w:rsidRPr="003037D2">
        <w:rPr>
          <w:rFonts w:ascii="Garamond" w:eastAsia="Calibri" w:hAnsi="Garamond" w:cs="Times New Roman"/>
        </w:rPr>
        <w:t xml:space="preserve"> had added that excellent preface’. It is the value of the poetry and Herbert’s own status that allowed the </w:t>
      </w:r>
      <w:r w:rsidRPr="003037D2">
        <w:rPr>
          <w:rFonts w:ascii="Garamond" w:eastAsia="Calibri" w:hAnsi="Garamond" w:cs="Times New Roman"/>
        </w:rPr>
        <w:lastRenderedPageBreak/>
        <w:t xml:space="preserve">book to be so preserved; Walton reports that the ‘Vice-Chancellor would by no means allow the two so much noted verses, </w:t>
      </w:r>
      <w:r w:rsidR="00161762">
        <w:rPr>
          <w:rFonts w:ascii="Garamond" w:eastAsia="Calibri" w:hAnsi="Garamond" w:cs="Times New Roman"/>
        </w:rPr>
        <w:t>“</w:t>
      </w:r>
      <w:r w:rsidRPr="003037D2">
        <w:rPr>
          <w:rFonts w:ascii="Garamond" w:eastAsia="Calibri" w:hAnsi="Garamond" w:cs="Times New Roman"/>
        </w:rPr>
        <w:t>Religion stands a Tip-toe in our Land/ Ready to pass to the American Strand</w:t>
      </w:r>
      <w:r w:rsidR="00161762">
        <w:rPr>
          <w:rFonts w:ascii="Garamond" w:eastAsia="Calibri" w:hAnsi="Garamond" w:cs="Times New Roman"/>
        </w:rPr>
        <w:t>”’</w:t>
      </w:r>
      <w:r w:rsidRPr="003037D2">
        <w:rPr>
          <w:rFonts w:ascii="Garamond" w:eastAsia="Calibri" w:hAnsi="Garamond" w:cs="Times New Roman"/>
        </w:rPr>
        <w:t xml:space="preserve"> to be printed. Following a good deal of discussion, the Vice-Chancellor allowed the entire volume to be licensed, stating that he ‘knew </w:t>
      </w:r>
      <w:proofErr w:type="spellStart"/>
      <w:r w:rsidRPr="003037D2">
        <w:rPr>
          <w:rFonts w:ascii="Garamond" w:eastAsia="Calibri" w:hAnsi="Garamond" w:cs="Times New Roman"/>
        </w:rPr>
        <w:t>Mr</w:t>
      </w:r>
      <w:proofErr w:type="spellEnd"/>
      <w:r w:rsidRPr="003037D2">
        <w:rPr>
          <w:rFonts w:ascii="Garamond" w:eastAsia="Calibri" w:hAnsi="Garamond" w:cs="Times New Roman"/>
        </w:rPr>
        <w:t xml:space="preserve"> Herbert well and know that he had many heavenly expectations and was a divine poet’, but hopefully would not be considered ‘an inspired prophet’.</w:t>
      </w:r>
      <w:r w:rsidRPr="003037D2">
        <w:rPr>
          <w:rFonts w:ascii="Garamond" w:eastAsia="Calibri" w:hAnsi="Garamond" w:cs="Times New Roman"/>
          <w:vertAlign w:val="superscript"/>
        </w:rPr>
        <w:footnoteReference w:id="485"/>
      </w:r>
      <w:r w:rsidRPr="003037D2">
        <w:rPr>
          <w:rFonts w:ascii="Garamond" w:eastAsia="Calibri" w:hAnsi="Garamond" w:cs="Times New Roman"/>
        </w:rPr>
        <w:t xml:space="preserve"> Once thought to be the ‘little Book’ which He</w:t>
      </w:r>
      <w:r w:rsidR="00814479">
        <w:rPr>
          <w:rFonts w:ascii="Garamond" w:eastAsia="Calibri" w:hAnsi="Garamond" w:cs="Times New Roman"/>
        </w:rPr>
        <w:t>r</w:t>
      </w:r>
      <w:r w:rsidRPr="003037D2">
        <w:rPr>
          <w:rFonts w:ascii="Garamond" w:eastAsia="Calibri" w:hAnsi="Garamond" w:cs="Times New Roman"/>
        </w:rPr>
        <w:t>bert handed over on his deathbed, more recently critics have noted that this is unlikely to be the case as the Bodleian manuscript is a folio. Instead, it has been suggested that the ‘little Book’ was the precursor of the Bodleian manuscript.</w:t>
      </w:r>
      <w:r w:rsidRPr="003037D2">
        <w:rPr>
          <w:rFonts w:ascii="Garamond" w:eastAsia="Calibri" w:hAnsi="Garamond" w:cs="Times New Roman"/>
          <w:vertAlign w:val="superscript"/>
        </w:rPr>
        <w:footnoteReference w:id="486"/>
      </w:r>
      <w:r w:rsidRPr="003037D2">
        <w:rPr>
          <w:rFonts w:ascii="Garamond" w:eastAsia="Calibri" w:hAnsi="Garamond" w:cs="Times New Roman"/>
        </w:rPr>
        <w:t xml:space="preserve">  Irrespective of the precise relationship between the texts, it has been generally agreed that the 1633 edition of </w:t>
      </w:r>
      <w:r w:rsidRPr="003037D2">
        <w:rPr>
          <w:rFonts w:ascii="Garamond" w:eastAsia="Calibri" w:hAnsi="Garamond" w:cs="Times New Roman"/>
          <w:i/>
          <w:iCs/>
        </w:rPr>
        <w:t xml:space="preserve">The Temple, </w:t>
      </w:r>
      <w:r w:rsidRPr="003037D2">
        <w:rPr>
          <w:rFonts w:ascii="Garamond" w:eastAsia="Calibri" w:hAnsi="Garamond" w:cs="Times New Roman"/>
        </w:rPr>
        <w:t>the work of the Cambridge University printers Thomas Buck and Roger Daniel, is one of the most meticulously well-</w:t>
      </w:r>
      <w:r w:rsidR="004F590E">
        <w:rPr>
          <w:rFonts w:ascii="Garamond" w:eastAsia="Calibri" w:hAnsi="Garamond" w:cs="Times New Roman"/>
        </w:rPr>
        <w:t xml:space="preserve">edited books of the seventeenth </w:t>
      </w:r>
      <w:r w:rsidRPr="003037D2">
        <w:rPr>
          <w:rFonts w:ascii="Garamond" w:eastAsia="Calibri" w:hAnsi="Garamond" w:cs="Times New Roman"/>
        </w:rPr>
        <w:t xml:space="preserve">century. </w:t>
      </w:r>
    </w:p>
    <w:p w14:paraId="196CDFC5" w14:textId="77777777" w:rsidR="00162224" w:rsidRPr="003037D2" w:rsidRDefault="00162224" w:rsidP="00162224">
      <w:pPr>
        <w:spacing w:line="360" w:lineRule="auto"/>
        <w:ind w:firstLine="720"/>
        <w:rPr>
          <w:rFonts w:ascii="Garamond" w:eastAsia="Calibri" w:hAnsi="Garamond" w:cs="Times New Roman"/>
        </w:rPr>
      </w:pPr>
    </w:p>
    <w:p w14:paraId="00D14364" w14:textId="21F08F33"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i/>
        </w:rPr>
        <w:t xml:space="preserve">The Temple </w:t>
      </w:r>
      <w:r w:rsidRPr="003037D2">
        <w:rPr>
          <w:rFonts w:ascii="Garamond" w:eastAsia="Calibri" w:hAnsi="Garamond" w:cs="Times New Roman"/>
        </w:rPr>
        <w:t xml:space="preserve">was a marked departure from works normally published by the Cambridge press. In the preceding fifty years, they had only produced one other book of poetry, by King’s College Fellow Giles Fletcher. The Cambridge catalogue mainly consisted of almanacs, grammars, books of theology and liturgical texts such as Bibles and psalters. Indeed, they had only received </w:t>
      </w:r>
      <w:proofErr w:type="spellStart"/>
      <w:r w:rsidRPr="003037D2">
        <w:rPr>
          <w:rFonts w:ascii="Garamond" w:eastAsia="Calibri" w:hAnsi="Garamond" w:cs="Times New Roman"/>
        </w:rPr>
        <w:t>licence</w:t>
      </w:r>
      <w:proofErr w:type="spellEnd"/>
      <w:r w:rsidRPr="003037D2">
        <w:rPr>
          <w:rFonts w:ascii="Garamond" w:eastAsia="Calibri" w:hAnsi="Garamond" w:cs="Times New Roman"/>
        </w:rPr>
        <w:t xml:space="preserve"> to print these liturgical works in 1629 after a protracted battle with the Company of Stationers. As Ramie </w:t>
      </w:r>
      <w:proofErr w:type="spellStart"/>
      <w:r w:rsidRPr="003037D2">
        <w:rPr>
          <w:rFonts w:ascii="Garamond" w:eastAsia="Calibri" w:hAnsi="Garamond" w:cs="Times New Roman"/>
        </w:rPr>
        <w:t>Targoff</w:t>
      </w:r>
      <w:proofErr w:type="spellEnd"/>
      <w:r w:rsidRPr="003037D2">
        <w:rPr>
          <w:rFonts w:ascii="Garamond" w:eastAsia="Calibri" w:hAnsi="Garamond" w:cs="Times New Roman"/>
        </w:rPr>
        <w:t xml:space="preserve"> states, ‘for printers interested in maintaining their hard-earned privilege of publishing sacred texts, all decisions to print non-liturgical devotional texts must have undergone enormous scrutiny’.</w:t>
      </w:r>
      <w:r w:rsidRPr="003037D2">
        <w:rPr>
          <w:rFonts w:ascii="Garamond" w:eastAsia="Calibri" w:hAnsi="Garamond" w:cs="Times New Roman"/>
          <w:vertAlign w:val="superscript"/>
        </w:rPr>
        <w:footnoteReference w:id="487"/>
      </w:r>
      <w:r w:rsidRPr="003037D2">
        <w:rPr>
          <w:rFonts w:ascii="Garamond" w:eastAsia="Calibri" w:hAnsi="Garamond" w:cs="Times New Roman"/>
        </w:rPr>
        <w:t xml:space="preserve"> Herbert’s was the only such book published by the Cambridge printers in 1633, and in the two </w:t>
      </w:r>
      <w:proofErr w:type="spellStart"/>
      <w:r w:rsidRPr="003037D2">
        <w:rPr>
          <w:rFonts w:ascii="Garamond" w:eastAsia="Calibri" w:hAnsi="Garamond" w:cs="Times New Roman"/>
        </w:rPr>
        <w:t>preceeding</w:t>
      </w:r>
      <w:proofErr w:type="spellEnd"/>
      <w:r w:rsidRPr="003037D2">
        <w:rPr>
          <w:rFonts w:ascii="Garamond" w:eastAsia="Calibri" w:hAnsi="Garamond" w:cs="Times New Roman"/>
        </w:rPr>
        <w:t xml:space="preserve"> years the only non-liturgical devotional texts printed were a book of Christian hospitality and a translation of some Protestant meditations. As Buck and Daniel were the printers with licenses to print liturgy, Herbert’s lyrics must have been seen as an apt companion.</w:t>
      </w:r>
      <w:r w:rsidRPr="003037D2">
        <w:rPr>
          <w:rFonts w:ascii="Garamond" w:eastAsia="Calibri" w:hAnsi="Garamond" w:cs="Times New Roman"/>
          <w:vertAlign w:val="superscript"/>
        </w:rPr>
        <w:footnoteReference w:id="488"/>
      </w:r>
      <w:r w:rsidRPr="003037D2">
        <w:rPr>
          <w:rFonts w:ascii="Garamond" w:eastAsia="Calibri" w:hAnsi="Garamond" w:cs="Times New Roman"/>
        </w:rPr>
        <w:t xml:space="preserve"> </w:t>
      </w:r>
      <w:proofErr w:type="spellStart"/>
      <w:r w:rsidRPr="003037D2">
        <w:rPr>
          <w:rFonts w:ascii="Garamond" w:eastAsia="Calibri" w:hAnsi="Garamond" w:cs="Times New Roman"/>
        </w:rPr>
        <w:t>Targoff</w:t>
      </w:r>
      <w:proofErr w:type="spellEnd"/>
      <w:r w:rsidRPr="003037D2">
        <w:rPr>
          <w:rFonts w:ascii="Garamond" w:eastAsia="Calibri" w:hAnsi="Garamond" w:cs="Times New Roman"/>
        </w:rPr>
        <w:t xml:space="preserve"> argues that the material properties of the 1633 text reinforce this suitability: Herbert’s personal life and </w:t>
      </w:r>
      <w:r w:rsidRPr="003037D2">
        <w:rPr>
          <w:rFonts w:ascii="Garamond" w:eastAsia="Calibri" w:hAnsi="Garamond" w:cs="Times New Roman"/>
        </w:rPr>
        <w:lastRenderedPageBreak/>
        <w:t xml:space="preserve">position is somewhat erased in the volume, as there are no commemorative or dedicatory materials, which likens the volume to contemporary prayer books. Similarly, the duodecimo size of the volume was a format normally seen in devotional texts, as it meant they could be carried in a pocket for easy reference. Finally, the decorative borders that pattern the 1633 </w:t>
      </w:r>
      <w:r w:rsidRPr="003037D2">
        <w:rPr>
          <w:rFonts w:ascii="Garamond" w:eastAsia="Calibri" w:hAnsi="Garamond" w:cs="Times New Roman"/>
          <w:i/>
        </w:rPr>
        <w:t xml:space="preserve">Temple </w:t>
      </w:r>
      <w:r w:rsidRPr="003037D2">
        <w:rPr>
          <w:rFonts w:ascii="Garamond" w:eastAsia="Calibri" w:hAnsi="Garamond" w:cs="Times New Roman"/>
        </w:rPr>
        <w:t xml:space="preserve">are the same as those used on the Cambridge edition of </w:t>
      </w:r>
      <w:r w:rsidR="00814479">
        <w:rPr>
          <w:rFonts w:ascii="Garamond" w:eastAsia="Calibri" w:hAnsi="Garamond" w:cs="Times New Roman"/>
          <w:i/>
          <w:iCs/>
        </w:rPr>
        <w:t>Th</w:t>
      </w:r>
      <w:r w:rsidRPr="003037D2">
        <w:rPr>
          <w:rFonts w:ascii="Garamond" w:eastAsia="Calibri" w:hAnsi="Garamond" w:cs="Times New Roman"/>
          <w:i/>
          <w:iCs/>
        </w:rPr>
        <w:t xml:space="preserve">e </w:t>
      </w:r>
      <w:r w:rsidRPr="003037D2">
        <w:rPr>
          <w:rFonts w:ascii="Garamond" w:eastAsia="Calibri" w:hAnsi="Garamond" w:cs="Times New Roman"/>
          <w:i/>
        </w:rPr>
        <w:t xml:space="preserve">Book of Common Prayer, </w:t>
      </w:r>
      <w:r w:rsidRPr="003037D2">
        <w:rPr>
          <w:rFonts w:ascii="Garamond" w:eastAsia="Calibri" w:hAnsi="Garamond" w:cs="Times New Roman"/>
        </w:rPr>
        <w:t xml:space="preserve">and the poems are separated from one another by the same pilcrows used in the prayer book to divide the collects. Whilst it was common for printers to reuse woodcuts and printing devices from text to text, </w:t>
      </w:r>
      <w:r w:rsidRPr="003037D2">
        <w:rPr>
          <w:rFonts w:ascii="Garamond" w:eastAsia="Calibri" w:hAnsi="Garamond" w:cs="Times New Roman"/>
          <w:i/>
        </w:rPr>
        <w:t xml:space="preserve">The Temple </w:t>
      </w:r>
      <w:r w:rsidRPr="003037D2">
        <w:rPr>
          <w:rFonts w:ascii="Garamond" w:eastAsia="Calibri" w:hAnsi="Garamond" w:cs="Times New Roman"/>
        </w:rPr>
        <w:t>was the only volume of poetry to have these features.</w:t>
      </w:r>
      <w:r w:rsidRPr="003037D2">
        <w:rPr>
          <w:rFonts w:ascii="Garamond" w:eastAsia="Calibri" w:hAnsi="Garamond" w:cs="Times New Roman"/>
          <w:vertAlign w:val="superscript"/>
        </w:rPr>
        <w:footnoteReference w:id="489"/>
      </w:r>
      <w:r w:rsidRPr="003037D2">
        <w:rPr>
          <w:rFonts w:ascii="Garamond" w:eastAsia="Calibri" w:hAnsi="Garamond" w:cs="Times New Roman"/>
        </w:rPr>
        <w:t xml:space="preserve"> Matthew Brown presents evidence that religious readers often viewed texts as composed of fragments, to be read in both linear and non-linear ways.</w:t>
      </w:r>
      <w:r w:rsidRPr="003037D2">
        <w:rPr>
          <w:rFonts w:ascii="Garamond" w:eastAsia="Calibri" w:hAnsi="Garamond" w:cs="Times New Roman"/>
          <w:vertAlign w:val="superscript"/>
        </w:rPr>
        <w:footnoteReference w:id="490"/>
      </w:r>
      <w:r w:rsidRPr="003037D2">
        <w:rPr>
          <w:rFonts w:ascii="Garamond" w:eastAsia="Calibri" w:hAnsi="Garamond" w:cs="Times New Roman"/>
        </w:rPr>
        <w:t xml:space="preserve">  For its first readers, </w:t>
      </w:r>
      <w:r w:rsidRPr="003037D2">
        <w:rPr>
          <w:rFonts w:ascii="Garamond" w:eastAsia="Calibri" w:hAnsi="Garamond" w:cs="Times New Roman"/>
          <w:i/>
        </w:rPr>
        <w:t xml:space="preserve">The Temple </w:t>
      </w:r>
      <w:r w:rsidRPr="003037D2">
        <w:rPr>
          <w:rFonts w:ascii="Garamond" w:eastAsia="Calibri" w:hAnsi="Garamond" w:cs="Times New Roman"/>
        </w:rPr>
        <w:t>was visually and physically reminiscent of the liturgical texts they read daily. We can posit that this similarity would have encouraged them to read the volume in the same way that they would a devotional text: returning to it on a daily basis as a source of guidance and spiritual strength, which could either be dipped into at will, or read following a scheme of devotion.</w:t>
      </w:r>
    </w:p>
    <w:p w14:paraId="7712F6FE" w14:textId="77777777" w:rsidR="00162224" w:rsidRPr="003037D2" w:rsidRDefault="00162224" w:rsidP="00162224">
      <w:pPr>
        <w:spacing w:line="360" w:lineRule="auto"/>
        <w:ind w:firstLine="360"/>
        <w:rPr>
          <w:rFonts w:ascii="Garamond" w:eastAsia="Calibri" w:hAnsi="Garamond" w:cs="Times New Roman"/>
        </w:rPr>
      </w:pPr>
      <w:r w:rsidRPr="003037D2">
        <w:rPr>
          <w:rFonts w:ascii="Garamond" w:eastAsia="Calibri" w:hAnsi="Garamond" w:cs="Times New Roman"/>
        </w:rPr>
        <w:t xml:space="preserve"> </w:t>
      </w:r>
      <w:r w:rsidRPr="003037D2">
        <w:rPr>
          <w:rFonts w:ascii="Garamond" w:eastAsia="Calibri" w:hAnsi="Garamond" w:cs="Times New Roman"/>
          <w:highlight w:val="yellow"/>
        </w:rPr>
        <w:t xml:space="preserve"> </w:t>
      </w:r>
    </w:p>
    <w:p w14:paraId="2D9A59CC" w14:textId="77777777"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As Kathleen Lynch has discussed, Herbert provides a model of biblical reading within his poetry. She declares that ‘</w:t>
      </w:r>
      <w:r w:rsidRPr="003037D2">
        <w:rPr>
          <w:rFonts w:ascii="Garamond" w:eastAsia="Calibri" w:hAnsi="Garamond" w:cs="Times New Roman"/>
          <w:i/>
        </w:rPr>
        <w:t>The Temple</w:t>
      </w:r>
      <w:r w:rsidRPr="003037D2">
        <w:rPr>
          <w:rFonts w:ascii="Garamond" w:eastAsia="Calibri" w:hAnsi="Garamond" w:cs="Times New Roman"/>
        </w:rPr>
        <w:t>’s metatextual awareness of its own reading… is made explicit in the sonnets on ‘The Holy Scriptures’. Lynch suggests that these poems present a model of biblical reading that ‘transgress the boundaries of individual chapter and even books of the Bible’.</w:t>
      </w:r>
      <w:r w:rsidRPr="003037D2">
        <w:rPr>
          <w:rFonts w:ascii="Garamond" w:eastAsia="Calibri" w:hAnsi="Garamond" w:cs="Times New Roman"/>
          <w:vertAlign w:val="superscript"/>
        </w:rPr>
        <w:footnoteReference w:id="491"/>
      </w:r>
      <w:r w:rsidRPr="003037D2">
        <w:rPr>
          <w:rFonts w:ascii="Garamond" w:eastAsia="Calibri" w:hAnsi="Garamond" w:cs="Times New Roman"/>
        </w:rPr>
        <w:t xml:space="preserve"> In </w:t>
      </w:r>
      <w:proofErr w:type="gramStart"/>
      <w:r w:rsidRPr="003037D2">
        <w:rPr>
          <w:rFonts w:ascii="Garamond" w:eastAsia="Calibri" w:hAnsi="Garamond" w:cs="Times New Roman"/>
          <w:i/>
        </w:rPr>
        <w:t>The</w:t>
      </w:r>
      <w:proofErr w:type="gramEnd"/>
      <w:r w:rsidRPr="003037D2">
        <w:rPr>
          <w:rFonts w:ascii="Garamond" w:eastAsia="Calibri" w:hAnsi="Garamond" w:cs="Times New Roman"/>
          <w:i/>
        </w:rPr>
        <w:t xml:space="preserve"> Country Parson, </w:t>
      </w:r>
      <w:r w:rsidRPr="003037D2">
        <w:rPr>
          <w:rFonts w:ascii="Garamond" w:eastAsia="Calibri" w:hAnsi="Garamond" w:cs="Times New Roman"/>
        </w:rPr>
        <w:t>Herbert argues that ‘a diligent collation of Scripture with Scripture’ is a key part of a parson’s knowledge. He explains, ‘for all Truth being consonant to itself, and all being penned by one hand and the selfsame Spirit, it cannot be but that an industrious and judicious comparing of place with place must be a singular help for the right understanding of the Scriptures’.</w:t>
      </w:r>
      <w:r w:rsidRPr="003037D2">
        <w:rPr>
          <w:rFonts w:ascii="Garamond" w:eastAsia="Calibri" w:hAnsi="Garamond" w:cs="Times New Roman"/>
          <w:vertAlign w:val="superscript"/>
        </w:rPr>
        <w:footnoteReference w:id="492"/>
      </w:r>
      <w:r w:rsidRPr="003037D2">
        <w:rPr>
          <w:rFonts w:ascii="Garamond" w:eastAsia="Calibri" w:hAnsi="Garamond" w:cs="Times New Roman"/>
        </w:rPr>
        <w:t xml:space="preserve"> This process of mutual illumination is further developed in ‘The Holy Scriptures (II)’ where Herbert declares: </w:t>
      </w:r>
    </w:p>
    <w:p w14:paraId="147EBECC" w14:textId="77777777" w:rsidR="00162224" w:rsidRPr="003037D2" w:rsidRDefault="00162224" w:rsidP="00162224">
      <w:pPr>
        <w:ind w:left="1440" w:firstLine="720"/>
        <w:rPr>
          <w:rFonts w:ascii="Garamond" w:eastAsia="Calibri" w:hAnsi="Garamond" w:cs="Times New Roman"/>
        </w:rPr>
      </w:pPr>
      <w:r w:rsidRPr="003037D2">
        <w:rPr>
          <w:rFonts w:ascii="Garamond" w:eastAsia="Calibri" w:hAnsi="Garamond" w:cs="Times New Roman"/>
        </w:rPr>
        <w:t xml:space="preserve">O that I knew how all thy lights combine, </w:t>
      </w:r>
    </w:p>
    <w:p w14:paraId="5D6A5912" w14:textId="77777777" w:rsidR="00162224" w:rsidRPr="003037D2" w:rsidRDefault="00162224" w:rsidP="00162224">
      <w:pPr>
        <w:ind w:left="2160" w:firstLine="720"/>
        <w:rPr>
          <w:rFonts w:ascii="Garamond" w:eastAsia="Calibri" w:hAnsi="Garamond" w:cs="Times New Roman"/>
        </w:rPr>
      </w:pPr>
      <w:r w:rsidRPr="003037D2">
        <w:rPr>
          <w:rFonts w:ascii="Garamond" w:eastAsia="Calibri" w:hAnsi="Garamond" w:cs="Times New Roman"/>
        </w:rPr>
        <w:t xml:space="preserve">And configurations of their gory! </w:t>
      </w:r>
    </w:p>
    <w:p w14:paraId="53E7F3E2" w14:textId="77777777" w:rsidR="00162224" w:rsidRPr="003037D2" w:rsidRDefault="00162224" w:rsidP="00162224">
      <w:pPr>
        <w:ind w:left="2160" w:firstLine="720"/>
        <w:rPr>
          <w:rFonts w:ascii="Garamond" w:eastAsia="Calibri" w:hAnsi="Garamond" w:cs="Times New Roman"/>
        </w:rPr>
      </w:pPr>
      <w:r w:rsidRPr="003037D2">
        <w:rPr>
          <w:rFonts w:ascii="Garamond" w:eastAsia="Calibri" w:hAnsi="Garamond" w:cs="Times New Roman"/>
        </w:rPr>
        <w:t xml:space="preserve">Seeing not only how each verse doth shine, </w:t>
      </w:r>
    </w:p>
    <w:p w14:paraId="2F91553E" w14:textId="5B5519F0" w:rsidR="00667CD5" w:rsidRDefault="00162224" w:rsidP="00667CD5">
      <w:pPr>
        <w:ind w:left="1440" w:firstLine="720"/>
        <w:rPr>
          <w:rFonts w:ascii="Garamond" w:eastAsia="Calibri" w:hAnsi="Garamond" w:cs="Times New Roman"/>
        </w:rPr>
      </w:pPr>
      <w:r w:rsidRPr="003037D2">
        <w:rPr>
          <w:rFonts w:ascii="Garamond" w:eastAsia="Calibri" w:hAnsi="Garamond" w:cs="Times New Roman"/>
        </w:rPr>
        <w:t>But all the constellations of the story.</w:t>
      </w:r>
      <w:r w:rsidRPr="003037D2">
        <w:rPr>
          <w:rFonts w:ascii="Garamond" w:eastAsia="Calibri" w:hAnsi="Garamond" w:cs="Times New Roman"/>
          <w:vertAlign w:val="superscript"/>
        </w:rPr>
        <w:footnoteReference w:id="493"/>
      </w:r>
    </w:p>
    <w:p w14:paraId="6AD0E9C5" w14:textId="77777777" w:rsidR="00667CD5" w:rsidRDefault="00667CD5" w:rsidP="00667CD5">
      <w:pPr>
        <w:ind w:left="1440" w:firstLine="720"/>
        <w:rPr>
          <w:rFonts w:ascii="Garamond" w:eastAsia="Calibri" w:hAnsi="Garamond" w:cs="Times New Roman"/>
        </w:rPr>
      </w:pPr>
    </w:p>
    <w:p w14:paraId="1F5CCC95" w14:textId="442A8DDE"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lastRenderedPageBreak/>
        <w:t xml:space="preserve">It is in the combination of different verses that meaning is illuminated. Indeed, this imagery of the ‘constellations’ suggests the variety of connections that could be </w:t>
      </w:r>
      <w:proofErr w:type="gramStart"/>
      <w:r w:rsidRPr="003037D2">
        <w:rPr>
          <w:rFonts w:ascii="Garamond" w:eastAsia="Calibri" w:hAnsi="Garamond" w:cs="Times New Roman"/>
        </w:rPr>
        <w:t>made:</w:t>
      </w:r>
      <w:proofErr w:type="gramEnd"/>
      <w:r w:rsidRPr="003037D2">
        <w:rPr>
          <w:rFonts w:ascii="Garamond" w:eastAsia="Calibri" w:hAnsi="Garamond" w:cs="Times New Roman"/>
        </w:rPr>
        <w:t xml:space="preserve"> verses could be connected in traditional manners, following precedent, or new relationships could be drawn out by the individual reader, pairing unexpected items to create new meanings. Herbert continues ‘This verse marks that, and both do make a motion, / Unto a third, that ten leaves doth lie… These three make up some Christian’s destiny’. Herbert does not specify which verses he might be considering. Indeed, the very ‘destiny’ he invokes is entirely non-specific. The ‘Christian’ described here could be any man. Similarly, in ‘The Holy Scriptures (I)’ Herbert describes the heterogenous nature of the scriptures, ‘thou art a mass/ Of strange delights, where we may wish and take.’</w:t>
      </w:r>
      <w:r w:rsidRPr="003037D2">
        <w:rPr>
          <w:rFonts w:ascii="Garamond" w:eastAsia="Calibri" w:hAnsi="Garamond" w:cs="Times New Roman"/>
          <w:vertAlign w:val="superscript"/>
        </w:rPr>
        <w:footnoteReference w:id="494"/>
      </w:r>
      <w:r w:rsidRPr="003037D2">
        <w:rPr>
          <w:rFonts w:ascii="Garamond" w:eastAsia="Calibri" w:hAnsi="Garamond" w:cs="Times New Roman"/>
        </w:rPr>
        <w:t xml:space="preserve"> In Ferry’s reading, ‘The Holy Scriptures’ pair of poems become Herbert’s means of describing ‘the design of his own titles’. Under this schema, repeating titles for ‘dispersed’ poems ‘could aid readers to trace ‘configurations’ or ‘constellations’ in his ‘verse’ as they were trained to compare one biblical ‘verse’ with another in commonplace books.’</w:t>
      </w:r>
      <w:r w:rsidRPr="003037D2">
        <w:rPr>
          <w:rFonts w:ascii="Garamond" w:eastAsia="Calibri" w:hAnsi="Garamond" w:cs="Times New Roman"/>
          <w:vertAlign w:val="superscript"/>
        </w:rPr>
        <w:footnoteReference w:id="495"/>
      </w:r>
      <w:r w:rsidRPr="003037D2">
        <w:rPr>
          <w:rFonts w:ascii="Garamond" w:eastAsia="Calibri" w:hAnsi="Garamond" w:cs="Times New Roman"/>
        </w:rPr>
        <w:t xml:space="preserve"> </w:t>
      </w:r>
    </w:p>
    <w:p w14:paraId="46212208" w14:textId="77777777" w:rsidR="00162224" w:rsidRPr="003037D2" w:rsidRDefault="00162224" w:rsidP="00162224">
      <w:pPr>
        <w:spacing w:line="360" w:lineRule="auto"/>
        <w:rPr>
          <w:rFonts w:ascii="Garamond" w:eastAsia="Calibri" w:hAnsi="Garamond" w:cs="Times New Roman"/>
        </w:rPr>
      </w:pPr>
    </w:p>
    <w:p w14:paraId="002365B3" w14:textId="700DAA5C" w:rsidR="00162224" w:rsidRPr="003037D2" w:rsidRDefault="00162224" w:rsidP="00470D01">
      <w:pPr>
        <w:spacing w:line="360" w:lineRule="auto"/>
        <w:ind w:firstLine="720"/>
        <w:rPr>
          <w:rFonts w:ascii="Garamond" w:eastAsia="Calibri" w:hAnsi="Garamond" w:cs="Times New Roman"/>
        </w:rPr>
      </w:pPr>
      <w:r w:rsidRPr="003037D2">
        <w:rPr>
          <w:rFonts w:ascii="Garamond" w:eastAsia="Calibri" w:hAnsi="Garamond" w:cs="Times New Roman"/>
        </w:rPr>
        <w:t xml:space="preserve">This comparison of related ‘lights’ is not an imposed structure, but rather an exercise which the reader will themselves undergo, moving through the volume at their own volition. If the reader is encouraged to flick through the volume by following titles, between the five ‘Affliction’ poems for example, they are perhaps also expected to make other such links. Scanning the list of titles prompts other such ways of linking the poems – one could move from ‘The Flower’ to ‘The Posy’ to ‘The Wreath’; or read together the various poems named after types of music, ‘Antiphon’ (1 and 2), ‘Matins’, ‘Evensong’, ‘A True Hymn’, ‘A Dialogue Anthem’, ‘The Twenty-third Psalm’. These ostensibly related poems are dispersed throughout </w:t>
      </w:r>
      <w:r w:rsidRPr="003037D2">
        <w:rPr>
          <w:rFonts w:ascii="Garamond" w:eastAsia="Calibri" w:hAnsi="Garamond" w:cs="Times New Roman"/>
          <w:i/>
        </w:rPr>
        <w:t>T</w:t>
      </w:r>
      <w:r w:rsidRPr="003037D2">
        <w:rPr>
          <w:rFonts w:ascii="Garamond" w:eastAsia="Calibri" w:hAnsi="Garamond" w:cs="Times New Roman"/>
          <w:i/>
          <w:iCs/>
        </w:rPr>
        <w:t xml:space="preserve">he Temple, </w:t>
      </w:r>
      <w:r w:rsidRPr="003037D2">
        <w:rPr>
          <w:rFonts w:ascii="Garamond" w:eastAsia="Calibri" w:hAnsi="Garamond" w:cs="Times New Roman"/>
        </w:rPr>
        <w:t xml:space="preserve">forcing the reader to move from place to place in the volume, rather than simply moving through in a linear manner. Herbert’s emphasis on this segmented, rather than sequential, form of Biblical reading links him to the influential Humanist practice of commonplacing. </w:t>
      </w:r>
      <w:proofErr w:type="spellStart"/>
      <w:r w:rsidRPr="003037D2">
        <w:rPr>
          <w:rFonts w:ascii="Garamond" w:eastAsia="Calibri" w:hAnsi="Garamond" w:cs="Times New Roman"/>
        </w:rPr>
        <w:t>Herberts</w:t>
      </w:r>
      <w:proofErr w:type="spellEnd"/>
      <w:r w:rsidRPr="003037D2">
        <w:rPr>
          <w:rFonts w:ascii="Garamond" w:eastAsia="Calibri" w:hAnsi="Garamond" w:cs="Times New Roman"/>
        </w:rPr>
        <w:t xml:space="preserve"> lyrics will therefore be read in an occasional and recursive manner, rather than strictly sequentially. Discussing the sequential model of biblical reading that is presented in Fox’s </w:t>
      </w:r>
      <w:proofErr w:type="spellStart"/>
      <w:r w:rsidRPr="003037D2">
        <w:rPr>
          <w:rFonts w:ascii="Garamond" w:eastAsia="Calibri" w:hAnsi="Garamond" w:cs="Times New Roman"/>
          <w:i/>
        </w:rPr>
        <w:t>Actes</w:t>
      </w:r>
      <w:proofErr w:type="spellEnd"/>
      <w:r w:rsidRPr="003037D2">
        <w:rPr>
          <w:rFonts w:ascii="Garamond" w:eastAsia="Calibri" w:hAnsi="Garamond" w:cs="Times New Roman"/>
          <w:i/>
        </w:rPr>
        <w:t xml:space="preserve"> and Martyrs, </w:t>
      </w:r>
      <w:r w:rsidRPr="003037D2">
        <w:rPr>
          <w:rFonts w:ascii="Garamond" w:eastAsia="Calibri" w:hAnsi="Garamond" w:cs="Times New Roman"/>
        </w:rPr>
        <w:t xml:space="preserve">Chapman writes that sequential reading distances the reader from the Biblical past: ‘the biblical narrative and the experience of everyday life are </w:t>
      </w:r>
      <w:r w:rsidRPr="003037D2">
        <w:rPr>
          <w:rFonts w:ascii="Garamond" w:eastAsia="Calibri" w:hAnsi="Garamond" w:cs="Times New Roman"/>
        </w:rPr>
        <w:lastRenderedPageBreak/>
        <w:t>more detached from one another, each unspooling in a separate, linear manner’.</w:t>
      </w:r>
      <w:r w:rsidRPr="003037D2">
        <w:rPr>
          <w:rFonts w:ascii="Garamond" w:eastAsia="Calibri" w:hAnsi="Garamond" w:cs="Times New Roman"/>
          <w:vertAlign w:val="superscript"/>
        </w:rPr>
        <w:footnoteReference w:id="496"/>
      </w:r>
      <w:r w:rsidRPr="003037D2">
        <w:rPr>
          <w:rFonts w:ascii="Garamond" w:eastAsia="Calibri" w:hAnsi="Garamond" w:cs="Times New Roman"/>
        </w:rPr>
        <w:t xml:space="preserve"> In contrast, she argues that </w:t>
      </w:r>
      <w:r w:rsidR="008F16FC">
        <w:rPr>
          <w:rFonts w:ascii="Garamond" w:eastAsia="Calibri" w:hAnsi="Garamond" w:cs="Times New Roman"/>
          <w:i/>
          <w:iCs/>
        </w:rPr>
        <w:t>T</w:t>
      </w:r>
      <w:r w:rsidRPr="003037D2">
        <w:rPr>
          <w:rFonts w:ascii="Garamond" w:eastAsia="Calibri" w:hAnsi="Garamond" w:cs="Times New Roman"/>
          <w:i/>
          <w:iCs/>
        </w:rPr>
        <w:t>he</w:t>
      </w:r>
      <w:r w:rsidRPr="003037D2">
        <w:rPr>
          <w:rFonts w:ascii="Garamond" w:eastAsia="Calibri" w:hAnsi="Garamond" w:cs="Times New Roman"/>
        </w:rPr>
        <w:t xml:space="preserve"> </w:t>
      </w:r>
      <w:r w:rsidRPr="003037D2">
        <w:rPr>
          <w:rFonts w:ascii="Garamond" w:eastAsia="Calibri" w:hAnsi="Garamond" w:cs="Times New Roman"/>
          <w:i/>
        </w:rPr>
        <w:t xml:space="preserve">Book of Common Prayer </w:t>
      </w:r>
      <w:r w:rsidRPr="003037D2">
        <w:rPr>
          <w:rFonts w:ascii="Garamond" w:eastAsia="Calibri" w:hAnsi="Garamond" w:cs="Times New Roman"/>
        </w:rPr>
        <w:t xml:space="preserve">brings together sequential and pericope readings, marking the movable feasts. These pericopes create a sense of community with the past: whilst ‘sequential reading encourages a sense that one year is not the same </w:t>
      </w:r>
      <w:r w:rsidR="00470D01">
        <w:rPr>
          <w:rFonts w:ascii="Garamond" w:eastAsia="Calibri" w:hAnsi="Garamond" w:cs="Times New Roman"/>
        </w:rPr>
        <w:t>“time”</w:t>
      </w:r>
      <w:r w:rsidRPr="003037D2">
        <w:rPr>
          <w:rFonts w:ascii="Garamond" w:eastAsia="Calibri" w:hAnsi="Garamond" w:cs="Times New Roman"/>
        </w:rPr>
        <w:t xml:space="preserve"> as previous ones’ ‘pericopes produce a sense that time recreates itself’.</w:t>
      </w:r>
      <w:r w:rsidRPr="003037D2">
        <w:rPr>
          <w:rFonts w:ascii="Garamond" w:eastAsia="Calibri" w:hAnsi="Garamond" w:cs="Times New Roman"/>
          <w:vertAlign w:val="superscript"/>
        </w:rPr>
        <w:footnoteReference w:id="497"/>
      </w:r>
      <w:r w:rsidRPr="003037D2">
        <w:rPr>
          <w:rFonts w:ascii="Garamond" w:eastAsia="Calibri" w:hAnsi="Garamond" w:cs="Times New Roman"/>
        </w:rPr>
        <w:t xml:space="preserve"> These two forms of reading can be mapped on to the time of </w:t>
      </w:r>
      <w:proofErr w:type="spellStart"/>
      <w:r w:rsidRPr="003037D2">
        <w:rPr>
          <w:rFonts w:ascii="Garamond" w:eastAsia="Calibri" w:hAnsi="Garamond" w:cs="Times New Roman"/>
          <w:i/>
        </w:rPr>
        <w:t>chronos</w:t>
      </w:r>
      <w:proofErr w:type="spellEnd"/>
      <w:r w:rsidRPr="003037D2">
        <w:rPr>
          <w:rFonts w:ascii="Garamond" w:eastAsia="Calibri" w:hAnsi="Garamond" w:cs="Times New Roman"/>
          <w:i/>
        </w:rPr>
        <w:t xml:space="preserve">, </w:t>
      </w:r>
      <w:r w:rsidRPr="003037D2">
        <w:rPr>
          <w:rFonts w:ascii="Garamond" w:eastAsia="Calibri" w:hAnsi="Garamond" w:cs="Times New Roman"/>
        </w:rPr>
        <w:t xml:space="preserve">an elapsed, dangerous distance, or </w:t>
      </w:r>
      <w:r w:rsidRPr="003037D2">
        <w:rPr>
          <w:rFonts w:ascii="Garamond" w:eastAsia="Calibri" w:hAnsi="Garamond" w:cs="Times New Roman"/>
          <w:i/>
        </w:rPr>
        <w:t xml:space="preserve">Kairos, </w:t>
      </w:r>
      <w:r w:rsidRPr="003037D2">
        <w:rPr>
          <w:rFonts w:ascii="Garamond" w:eastAsia="Calibri" w:hAnsi="Garamond" w:cs="Times New Roman"/>
        </w:rPr>
        <w:t xml:space="preserve">a special moment picked out that needs recourse to timeless wisdom. In both </w:t>
      </w:r>
      <w:r w:rsidR="008F16FC" w:rsidRPr="008F16FC">
        <w:rPr>
          <w:rFonts w:ascii="Garamond" w:eastAsia="Calibri" w:hAnsi="Garamond" w:cs="Times New Roman"/>
          <w:i/>
        </w:rPr>
        <w:t>T</w:t>
      </w:r>
      <w:r w:rsidRPr="008F16FC">
        <w:rPr>
          <w:rFonts w:ascii="Garamond" w:eastAsia="Calibri" w:hAnsi="Garamond" w:cs="Times New Roman"/>
          <w:i/>
        </w:rPr>
        <w:t xml:space="preserve">he </w:t>
      </w:r>
      <w:r w:rsidRPr="003037D2">
        <w:rPr>
          <w:rFonts w:ascii="Garamond" w:eastAsia="Calibri" w:hAnsi="Garamond" w:cs="Times New Roman"/>
          <w:i/>
        </w:rPr>
        <w:t xml:space="preserve">Book of Common Prayer </w:t>
      </w:r>
      <w:r w:rsidRPr="003037D2">
        <w:rPr>
          <w:rFonts w:ascii="Garamond" w:eastAsia="Calibri" w:hAnsi="Garamond" w:cs="Times New Roman"/>
        </w:rPr>
        <w:t xml:space="preserve">and Herbert’s </w:t>
      </w:r>
      <w:r w:rsidRPr="003037D2">
        <w:rPr>
          <w:rFonts w:ascii="Garamond" w:eastAsia="Calibri" w:hAnsi="Garamond" w:cs="Times New Roman"/>
          <w:i/>
        </w:rPr>
        <w:t xml:space="preserve">The Temple, </w:t>
      </w:r>
      <w:r w:rsidRPr="003037D2">
        <w:rPr>
          <w:rFonts w:ascii="Garamond" w:eastAsia="Calibri" w:hAnsi="Garamond" w:cs="Times New Roman"/>
        </w:rPr>
        <w:t>these two senses of time as predicated upon reading are combined, the historical and the sacred.</w:t>
      </w:r>
      <w:r w:rsidRPr="003037D2">
        <w:rPr>
          <w:rFonts w:ascii="Garamond" w:eastAsia="Calibri" w:hAnsi="Garamond" w:cs="Times New Roman"/>
          <w:vertAlign w:val="superscript"/>
        </w:rPr>
        <w:footnoteReference w:id="498"/>
      </w:r>
      <w:r w:rsidRPr="003037D2">
        <w:rPr>
          <w:rFonts w:ascii="Garamond" w:eastAsia="Calibri" w:hAnsi="Garamond" w:cs="Times New Roman"/>
        </w:rPr>
        <w:t xml:space="preserve"> </w:t>
      </w:r>
    </w:p>
    <w:p w14:paraId="690140DE" w14:textId="77777777" w:rsidR="00162224" w:rsidRPr="003037D2" w:rsidRDefault="00162224" w:rsidP="00162224">
      <w:pPr>
        <w:spacing w:line="360" w:lineRule="auto"/>
        <w:ind w:firstLine="720"/>
        <w:rPr>
          <w:rFonts w:ascii="Garamond" w:eastAsia="Calibri" w:hAnsi="Garamond" w:cs="Times New Roman"/>
        </w:rPr>
      </w:pPr>
    </w:p>
    <w:p w14:paraId="7022715E" w14:textId="77777777" w:rsidR="00162224" w:rsidRPr="003037D2" w:rsidRDefault="00162224" w:rsidP="00162224">
      <w:pPr>
        <w:spacing w:line="360" w:lineRule="auto"/>
        <w:ind w:firstLine="360"/>
        <w:rPr>
          <w:rFonts w:ascii="Garamond" w:eastAsia="Calibri" w:hAnsi="Garamond" w:cs="Times New Roman"/>
        </w:rPr>
      </w:pPr>
    </w:p>
    <w:p w14:paraId="746420E0" w14:textId="0CD83A0F" w:rsidR="00162224"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Lynch argues that ‘Herbert’s way of reading taps into a deep exegetical tradition of reading in terms of precept, history, and prophecy’, a tradition in which ‘storing aphorisms for later motivated use and action’.</w:t>
      </w:r>
      <w:r w:rsidRPr="003037D2">
        <w:rPr>
          <w:rFonts w:ascii="Garamond" w:eastAsia="Calibri" w:hAnsi="Garamond" w:cs="Times New Roman"/>
          <w:vertAlign w:val="superscript"/>
        </w:rPr>
        <w:footnoteReference w:id="499"/>
      </w:r>
      <w:r w:rsidRPr="003037D2">
        <w:rPr>
          <w:rFonts w:ascii="Garamond" w:eastAsia="Calibri" w:hAnsi="Garamond" w:cs="Times New Roman"/>
        </w:rPr>
        <w:t xml:space="preserve"> Anne Ferry has pointed towards Herbert’s titles as evidence of the commonplace nature of his work, demonstrating the high level of care that Herbert lavished on choosing titles for the poems in his ‘little book’. This was fairly unusual: seventeenth-century titling was normally ‘casual and inconsistent’, serving only to signify the beginning of a poem, or perhaps provide a guide to the genre it invoked.</w:t>
      </w:r>
      <w:r w:rsidRPr="003037D2">
        <w:rPr>
          <w:rFonts w:ascii="Garamond" w:eastAsia="Calibri" w:hAnsi="Garamond" w:cs="Times New Roman"/>
          <w:vertAlign w:val="superscript"/>
        </w:rPr>
        <w:footnoteReference w:id="500"/>
      </w:r>
      <w:r w:rsidRPr="003037D2">
        <w:rPr>
          <w:rFonts w:ascii="Garamond" w:eastAsia="Calibri" w:hAnsi="Garamond" w:cs="Times New Roman"/>
        </w:rPr>
        <w:t xml:space="preserve"> Of the five types of title Ferry identifies, the most common type are ‘single noun[s] referring to an abstraction purported to be the topic of the poem, unmodified by an article, a preposition, or an adjective’. More than seventy of Herbert’s verses have such titles – including many of his most famous, such as ‘Prayer’, ‘Love’, ‘Obedience’.</w:t>
      </w:r>
      <w:r w:rsidRPr="003037D2">
        <w:rPr>
          <w:rFonts w:ascii="Garamond" w:eastAsia="Calibri" w:hAnsi="Garamond" w:cs="Times New Roman"/>
          <w:vertAlign w:val="superscript"/>
        </w:rPr>
        <w:footnoteReference w:id="501"/>
      </w:r>
      <w:r w:rsidRPr="003037D2">
        <w:rPr>
          <w:rFonts w:ascii="Garamond" w:eastAsia="Calibri" w:hAnsi="Garamond" w:cs="Times New Roman"/>
        </w:rPr>
        <w:t xml:space="preserve"> As Ferry states, Herbert’s ‘remarkable preference’ to this type of title must ‘point… to his special intentions because this type of title was extremely rare in English religious poetry, and scarcely less so in secular verse’.</w:t>
      </w:r>
      <w:r w:rsidRPr="003037D2">
        <w:rPr>
          <w:rFonts w:ascii="Garamond" w:eastAsia="Calibri" w:hAnsi="Garamond" w:cs="Times New Roman"/>
          <w:vertAlign w:val="superscript"/>
        </w:rPr>
        <w:footnoteReference w:id="502"/>
      </w:r>
      <w:r w:rsidRPr="003037D2">
        <w:rPr>
          <w:rFonts w:ascii="Garamond" w:eastAsia="Calibri" w:hAnsi="Garamond" w:cs="Times New Roman"/>
        </w:rPr>
        <w:t xml:space="preserve"> The cumulative effect of this style of titling is a ‘calculated displacement of emphasis’, as seen in Herbert’s ‘decision to exclude any reference in titles to the presence of the </w:t>
      </w:r>
      <w:r w:rsidRPr="003037D2">
        <w:rPr>
          <w:rFonts w:ascii="Garamond" w:eastAsia="Calibri" w:hAnsi="Garamond" w:cs="Times New Roman"/>
        </w:rPr>
        <w:lastRenderedPageBreak/>
        <w:t>author’, or the posited speaker of the poem.</w:t>
      </w:r>
      <w:r w:rsidRPr="003037D2">
        <w:rPr>
          <w:rFonts w:ascii="Garamond" w:eastAsia="Calibri" w:hAnsi="Garamond" w:cs="Times New Roman"/>
          <w:vertAlign w:val="superscript"/>
        </w:rPr>
        <w:footnoteReference w:id="503"/>
      </w:r>
      <w:r w:rsidRPr="003037D2">
        <w:rPr>
          <w:rFonts w:ascii="Garamond" w:eastAsia="Calibri" w:hAnsi="Garamond" w:cs="Times New Roman"/>
        </w:rPr>
        <w:t xml:space="preserve"> Comparing the titles of Herbert’s ‘Good Friday’ to Donne’s ‘</w:t>
      </w:r>
      <w:proofErr w:type="spellStart"/>
      <w:r w:rsidRPr="003037D2">
        <w:rPr>
          <w:rFonts w:ascii="Garamond" w:eastAsia="Calibri" w:hAnsi="Garamond" w:cs="Times New Roman"/>
        </w:rPr>
        <w:t>Goodfriday</w:t>
      </w:r>
      <w:proofErr w:type="spellEnd"/>
      <w:r w:rsidRPr="003037D2">
        <w:rPr>
          <w:rFonts w:ascii="Garamond" w:eastAsia="Calibri" w:hAnsi="Garamond" w:cs="Times New Roman"/>
        </w:rPr>
        <w:t xml:space="preserve">, 1613. Riding Westward’ is illustrative. In Herbert’s configuration, time, place, and motion are unspecified, the Good Fridays of </w:t>
      </w:r>
      <w:proofErr w:type="spellStart"/>
      <w:r w:rsidRPr="003037D2">
        <w:rPr>
          <w:rFonts w:ascii="Garamond" w:eastAsia="Calibri" w:hAnsi="Garamond" w:cs="Times New Roman"/>
        </w:rPr>
        <w:t>aeons</w:t>
      </w:r>
      <w:proofErr w:type="spellEnd"/>
      <w:r w:rsidRPr="003037D2">
        <w:rPr>
          <w:rFonts w:ascii="Garamond" w:eastAsia="Calibri" w:hAnsi="Garamond" w:cs="Times New Roman"/>
        </w:rPr>
        <w:t xml:space="preserve"> superimposed over one another. Ferry argues that this allows Herbert to ‘introduce the poem under a </w:t>
      </w:r>
      <w:r w:rsidRPr="003037D2">
        <w:rPr>
          <w:rFonts w:ascii="Garamond" w:eastAsia="Calibri" w:hAnsi="Garamond" w:cs="Times New Roman"/>
          <w:i/>
        </w:rPr>
        <w:t xml:space="preserve">head… </w:t>
      </w:r>
      <w:r w:rsidRPr="003037D2">
        <w:rPr>
          <w:rFonts w:ascii="Garamond" w:eastAsia="Calibri" w:hAnsi="Garamond" w:cs="Times New Roman"/>
        </w:rPr>
        <w:t xml:space="preserve">a </w:t>
      </w:r>
      <w:r w:rsidRPr="003037D2">
        <w:rPr>
          <w:rFonts w:ascii="Garamond" w:eastAsia="Calibri" w:hAnsi="Garamond" w:cs="Times New Roman"/>
          <w:i/>
        </w:rPr>
        <w:t xml:space="preserve">topic </w:t>
      </w:r>
      <w:r w:rsidRPr="003037D2">
        <w:rPr>
          <w:rFonts w:ascii="Garamond" w:eastAsia="Calibri" w:hAnsi="Garamond" w:cs="Times New Roman"/>
        </w:rPr>
        <w:t xml:space="preserve">or </w:t>
      </w:r>
      <w:r w:rsidRPr="003037D2">
        <w:rPr>
          <w:rFonts w:ascii="Garamond" w:eastAsia="Calibri" w:hAnsi="Garamond" w:cs="Times New Roman"/>
          <w:i/>
        </w:rPr>
        <w:t xml:space="preserve">place. </w:t>
      </w:r>
      <w:r w:rsidRPr="003037D2">
        <w:rPr>
          <w:rFonts w:ascii="Garamond" w:eastAsia="Calibri" w:hAnsi="Garamond" w:cs="Times New Roman"/>
        </w:rPr>
        <w:t xml:space="preserve">It </w:t>
      </w:r>
      <w:proofErr w:type="spellStart"/>
      <w:r w:rsidRPr="003037D2">
        <w:rPr>
          <w:rFonts w:ascii="Garamond" w:eastAsia="Calibri" w:hAnsi="Garamond" w:cs="Times New Roman"/>
        </w:rPr>
        <w:t>supressed</w:t>
      </w:r>
      <w:proofErr w:type="spellEnd"/>
      <w:r w:rsidRPr="003037D2">
        <w:rPr>
          <w:rFonts w:ascii="Garamond" w:eastAsia="Calibri" w:hAnsi="Garamond" w:cs="Times New Roman"/>
        </w:rPr>
        <w:t xml:space="preserve"> the source and form of the poem while associating it with entries in… the commonplace book’.</w:t>
      </w:r>
      <w:r w:rsidRPr="003037D2">
        <w:rPr>
          <w:rFonts w:ascii="Garamond" w:eastAsia="Calibri" w:hAnsi="Garamond" w:cs="Times New Roman"/>
          <w:vertAlign w:val="superscript"/>
        </w:rPr>
        <w:footnoteReference w:id="504"/>
      </w:r>
      <w:r w:rsidRPr="003037D2">
        <w:rPr>
          <w:rFonts w:ascii="Garamond" w:eastAsia="Calibri" w:hAnsi="Garamond" w:cs="Times New Roman"/>
        </w:rPr>
        <w:t xml:space="preserve"> Similarly, the first edition of </w:t>
      </w:r>
      <w:r w:rsidRPr="003037D2">
        <w:rPr>
          <w:rFonts w:ascii="Garamond" w:eastAsia="Calibri" w:hAnsi="Garamond" w:cs="Times New Roman"/>
          <w:i/>
        </w:rPr>
        <w:t>The Temple,</w:t>
      </w:r>
      <w:r w:rsidRPr="003037D2">
        <w:rPr>
          <w:rFonts w:ascii="Garamond" w:eastAsia="Calibri" w:hAnsi="Garamond" w:cs="Times New Roman"/>
        </w:rPr>
        <w:t xml:space="preserve"> included two tables or guides to the poems. One listed the poems along with their number in the collection in alphabetic order, alongside their page numbers, a guide that seemed unnecessary for the reader. The table at the end of the volume, in contrast, although also alphabetical, listed several poems at once, so that those with the same title were listed together with the page numbers for each repetition listed. Whilst such tables were customarily found in seventeenth-century commonplace books, they were rarely seen in books of verse.</w:t>
      </w:r>
      <w:r w:rsidRPr="003037D2">
        <w:rPr>
          <w:rFonts w:ascii="Garamond" w:eastAsia="Calibri" w:hAnsi="Garamond" w:cs="Times New Roman"/>
          <w:vertAlign w:val="superscript"/>
        </w:rPr>
        <w:footnoteReference w:id="505"/>
      </w:r>
      <w:r w:rsidRPr="003037D2">
        <w:rPr>
          <w:rFonts w:ascii="Garamond" w:eastAsia="Calibri" w:hAnsi="Garamond" w:cs="Times New Roman"/>
        </w:rPr>
        <w:t xml:space="preserve"> The material form of Herbert’s volume of poetry would have intrinsically reminded contemporary readers of a commonplace book, which would have allowed them to read </w:t>
      </w:r>
      <w:r w:rsidRPr="003037D2">
        <w:rPr>
          <w:rFonts w:ascii="Garamond" w:eastAsia="Calibri" w:hAnsi="Garamond" w:cs="Times New Roman"/>
          <w:i/>
          <w:iCs/>
        </w:rPr>
        <w:t xml:space="preserve">The Temple </w:t>
      </w:r>
      <w:r w:rsidRPr="003037D2">
        <w:rPr>
          <w:rFonts w:ascii="Garamond" w:eastAsia="Calibri" w:hAnsi="Garamond" w:cs="Times New Roman"/>
        </w:rPr>
        <w:t xml:space="preserve">as a book which provided timely guidance for timeless issues. </w:t>
      </w:r>
    </w:p>
    <w:p w14:paraId="5E3803F3" w14:textId="77777777" w:rsidR="00667CD5" w:rsidRPr="003037D2" w:rsidRDefault="00667CD5" w:rsidP="00162224">
      <w:pPr>
        <w:spacing w:line="360" w:lineRule="auto"/>
        <w:ind w:firstLine="720"/>
        <w:rPr>
          <w:rFonts w:ascii="Garamond" w:eastAsia="Calibri" w:hAnsi="Garamond" w:cs="Times New Roman"/>
        </w:rPr>
      </w:pPr>
    </w:p>
    <w:p w14:paraId="404E29C9" w14:textId="77777777" w:rsidR="00162224" w:rsidRPr="003037D2" w:rsidRDefault="00162224" w:rsidP="00162224">
      <w:pPr>
        <w:spacing w:line="360" w:lineRule="auto"/>
        <w:ind w:firstLine="720"/>
        <w:rPr>
          <w:rFonts w:ascii="Garamond" w:eastAsia="Calibri" w:hAnsi="Garamond" w:cs="Times New Roman"/>
        </w:rPr>
      </w:pPr>
    </w:p>
    <w:p w14:paraId="11A5D9F7" w14:textId="77777777" w:rsidR="00162224" w:rsidRPr="003037D2" w:rsidRDefault="00162224" w:rsidP="00162224">
      <w:pPr>
        <w:keepNext/>
        <w:keepLines/>
        <w:numPr>
          <w:ilvl w:val="0"/>
          <w:numId w:val="33"/>
        </w:numPr>
        <w:spacing w:before="40" w:line="259" w:lineRule="auto"/>
        <w:outlineLvl w:val="2"/>
        <w:rPr>
          <w:rFonts w:ascii="Garamond" w:eastAsia="Times New Roman" w:hAnsi="Garamond" w:cs="Times New Roman"/>
        </w:rPr>
      </w:pPr>
      <w:bookmarkStart w:id="51" w:name="_Toc3967182"/>
      <w:r w:rsidRPr="003037D2">
        <w:rPr>
          <w:rFonts w:ascii="Garamond" w:eastAsia="Times New Roman" w:hAnsi="Garamond" w:cs="Times New Roman"/>
        </w:rPr>
        <w:t>Proverbs and communal memory</w:t>
      </w:r>
      <w:bookmarkEnd w:id="51"/>
      <w:r w:rsidRPr="003037D2">
        <w:rPr>
          <w:rFonts w:ascii="Garamond" w:eastAsia="Times New Roman" w:hAnsi="Garamond" w:cs="Times New Roman"/>
        </w:rPr>
        <w:t xml:space="preserve"> </w:t>
      </w:r>
    </w:p>
    <w:p w14:paraId="22A79952" w14:textId="77777777" w:rsidR="00162224" w:rsidRPr="003037D2" w:rsidRDefault="00162224" w:rsidP="00162224">
      <w:pPr>
        <w:rPr>
          <w:rFonts w:ascii="Garamond" w:eastAsia="Calibri" w:hAnsi="Garamond" w:cs="Times New Roman"/>
        </w:rPr>
      </w:pPr>
    </w:p>
    <w:p w14:paraId="12B1A84C" w14:textId="6123D488"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Returning to ‘The Church Porch’, we can see it is made up of a series of aphorisms – neatly encapsulated lessons of moral instruction for the reader, drawn from a bank of communally held memories. This has often led to critics proclaiming it dully didactic. Arnold Stein comments that whilst lessons can be learnt from it, ‘they are almost all things that can be learned from more attractive poems’.</w:t>
      </w:r>
      <w:r w:rsidRPr="003037D2">
        <w:rPr>
          <w:rFonts w:ascii="Garamond" w:eastAsia="Calibri" w:hAnsi="Garamond" w:cs="Times New Roman"/>
          <w:vertAlign w:val="superscript"/>
        </w:rPr>
        <w:footnoteReference w:id="506"/>
      </w:r>
      <w:r w:rsidRPr="003037D2">
        <w:rPr>
          <w:rFonts w:ascii="Garamond" w:eastAsia="Calibri" w:hAnsi="Garamond" w:cs="Times New Roman"/>
        </w:rPr>
        <w:t xml:space="preserve"> Similarly, Diana Benet argues that the poem’s sheer length ‘vitiates its impact’, as the individually acute maxims become dull and repetitive, clustered so together.</w:t>
      </w:r>
      <w:r w:rsidRPr="003037D2">
        <w:rPr>
          <w:rFonts w:ascii="Garamond" w:eastAsia="Calibri" w:hAnsi="Garamond" w:cs="Times New Roman"/>
          <w:vertAlign w:val="superscript"/>
        </w:rPr>
        <w:footnoteReference w:id="507"/>
      </w:r>
      <w:r w:rsidRPr="003037D2">
        <w:rPr>
          <w:rFonts w:ascii="Garamond" w:eastAsia="Calibri" w:hAnsi="Garamond" w:cs="Times New Roman"/>
        </w:rPr>
        <w:t xml:space="preserve"> The act of reading these aphorisms sequentially is repetitive, slowing the reader down in their progress through the book. However, collections of proverbs were highly popular i</w:t>
      </w:r>
      <w:r w:rsidR="004F590E">
        <w:rPr>
          <w:rFonts w:ascii="Garamond" w:eastAsia="Calibri" w:hAnsi="Garamond" w:cs="Times New Roman"/>
        </w:rPr>
        <w:t xml:space="preserve">n the sixteenth and seventeenth </w:t>
      </w:r>
      <w:r w:rsidRPr="003037D2">
        <w:rPr>
          <w:rFonts w:ascii="Garamond" w:eastAsia="Calibri" w:hAnsi="Garamond" w:cs="Times New Roman"/>
        </w:rPr>
        <w:t xml:space="preserve">centuries. Adam Fox has traced the universal appetite for them, crossing </w:t>
      </w:r>
      <w:r w:rsidRPr="003037D2">
        <w:rPr>
          <w:rFonts w:ascii="Garamond" w:eastAsia="Calibri" w:hAnsi="Garamond" w:cs="Times New Roman"/>
        </w:rPr>
        <w:lastRenderedPageBreak/>
        <w:t>boundaries of class and gender.</w:t>
      </w:r>
      <w:r w:rsidRPr="003037D2">
        <w:rPr>
          <w:rFonts w:ascii="Garamond" w:eastAsia="Calibri" w:hAnsi="Garamond" w:cs="Times New Roman"/>
          <w:vertAlign w:val="superscript"/>
        </w:rPr>
        <w:footnoteReference w:id="508"/>
      </w:r>
      <w:r w:rsidRPr="003037D2">
        <w:rPr>
          <w:rFonts w:ascii="Garamond" w:eastAsia="Calibri" w:hAnsi="Garamond" w:cs="Times New Roman"/>
        </w:rPr>
        <w:t xml:space="preserve"> There is an ideological link between the sententious, moral lessons copied into humanist commonplace books and miscellanies and these collections of proverbs, which would perhaps be associated with working people rather than the educated elite. Herbert himself compiled a collection of such sayings: 1,032 of them in </w:t>
      </w:r>
      <w:r w:rsidRPr="003037D2">
        <w:rPr>
          <w:rFonts w:ascii="Garamond" w:eastAsia="Calibri" w:hAnsi="Garamond" w:cs="Times New Roman"/>
          <w:i/>
        </w:rPr>
        <w:t xml:space="preserve">Outlandish Proverbs, </w:t>
      </w:r>
      <w:r w:rsidRPr="003037D2">
        <w:rPr>
          <w:rFonts w:ascii="Garamond" w:eastAsia="Calibri" w:hAnsi="Garamond" w:cs="Times New Roman"/>
        </w:rPr>
        <w:t>first published in 1640. These range from the humorous and salacious, ‘</w:t>
      </w:r>
      <w:proofErr w:type="spellStart"/>
      <w:r w:rsidRPr="003037D2">
        <w:rPr>
          <w:rFonts w:ascii="Garamond" w:eastAsia="Calibri" w:hAnsi="Garamond" w:cs="Times New Roman"/>
        </w:rPr>
        <w:t>Hee</w:t>
      </w:r>
      <w:proofErr w:type="spellEnd"/>
      <w:r w:rsidRPr="003037D2">
        <w:rPr>
          <w:rFonts w:ascii="Garamond" w:eastAsia="Calibri" w:hAnsi="Garamond" w:cs="Times New Roman"/>
        </w:rPr>
        <w:t xml:space="preserve"> that wipes the </w:t>
      </w:r>
      <w:proofErr w:type="spellStart"/>
      <w:r w:rsidRPr="003037D2">
        <w:rPr>
          <w:rFonts w:ascii="Garamond" w:eastAsia="Calibri" w:hAnsi="Garamond" w:cs="Times New Roman"/>
        </w:rPr>
        <w:t>childs</w:t>
      </w:r>
      <w:proofErr w:type="spellEnd"/>
      <w:r w:rsidRPr="003037D2">
        <w:rPr>
          <w:rFonts w:ascii="Garamond" w:eastAsia="Calibri" w:hAnsi="Garamond" w:cs="Times New Roman"/>
        </w:rPr>
        <w:t xml:space="preserve"> nose, </w:t>
      </w:r>
      <w:proofErr w:type="spellStart"/>
      <w:r w:rsidRPr="003037D2">
        <w:rPr>
          <w:rFonts w:ascii="Garamond" w:eastAsia="Calibri" w:hAnsi="Garamond" w:cs="Times New Roman"/>
        </w:rPr>
        <w:t>kisseth</w:t>
      </w:r>
      <w:proofErr w:type="spellEnd"/>
      <w:r w:rsidRPr="003037D2">
        <w:rPr>
          <w:rFonts w:ascii="Garamond" w:eastAsia="Calibri" w:hAnsi="Garamond" w:cs="Times New Roman"/>
        </w:rPr>
        <w:t xml:space="preserve"> the mothers </w:t>
      </w:r>
      <w:proofErr w:type="spellStart"/>
      <w:r w:rsidRPr="003037D2">
        <w:rPr>
          <w:rFonts w:ascii="Garamond" w:eastAsia="Calibri" w:hAnsi="Garamond" w:cs="Times New Roman"/>
        </w:rPr>
        <w:t>cheeke</w:t>
      </w:r>
      <w:proofErr w:type="spellEnd"/>
      <w:r w:rsidRPr="003037D2">
        <w:rPr>
          <w:rFonts w:ascii="Garamond" w:eastAsia="Calibri" w:hAnsi="Garamond" w:cs="Times New Roman"/>
        </w:rPr>
        <w:t xml:space="preserve">’, to the philosophical, ‘Life is </w:t>
      </w:r>
      <w:proofErr w:type="spellStart"/>
      <w:r w:rsidRPr="003037D2">
        <w:rPr>
          <w:rFonts w:ascii="Garamond" w:eastAsia="Calibri" w:hAnsi="Garamond" w:cs="Times New Roman"/>
        </w:rPr>
        <w:t>halfe</w:t>
      </w:r>
      <w:proofErr w:type="spellEnd"/>
      <w:r w:rsidRPr="003037D2">
        <w:rPr>
          <w:rFonts w:ascii="Garamond" w:eastAsia="Calibri" w:hAnsi="Garamond" w:cs="Times New Roman"/>
        </w:rPr>
        <w:t xml:space="preserve"> spent before we know what it is’.</w:t>
      </w:r>
      <w:r w:rsidRPr="003037D2">
        <w:rPr>
          <w:rFonts w:ascii="Garamond" w:eastAsia="Calibri" w:hAnsi="Garamond" w:cs="Times New Roman"/>
          <w:vertAlign w:val="superscript"/>
        </w:rPr>
        <w:footnoteReference w:id="509"/>
      </w:r>
      <w:r w:rsidRPr="003037D2">
        <w:rPr>
          <w:rFonts w:ascii="Garamond" w:eastAsia="Calibri" w:hAnsi="Garamond" w:cs="Times New Roman"/>
        </w:rPr>
        <w:t xml:space="preserve"> Several of the proverbs counsel against prodigality, warning ‘if you lose your time, you cannot get money or time’ and ‘time undermines us’.</w:t>
      </w:r>
      <w:r w:rsidRPr="003037D2">
        <w:rPr>
          <w:rFonts w:ascii="Garamond" w:eastAsia="Calibri" w:hAnsi="Garamond" w:cs="Times New Roman"/>
          <w:vertAlign w:val="superscript"/>
        </w:rPr>
        <w:footnoteReference w:id="510"/>
      </w:r>
      <w:r w:rsidRPr="003037D2">
        <w:rPr>
          <w:rFonts w:ascii="Garamond" w:eastAsia="Calibri" w:hAnsi="Garamond" w:cs="Times New Roman"/>
        </w:rPr>
        <w:t xml:space="preserve"> The very nature of a commonplace makes it suited to moral guidance, as it can be at once acute and targeted for a particular situation and all encompassing. </w:t>
      </w:r>
    </w:p>
    <w:p w14:paraId="4492265A" w14:textId="77777777" w:rsidR="00162224" w:rsidRPr="003037D2" w:rsidRDefault="00162224" w:rsidP="00162224">
      <w:pPr>
        <w:spacing w:line="360" w:lineRule="auto"/>
        <w:ind w:firstLine="720"/>
        <w:rPr>
          <w:rFonts w:ascii="Garamond" w:eastAsia="Calibri" w:hAnsi="Garamond" w:cs="Times New Roman"/>
        </w:rPr>
      </w:pPr>
    </w:p>
    <w:p w14:paraId="35D6341F" w14:textId="01919F25"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It is difficult to judge Herbert’s relationship to these sayings; Pieter Bruegel the Elder’s painting ‘Netherlandish Proverbs’ (1559) perhaps offers an analogous response. (See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_Ref506546354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25</w:t>
      </w:r>
      <w:r w:rsidRPr="003037D2">
        <w:rPr>
          <w:rFonts w:ascii="Garamond" w:eastAsia="Calibri" w:hAnsi="Garamond" w:cs="Times New Roman"/>
        </w:rPr>
        <w:fldChar w:fldCharType="end"/>
      </w:r>
      <w:r w:rsidR="00ED0F4C">
        <w:rPr>
          <w:rFonts w:ascii="Garamond" w:eastAsia="Calibri" w:hAnsi="Garamond" w:cs="Times New Roman"/>
        </w:rPr>
        <w:t>.</w:t>
      </w:r>
      <w:r w:rsidRPr="003037D2">
        <w:rPr>
          <w:rFonts w:ascii="Garamond" w:eastAsia="Calibri" w:hAnsi="Garamond" w:cs="Times New Roman"/>
        </w:rPr>
        <w:t xml:space="preserve">) Indeed, considering that the ‘outlandish’ of Herbert’s title likely means foreign, </w:t>
      </w:r>
      <w:proofErr w:type="spellStart"/>
      <w:r w:rsidRPr="003037D2">
        <w:rPr>
          <w:rFonts w:ascii="Garamond" w:eastAsia="Calibri" w:hAnsi="Garamond" w:cs="Times New Roman"/>
        </w:rPr>
        <w:t>Breugel’s</w:t>
      </w:r>
      <w:proofErr w:type="spellEnd"/>
      <w:r w:rsidRPr="003037D2">
        <w:rPr>
          <w:rFonts w:ascii="Garamond" w:eastAsia="Calibri" w:hAnsi="Garamond" w:cs="Times New Roman"/>
        </w:rPr>
        <w:t xml:space="preserve"> painting could perhaps have been an influence. Pieter Bruegel the Younger made at least sixteen copies of his father’s painting which circulated widely. ‘Netherlandish Proverbs’ offers literal representations of over 110 proverbs, combined into a visually coherent, lively village scene. One vignette, of an </w:t>
      </w:r>
      <w:proofErr w:type="spellStart"/>
      <w:r w:rsidRPr="003037D2">
        <w:rPr>
          <w:rFonts w:ascii="Garamond" w:eastAsia="Calibri" w:hAnsi="Garamond" w:cs="Times New Roman"/>
        </w:rPr>
        <w:t>armoured</w:t>
      </w:r>
      <w:proofErr w:type="spellEnd"/>
      <w:r w:rsidRPr="003037D2">
        <w:rPr>
          <w:rFonts w:ascii="Garamond" w:eastAsia="Calibri" w:hAnsi="Garamond" w:cs="Times New Roman"/>
        </w:rPr>
        <w:t xml:space="preserve"> man with a knife clamped between his teeth tying a bell around a cat, illustrates three French and Netherlandish proverbs: ‘to put on one’s </w:t>
      </w:r>
      <w:proofErr w:type="spellStart"/>
      <w:r w:rsidRPr="003037D2">
        <w:rPr>
          <w:rFonts w:ascii="Garamond" w:eastAsia="Calibri" w:hAnsi="Garamond" w:cs="Times New Roman"/>
        </w:rPr>
        <w:t>armour</w:t>
      </w:r>
      <w:proofErr w:type="spellEnd"/>
      <w:r w:rsidRPr="003037D2">
        <w:rPr>
          <w:rFonts w:ascii="Garamond" w:eastAsia="Calibri" w:hAnsi="Garamond" w:cs="Times New Roman"/>
        </w:rPr>
        <w:t>’ (to be angry), ‘armed to the teeth’ (to be well prepared), ‘to bell the cat’ (to carry out a foolish plan).</w:t>
      </w:r>
      <w:r w:rsidRPr="003037D2">
        <w:rPr>
          <w:rFonts w:ascii="Garamond" w:eastAsia="Calibri" w:hAnsi="Garamond" w:cs="Times New Roman"/>
          <w:vertAlign w:val="superscript"/>
        </w:rPr>
        <w:footnoteReference w:id="511"/>
      </w:r>
      <w:r w:rsidRPr="003037D2">
        <w:rPr>
          <w:rFonts w:ascii="Garamond" w:eastAsia="Calibri" w:hAnsi="Garamond" w:cs="Times New Roman"/>
        </w:rPr>
        <w:t xml:space="preserve"> (See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_Ref506546385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26</w:t>
      </w:r>
      <w:r w:rsidRPr="003037D2">
        <w:rPr>
          <w:rFonts w:ascii="Garamond" w:eastAsia="Calibri" w:hAnsi="Garamond" w:cs="Times New Roman"/>
        </w:rPr>
        <w:fldChar w:fldCharType="end"/>
      </w:r>
      <w:r w:rsidR="00ED0F4C">
        <w:rPr>
          <w:rFonts w:ascii="Garamond" w:eastAsia="Calibri" w:hAnsi="Garamond" w:cs="Times New Roman"/>
        </w:rPr>
        <w:t>.</w:t>
      </w:r>
      <w:r w:rsidRPr="003037D2">
        <w:rPr>
          <w:rFonts w:ascii="Garamond" w:eastAsia="Calibri" w:hAnsi="Garamond" w:cs="Times New Roman"/>
        </w:rPr>
        <w:t xml:space="preserve">) Bruegel at once revels in the ludicrous nature of these folkloric </w:t>
      </w:r>
      <w:proofErr w:type="gramStart"/>
      <w:r w:rsidRPr="003037D2">
        <w:rPr>
          <w:rFonts w:ascii="Garamond" w:eastAsia="Calibri" w:hAnsi="Garamond" w:cs="Times New Roman"/>
        </w:rPr>
        <w:t>tales, yet</w:t>
      </w:r>
      <w:proofErr w:type="gramEnd"/>
      <w:r w:rsidRPr="003037D2">
        <w:rPr>
          <w:rFonts w:ascii="Garamond" w:eastAsia="Calibri" w:hAnsi="Garamond" w:cs="Times New Roman"/>
        </w:rPr>
        <w:t xml:space="preserve"> takes them seriously enough to detail them in this oil-painting. Herbert similarly seems to take pleasure in the ludic, scatological nature of some sayings,</w:t>
      </w:r>
      <w:r w:rsidR="00EF635C" w:rsidRPr="003037D2">
        <w:rPr>
          <w:rFonts w:ascii="Garamond" w:eastAsia="Calibri" w:hAnsi="Garamond" w:cs="Times New Roman"/>
        </w:rPr>
        <w:t xml:space="preserve"> such as </w:t>
      </w:r>
      <w:r w:rsidRPr="003037D2">
        <w:rPr>
          <w:rFonts w:ascii="Garamond" w:eastAsia="Calibri" w:hAnsi="Garamond" w:cs="Times New Roman"/>
        </w:rPr>
        <w:t>‘When a dog is drowning, everyone offers him drink’</w:t>
      </w:r>
      <w:r w:rsidR="00EF635C" w:rsidRPr="003037D2">
        <w:rPr>
          <w:rFonts w:ascii="Garamond" w:eastAsia="Calibri" w:hAnsi="Garamond" w:cs="Times New Roman"/>
        </w:rPr>
        <w:t>,</w:t>
      </w:r>
      <w:r w:rsidRPr="003037D2">
        <w:rPr>
          <w:rFonts w:ascii="Garamond" w:eastAsia="Calibri" w:hAnsi="Garamond" w:cs="Times New Roman"/>
        </w:rPr>
        <w:t xml:space="preserve"> whilst still seeing their worth.</w:t>
      </w:r>
      <w:r w:rsidRPr="003037D2">
        <w:rPr>
          <w:rFonts w:ascii="Garamond" w:eastAsia="Calibri" w:hAnsi="Garamond" w:cs="Times New Roman"/>
          <w:vertAlign w:val="superscript"/>
        </w:rPr>
        <w:footnoteReference w:id="512"/>
      </w:r>
      <w:r w:rsidRPr="003037D2">
        <w:rPr>
          <w:rFonts w:ascii="Garamond" w:eastAsia="Calibri" w:hAnsi="Garamond" w:cs="Times New Roman"/>
        </w:rPr>
        <w:t xml:space="preserve"> Dan Ben-Amos and Liliane Weisberg have discussed how shared acts of memory work to strengthen communities, and the community’s sense of its own history.</w:t>
      </w:r>
      <w:r w:rsidRPr="003037D2">
        <w:rPr>
          <w:rFonts w:ascii="Garamond" w:eastAsia="Calibri" w:hAnsi="Garamond" w:cs="Times New Roman"/>
          <w:vertAlign w:val="superscript"/>
        </w:rPr>
        <w:footnoteReference w:id="513"/>
      </w:r>
      <w:r w:rsidRPr="003037D2">
        <w:rPr>
          <w:rFonts w:ascii="Garamond" w:eastAsia="Calibri" w:hAnsi="Garamond" w:cs="Times New Roman"/>
        </w:rPr>
        <w:t xml:space="preserve"> Herbert’s aphorisms </w:t>
      </w:r>
      <w:r w:rsidRPr="003037D2">
        <w:rPr>
          <w:rFonts w:ascii="Garamond" w:eastAsia="Calibri" w:hAnsi="Garamond" w:cs="Times New Roman"/>
        </w:rPr>
        <w:lastRenderedPageBreak/>
        <w:t xml:space="preserve">both in </w:t>
      </w:r>
      <w:r w:rsidRPr="003037D2">
        <w:rPr>
          <w:rFonts w:ascii="Garamond" w:eastAsia="Calibri" w:hAnsi="Garamond" w:cs="Times New Roman"/>
          <w:i/>
          <w:iCs/>
        </w:rPr>
        <w:t xml:space="preserve">Outlandish Proverbs </w:t>
      </w:r>
      <w:r w:rsidRPr="003037D2">
        <w:rPr>
          <w:rFonts w:ascii="Garamond" w:eastAsia="Calibri" w:hAnsi="Garamond" w:cs="Times New Roman"/>
        </w:rPr>
        <w:t xml:space="preserve">and ‘The Church Porch’ are intended to be repeated, reused in various contexts both to offer counsel and to improve one’s manner of speaking or writing. This proverbial wisdom creates a community of readers and believers who are linked over time. Commonplaces create a specific temporal experience of reading, one which connects with a communal memory, located both in the present and yet enduring. </w:t>
      </w:r>
    </w:p>
    <w:p w14:paraId="759A528A" w14:textId="77777777" w:rsidR="00162224" w:rsidRPr="003037D2" w:rsidRDefault="00162224" w:rsidP="00162224">
      <w:pPr>
        <w:spacing w:line="360" w:lineRule="auto"/>
        <w:ind w:firstLine="360"/>
        <w:rPr>
          <w:rFonts w:ascii="Garamond" w:eastAsia="Calibri" w:hAnsi="Garamond" w:cs="Times New Roman"/>
        </w:rPr>
      </w:pPr>
    </w:p>
    <w:p w14:paraId="3C5D6AB3" w14:textId="77777777"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Whilst </w:t>
      </w:r>
      <w:r w:rsidRPr="003037D2">
        <w:rPr>
          <w:rFonts w:ascii="Garamond" w:eastAsia="Calibri" w:hAnsi="Garamond" w:cs="Times New Roman"/>
          <w:i/>
          <w:iCs/>
        </w:rPr>
        <w:t xml:space="preserve">Outlandish Proverbs </w:t>
      </w:r>
      <w:r w:rsidRPr="003037D2">
        <w:rPr>
          <w:rFonts w:ascii="Garamond" w:eastAsia="Calibri" w:hAnsi="Garamond" w:cs="Times New Roman"/>
        </w:rPr>
        <w:t xml:space="preserve">may seem repetitive to modern readers, it was clearly well received by seventeenth-century readers, reprinted in full, with an additional 150 proverbs in 1651 by Timothy </w:t>
      </w:r>
      <w:proofErr w:type="spellStart"/>
      <w:r w:rsidRPr="003037D2">
        <w:rPr>
          <w:rFonts w:ascii="Garamond" w:eastAsia="Calibri" w:hAnsi="Garamond" w:cs="Times New Roman"/>
        </w:rPr>
        <w:t>Garthwait</w:t>
      </w:r>
      <w:proofErr w:type="spellEnd"/>
      <w:r w:rsidRPr="003037D2">
        <w:rPr>
          <w:rFonts w:ascii="Garamond" w:eastAsia="Calibri" w:hAnsi="Garamond" w:cs="Times New Roman"/>
        </w:rPr>
        <w:t xml:space="preserve"> under the new title </w:t>
      </w:r>
      <w:proofErr w:type="spellStart"/>
      <w:r w:rsidRPr="003037D2">
        <w:rPr>
          <w:rFonts w:ascii="Garamond" w:eastAsia="Calibri" w:hAnsi="Garamond" w:cs="Times New Roman"/>
          <w:i/>
        </w:rPr>
        <w:t>Jacula</w:t>
      </w:r>
      <w:proofErr w:type="spellEnd"/>
      <w:r w:rsidRPr="003037D2">
        <w:rPr>
          <w:rFonts w:ascii="Garamond" w:eastAsia="Calibri" w:hAnsi="Garamond" w:cs="Times New Roman"/>
          <w:i/>
        </w:rPr>
        <w:t xml:space="preserve"> </w:t>
      </w:r>
      <w:proofErr w:type="spellStart"/>
      <w:r w:rsidRPr="003037D2">
        <w:rPr>
          <w:rFonts w:ascii="Garamond" w:eastAsia="Calibri" w:hAnsi="Garamond" w:cs="Times New Roman"/>
          <w:i/>
        </w:rPr>
        <w:t>Prudentium</w:t>
      </w:r>
      <w:proofErr w:type="spellEnd"/>
      <w:r w:rsidRPr="003037D2">
        <w:rPr>
          <w:rFonts w:ascii="Garamond" w:eastAsia="Calibri" w:hAnsi="Garamond" w:cs="Times New Roman"/>
          <w:i/>
        </w:rPr>
        <w:t xml:space="preserve">. </w:t>
      </w:r>
      <w:proofErr w:type="spellStart"/>
      <w:r w:rsidRPr="003037D2">
        <w:rPr>
          <w:rFonts w:ascii="Garamond" w:eastAsia="Calibri" w:hAnsi="Garamond" w:cs="Times New Roman"/>
        </w:rPr>
        <w:t>Garthwait</w:t>
      </w:r>
      <w:proofErr w:type="spellEnd"/>
      <w:r w:rsidRPr="003037D2">
        <w:rPr>
          <w:rFonts w:ascii="Garamond" w:eastAsia="Calibri" w:hAnsi="Garamond" w:cs="Times New Roman"/>
        </w:rPr>
        <w:t xml:space="preserve"> also published the volume again one year later with </w:t>
      </w:r>
      <w:r w:rsidRPr="003037D2">
        <w:rPr>
          <w:rFonts w:ascii="Garamond" w:eastAsia="Calibri" w:hAnsi="Garamond" w:cs="Times New Roman"/>
          <w:i/>
        </w:rPr>
        <w:t xml:space="preserve">A Priest to his Temple </w:t>
      </w:r>
      <w:r w:rsidRPr="003037D2">
        <w:rPr>
          <w:rFonts w:ascii="Garamond" w:eastAsia="Calibri" w:hAnsi="Garamond" w:cs="Times New Roman"/>
        </w:rPr>
        <w:t xml:space="preserve">and a collection of prayers and sayings as </w:t>
      </w:r>
      <w:r w:rsidRPr="003037D2">
        <w:rPr>
          <w:rFonts w:ascii="Garamond" w:eastAsia="Calibri" w:hAnsi="Garamond" w:cs="Times New Roman"/>
          <w:i/>
        </w:rPr>
        <w:t>Herbert's Remains, Or, Sundry Pieces Of that sweet Singer of the Temple</w:t>
      </w:r>
      <w:r w:rsidRPr="003037D2">
        <w:rPr>
          <w:rFonts w:ascii="Garamond" w:eastAsia="Calibri" w:hAnsi="Garamond" w:cs="Times New Roman"/>
        </w:rPr>
        <w:t xml:space="preserve"> (1652). ‘The Church Porch’ was similarly popular, later translated into Latin by Williams Dillingham in 1678, and treasured by generations of readers, with many, including John Ruskin two-hundred years after its publication, learning it by heart.</w:t>
      </w:r>
      <w:r w:rsidRPr="003037D2">
        <w:rPr>
          <w:rFonts w:ascii="Garamond" w:eastAsia="Calibri" w:hAnsi="Garamond" w:cs="Times New Roman"/>
          <w:vertAlign w:val="superscript"/>
        </w:rPr>
        <w:footnoteReference w:id="514"/>
      </w:r>
      <w:r w:rsidRPr="003037D2">
        <w:rPr>
          <w:rFonts w:ascii="Garamond" w:eastAsia="Calibri" w:hAnsi="Garamond" w:cs="Times New Roman"/>
        </w:rPr>
        <w:t xml:space="preserve"> A mid-seventeenth-century domestic notebook, now held in the Bodleian, records the family accounts of the Cartwrights of </w:t>
      </w:r>
      <w:proofErr w:type="spellStart"/>
      <w:r w:rsidRPr="003037D2">
        <w:rPr>
          <w:rFonts w:ascii="Garamond" w:eastAsia="Calibri" w:hAnsi="Garamond" w:cs="Times New Roman"/>
        </w:rPr>
        <w:t>Anyhoe</w:t>
      </w:r>
      <w:proofErr w:type="spellEnd"/>
      <w:r w:rsidRPr="003037D2">
        <w:rPr>
          <w:rFonts w:ascii="Garamond" w:eastAsia="Calibri" w:hAnsi="Garamond" w:cs="Times New Roman"/>
        </w:rPr>
        <w:t xml:space="preserve">, who copied out couplets from ‘The Church-Porch’. The direction to ‘stay at the third </w:t>
      </w:r>
      <w:proofErr w:type="spellStart"/>
      <w:r w:rsidRPr="003037D2">
        <w:rPr>
          <w:rFonts w:ascii="Garamond" w:eastAsia="Calibri" w:hAnsi="Garamond" w:cs="Times New Roman"/>
        </w:rPr>
        <w:t>glasse</w:t>
      </w:r>
      <w:proofErr w:type="spellEnd"/>
      <w:r w:rsidRPr="003037D2">
        <w:rPr>
          <w:rFonts w:ascii="Garamond" w:eastAsia="Calibri" w:hAnsi="Garamond" w:cs="Times New Roman"/>
        </w:rPr>
        <w:t>’ sits beneath a heading from ‘</w:t>
      </w:r>
      <w:proofErr w:type="spellStart"/>
      <w:r w:rsidRPr="003037D2">
        <w:rPr>
          <w:rFonts w:ascii="Garamond" w:eastAsia="Calibri" w:hAnsi="Garamond" w:cs="Times New Roman"/>
        </w:rPr>
        <w:t>Annot</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Quaedam</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extem</w:t>
      </w:r>
      <w:proofErr w:type="spellEnd"/>
      <w:r w:rsidRPr="003037D2">
        <w:rPr>
          <w:rFonts w:ascii="Garamond" w:eastAsia="Calibri" w:hAnsi="Garamond" w:cs="Times New Roman"/>
        </w:rPr>
        <w:t>: Herbert. Poem’. Helen Wilcox suggests that the wide-ranging mix of ‘sacred and secular in the volume’ is a ‘sign of the ease with which Herbert’s poems were absorbed into one particular family’s cultural memory’.</w:t>
      </w:r>
      <w:r w:rsidRPr="003037D2">
        <w:rPr>
          <w:rFonts w:ascii="Garamond" w:eastAsia="Calibri" w:hAnsi="Garamond" w:cs="Times New Roman"/>
          <w:vertAlign w:val="superscript"/>
        </w:rPr>
        <w:footnoteReference w:id="515"/>
      </w:r>
      <w:r w:rsidRPr="003037D2">
        <w:rPr>
          <w:rFonts w:ascii="Garamond" w:eastAsia="Calibri" w:hAnsi="Garamond" w:cs="Times New Roman"/>
        </w:rPr>
        <w:t xml:space="preserve"> One of Herbert’s contemporary readers, the </w:t>
      </w:r>
      <w:proofErr w:type="spellStart"/>
      <w:r w:rsidRPr="003037D2">
        <w:rPr>
          <w:rFonts w:ascii="Garamond" w:eastAsia="Calibri" w:hAnsi="Garamond" w:cs="Times New Roman"/>
        </w:rPr>
        <w:t>Revernd</w:t>
      </w:r>
      <w:proofErr w:type="spellEnd"/>
      <w:r w:rsidRPr="003037D2">
        <w:rPr>
          <w:rFonts w:ascii="Garamond" w:eastAsia="Calibri" w:hAnsi="Garamond" w:cs="Times New Roman"/>
        </w:rPr>
        <w:t xml:space="preserve"> Oliver Heywood, copied ‘The Church Porch’ in full into his diary and memorandum book, alongside ‘</w:t>
      </w:r>
      <w:proofErr w:type="spellStart"/>
      <w:r w:rsidRPr="003037D2">
        <w:rPr>
          <w:rFonts w:ascii="Garamond" w:eastAsia="Calibri" w:hAnsi="Garamond" w:cs="Times New Roman"/>
        </w:rPr>
        <w:t>Perirranterium</w:t>
      </w:r>
      <w:proofErr w:type="spellEnd"/>
      <w:r w:rsidRPr="003037D2">
        <w:rPr>
          <w:rFonts w:ascii="Garamond" w:eastAsia="Calibri" w:hAnsi="Garamond" w:cs="Times New Roman"/>
        </w:rPr>
        <w:t>’ and eighteen more of Herbert’s poems.</w:t>
      </w:r>
      <w:r w:rsidRPr="003037D2">
        <w:rPr>
          <w:rFonts w:ascii="Garamond" w:eastAsia="Calibri" w:hAnsi="Garamond" w:cs="Times New Roman"/>
          <w:vertAlign w:val="superscript"/>
        </w:rPr>
        <w:footnoteReference w:id="516"/>
      </w:r>
      <w:r w:rsidRPr="003037D2">
        <w:rPr>
          <w:rFonts w:ascii="Garamond" w:eastAsia="Calibri" w:hAnsi="Garamond" w:cs="Times New Roman"/>
        </w:rPr>
        <w:t xml:space="preserve"> These are followed immediately by a list of resolutions, entitled ‘Rules of Practice I desire to charge upon my own base heart in the course of my life’ Heywood’s first ‘rule’ is ‘Be serious (whether short or long in all religious exercises) doe thy best in al the </w:t>
      </w:r>
      <w:proofErr w:type="spellStart"/>
      <w:r w:rsidRPr="003037D2">
        <w:rPr>
          <w:rFonts w:ascii="Garamond" w:eastAsia="Calibri" w:hAnsi="Garamond" w:cs="Times New Roman"/>
        </w:rPr>
        <w:t>weekes</w:t>
      </w:r>
      <w:proofErr w:type="spellEnd"/>
      <w:r w:rsidRPr="003037D2">
        <w:rPr>
          <w:rFonts w:ascii="Garamond" w:eastAsia="Calibri" w:hAnsi="Garamond" w:cs="Times New Roman"/>
        </w:rPr>
        <w:t xml:space="preserve">, trifle not in any thing, much </w:t>
      </w:r>
      <w:proofErr w:type="spellStart"/>
      <w:r w:rsidRPr="003037D2">
        <w:rPr>
          <w:rFonts w:ascii="Garamond" w:eastAsia="Calibri" w:hAnsi="Garamond" w:cs="Times New Roman"/>
        </w:rPr>
        <w:t>lesse</w:t>
      </w:r>
      <w:proofErr w:type="spellEnd"/>
      <w:r w:rsidRPr="003037D2">
        <w:rPr>
          <w:rFonts w:ascii="Garamond" w:eastAsia="Calibri" w:hAnsi="Garamond" w:cs="Times New Roman"/>
        </w:rPr>
        <w:t xml:space="preserve"> in the </w:t>
      </w:r>
      <w:proofErr w:type="spellStart"/>
      <w:r w:rsidRPr="003037D2">
        <w:rPr>
          <w:rFonts w:ascii="Garamond" w:eastAsia="Calibri" w:hAnsi="Garamond" w:cs="Times New Roman"/>
        </w:rPr>
        <w:t>dutys</w:t>
      </w:r>
      <w:proofErr w:type="spellEnd"/>
      <w:r w:rsidRPr="003037D2">
        <w:rPr>
          <w:rFonts w:ascii="Garamond" w:eastAsia="Calibri" w:hAnsi="Garamond" w:cs="Times New Roman"/>
        </w:rPr>
        <w:t xml:space="preserve"> of religion’.</w:t>
      </w:r>
      <w:r w:rsidRPr="003037D2">
        <w:rPr>
          <w:rFonts w:ascii="Garamond" w:eastAsia="Calibri" w:hAnsi="Garamond" w:cs="Times New Roman"/>
          <w:vertAlign w:val="superscript"/>
        </w:rPr>
        <w:footnoteReference w:id="517"/>
      </w:r>
      <w:r w:rsidRPr="003037D2">
        <w:rPr>
          <w:rFonts w:ascii="Garamond" w:eastAsia="Calibri" w:hAnsi="Garamond" w:cs="Times New Roman"/>
        </w:rPr>
        <w:t xml:space="preserve"> After these resolutions, Heywood has several pages of his personal diary, and then information about his other notebooks which contain his sermon notes. Herbert’s </w:t>
      </w:r>
      <w:r w:rsidRPr="003037D2">
        <w:rPr>
          <w:rFonts w:ascii="Garamond" w:eastAsia="Calibri" w:hAnsi="Garamond" w:cs="Times New Roman"/>
        </w:rPr>
        <w:lastRenderedPageBreak/>
        <w:t xml:space="preserve">poems have been amalgamated into a personal work of self-improvement. The enduring popularity of both ‘The Church Porch’ and </w:t>
      </w:r>
      <w:r w:rsidRPr="003037D2">
        <w:rPr>
          <w:rFonts w:ascii="Garamond" w:eastAsia="Calibri" w:hAnsi="Garamond" w:cs="Times New Roman"/>
          <w:i/>
        </w:rPr>
        <w:t xml:space="preserve">Outlandish Proverbs </w:t>
      </w:r>
      <w:r w:rsidRPr="003037D2">
        <w:rPr>
          <w:rFonts w:ascii="Garamond" w:eastAsia="Calibri" w:hAnsi="Garamond" w:cs="Times New Roman"/>
        </w:rPr>
        <w:t xml:space="preserve">demonstrates that aphorisms were valued by Herbert’s readers, these sayings remained ‘timeless’ and valuable for at least two centuries after their publication. By repeating and reusing these pieces of advice, readers not only accessed personal mnemonic devices to prompt them towards </w:t>
      </w:r>
      <w:proofErr w:type="gramStart"/>
      <w:r w:rsidRPr="003037D2">
        <w:rPr>
          <w:rFonts w:ascii="Garamond" w:eastAsia="Calibri" w:hAnsi="Garamond" w:cs="Times New Roman"/>
        </w:rPr>
        <w:t>more godly</w:t>
      </w:r>
      <w:proofErr w:type="gramEnd"/>
      <w:r w:rsidRPr="003037D2">
        <w:rPr>
          <w:rFonts w:ascii="Garamond" w:eastAsia="Calibri" w:hAnsi="Garamond" w:cs="Times New Roman"/>
        </w:rPr>
        <w:t xml:space="preserve"> </w:t>
      </w:r>
      <w:proofErr w:type="spellStart"/>
      <w:r w:rsidRPr="003037D2">
        <w:rPr>
          <w:rFonts w:ascii="Garamond" w:eastAsia="Calibri" w:hAnsi="Garamond" w:cs="Times New Roman"/>
        </w:rPr>
        <w:t>behaviour</w:t>
      </w:r>
      <w:proofErr w:type="spellEnd"/>
      <w:r w:rsidRPr="003037D2">
        <w:rPr>
          <w:rFonts w:ascii="Garamond" w:eastAsia="Calibri" w:hAnsi="Garamond" w:cs="Times New Roman"/>
        </w:rPr>
        <w:t xml:space="preserve">, but accessed a broader bank of communal memory. These shared sayings gain more meaning with every repetition. </w:t>
      </w:r>
    </w:p>
    <w:p w14:paraId="66D32486" w14:textId="77777777" w:rsidR="00162224" w:rsidRPr="003037D2" w:rsidRDefault="00162224" w:rsidP="00162224">
      <w:pPr>
        <w:spacing w:line="360" w:lineRule="auto"/>
        <w:ind w:firstLine="360"/>
        <w:rPr>
          <w:rFonts w:ascii="Garamond" w:eastAsia="Calibri" w:hAnsi="Garamond" w:cs="Times New Roman"/>
        </w:rPr>
      </w:pPr>
    </w:p>
    <w:p w14:paraId="4D2D1E2B" w14:textId="77777777" w:rsidR="00162224" w:rsidRPr="003037D2" w:rsidRDefault="00162224" w:rsidP="00162224">
      <w:pPr>
        <w:spacing w:line="360" w:lineRule="auto"/>
        <w:ind w:firstLine="720"/>
        <w:rPr>
          <w:rFonts w:ascii="Garamond" w:eastAsia="Calibri" w:hAnsi="Garamond" w:cs="Times New Roman"/>
        </w:rPr>
      </w:pPr>
    </w:p>
    <w:p w14:paraId="56EB2A44" w14:textId="77777777" w:rsidR="00162224" w:rsidRPr="003037D2" w:rsidRDefault="00162224" w:rsidP="00162224">
      <w:pPr>
        <w:keepNext/>
        <w:keepLines/>
        <w:numPr>
          <w:ilvl w:val="0"/>
          <w:numId w:val="11"/>
        </w:numPr>
        <w:spacing w:before="40" w:line="360" w:lineRule="auto"/>
        <w:outlineLvl w:val="1"/>
        <w:rPr>
          <w:rFonts w:ascii="Garamond" w:eastAsia="Times New Roman" w:hAnsi="Garamond" w:cs="Times New Roman"/>
          <w:b/>
          <w:bCs/>
          <w:sz w:val="28"/>
          <w:szCs w:val="28"/>
        </w:rPr>
      </w:pPr>
      <w:bookmarkStart w:id="55" w:name="_Toc3967183"/>
      <w:r w:rsidRPr="003037D2">
        <w:rPr>
          <w:rFonts w:ascii="Garamond" w:eastAsia="Times New Roman" w:hAnsi="Garamond" w:cs="Times New Roman"/>
          <w:b/>
          <w:bCs/>
          <w:sz w:val="28"/>
          <w:szCs w:val="28"/>
        </w:rPr>
        <w:t xml:space="preserve">Writing as </w:t>
      </w:r>
      <w:proofErr w:type="spellStart"/>
      <w:r w:rsidRPr="003037D2">
        <w:rPr>
          <w:rFonts w:ascii="Garamond" w:eastAsia="Calibri" w:hAnsi="Garamond" w:cs="Times New Roman"/>
          <w:b/>
          <w:bCs/>
          <w:i/>
          <w:sz w:val="28"/>
          <w:szCs w:val="28"/>
        </w:rPr>
        <w:t>exaedificare</w:t>
      </w:r>
      <w:proofErr w:type="spellEnd"/>
      <w:r w:rsidRPr="003037D2">
        <w:rPr>
          <w:rFonts w:ascii="Garamond" w:eastAsia="Calibri" w:hAnsi="Garamond" w:cs="Times New Roman"/>
          <w:b/>
          <w:bCs/>
          <w:iCs/>
          <w:sz w:val="28"/>
          <w:szCs w:val="28"/>
        </w:rPr>
        <w:t>: Herbert’s Hieroglyph poems</w:t>
      </w:r>
      <w:bookmarkEnd w:id="55"/>
      <w:r w:rsidRPr="003037D2">
        <w:rPr>
          <w:rFonts w:ascii="Garamond" w:eastAsia="Calibri" w:hAnsi="Garamond" w:cs="Times New Roman"/>
          <w:b/>
          <w:bCs/>
          <w:i/>
          <w:sz w:val="28"/>
          <w:szCs w:val="28"/>
        </w:rPr>
        <w:t xml:space="preserve"> </w:t>
      </w:r>
      <w:r w:rsidRPr="003037D2">
        <w:rPr>
          <w:rFonts w:ascii="Garamond" w:eastAsia="Times New Roman" w:hAnsi="Garamond" w:cs="Times New Roman"/>
          <w:b/>
          <w:bCs/>
          <w:sz w:val="28"/>
          <w:szCs w:val="28"/>
        </w:rPr>
        <w:t xml:space="preserve"> </w:t>
      </w:r>
    </w:p>
    <w:p w14:paraId="16C159F5" w14:textId="77777777" w:rsidR="00162224" w:rsidRPr="003037D2" w:rsidRDefault="00162224" w:rsidP="00162224">
      <w:pPr>
        <w:spacing w:line="360" w:lineRule="auto"/>
        <w:rPr>
          <w:rFonts w:ascii="Garamond" w:eastAsia="Calibri" w:hAnsi="Garamond" w:cs="Times New Roman"/>
        </w:rPr>
      </w:pPr>
    </w:p>
    <w:p w14:paraId="12A4CB06" w14:textId="72175459" w:rsidR="00162224" w:rsidRPr="003037D2" w:rsidRDefault="00162224" w:rsidP="00162224">
      <w:pPr>
        <w:spacing w:line="360" w:lineRule="auto"/>
        <w:ind w:firstLine="567"/>
        <w:rPr>
          <w:rFonts w:ascii="Garamond" w:eastAsia="Calibri" w:hAnsi="Garamond" w:cs="Times New Roman"/>
        </w:rPr>
      </w:pPr>
      <w:r w:rsidRPr="003037D2">
        <w:rPr>
          <w:rFonts w:ascii="Garamond" w:eastAsia="Calibri" w:hAnsi="Garamond" w:cs="Times New Roman"/>
        </w:rPr>
        <w:t>In this section, I explore how symbolic language attempts to overleap the gap in time between the perfected language prior to Bab</w:t>
      </w:r>
      <w:r w:rsidR="00EF635C" w:rsidRPr="003037D2">
        <w:rPr>
          <w:rFonts w:ascii="Garamond" w:eastAsia="Calibri" w:hAnsi="Garamond" w:cs="Times New Roman"/>
        </w:rPr>
        <w:t>el</w:t>
      </w:r>
      <w:r w:rsidRPr="003037D2">
        <w:rPr>
          <w:rFonts w:ascii="Garamond" w:eastAsia="Calibri" w:hAnsi="Garamond" w:cs="Times New Roman"/>
        </w:rPr>
        <w:t xml:space="preserve"> and that of the present day. In ‘Holy Scriptures (I)’ Herbert declares, ‘O Book! infinite sweetness! let my heart/ Suck </w:t>
      </w:r>
      <w:proofErr w:type="spellStart"/>
      <w:r w:rsidRPr="003037D2">
        <w:rPr>
          <w:rFonts w:ascii="Garamond" w:eastAsia="Calibri" w:hAnsi="Garamond" w:cs="Times New Roman"/>
        </w:rPr>
        <w:t>ev’ry</w:t>
      </w:r>
      <w:proofErr w:type="spellEnd"/>
      <w:r w:rsidRPr="003037D2">
        <w:rPr>
          <w:rFonts w:ascii="Garamond" w:eastAsia="Calibri" w:hAnsi="Garamond" w:cs="Times New Roman"/>
        </w:rPr>
        <w:t xml:space="preserve"> letter, and a honey gain’.</w:t>
      </w:r>
      <w:r w:rsidRPr="003037D2">
        <w:rPr>
          <w:rFonts w:ascii="Garamond" w:eastAsia="Calibri" w:hAnsi="Garamond" w:cs="Times New Roman"/>
          <w:vertAlign w:val="superscript"/>
        </w:rPr>
        <w:footnoteReference w:id="518"/>
      </w:r>
      <w:r w:rsidRPr="003037D2">
        <w:rPr>
          <w:rFonts w:ascii="Garamond" w:eastAsia="Calibri" w:hAnsi="Garamond" w:cs="Times New Roman"/>
        </w:rPr>
        <w:t xml:space="preserve"> Herbert’s focus on individual, honeyed letters is more than </w:t>
      </w:r>
      <w:r w:rsidR="00DB36C7" w:rsidRPr="003037D2">
        <w:rPr>
          <w:rFonts w:ascii="Garamond" w:eastAsia="Calibri" w:hAnsi="Garamond" w:cs="Times New Roman"/>
        </w:rPr>
        <w:t xml:space="preserve">just </w:t>
      </w:r>
      <w:r w:rsidRPr="003037D2">
        <w:rPr>
          <w:rFonts w:ascii="Garamond" w:eastAsia="Calibri" w:hAnsi="Garamond" w:cs="Times New Roman"/>
        </w:rPr>
        <w:t xml:space="preserve">rhetoric. He draws on the notion of language as holding symbolic meaning that can be recovered and </w:t>
      </w:r>
      <w:proofErr w:type="spellStart"/>
      <w:r w:rsidRPr="003037D2">
        <w:rPr>
          <w:rFonts w:ascii="Garamond" w:eastAsia="Calibri" w:hAnsi="Garamond" w:cs="Times New Roman"/>
        </w:rPr>
        <w:t>utilised</w:t>
      </w:r>
      <w:proofErr w:type="spellEnd"/>
      <w:r w:rsidRPr="003037D2">
        <w:rPr>
          <w:rFonts w:ascii="Garamond" w:eastAsia="Calibri" w:hAnsi="Garamond" w:cs="Times New Roman"/>
        </w:rPr>
        <w:t xml:space="preserve">. Herbert’s wordplay reveals his belief in the didactic power of language. In ‘Anagram’ for instance, he playfully posits, ‘How well her name an </w:t>
      </w:r>
      <w:r w:rsidRPr="003037D2">
        <w:rPr>
          <w:rFonts w:ascii="Garamond" w:eastAsia="Calibri" w:hAnsi="Garamond" w:cs="Times New Roman"/>
          <w:i/>
        </w:rPr>
        <w:t xml:space="preserve">Army </w:t>
      </w:r>
      <w:r w:rsidRPr="003037D2">
        <w:rPr>
          <w:rFonts w:ascii="Garamond" w:eastAsia="Calibri" w:hAnsi="Garamond" w:cs="Times New Roman"/>
        </w:rPr>
        <w:t xml:space="preserve">doth present,/ In whom the </w:t>
      </w:r>
      <w:r w:rsidRPr="003037D2">
        <w:rPr>
          <w:rFonts w:ascii="Garamond" w:eastAsia="Calibri" w:hAnsi="Garamond" w:cs="Times New Roman"/>
          <w:i/>
        </w:rPr>
        <w:t xml:space="preserve">Lord of Hosts </w:t>
      </w:r>
      <w:r w:rsidRPr="003037D2">
        <w:rPr>
          <w:rFonts w:ascii="Garamond" w:eastAsia="Calibri" w:hAnsi="Garamond" w:cs="Times New Roman"/>
        </w:rPr>
        <w:t>did pitch his tent’.</w:t>
      </w:r>
      <w:r w:rsidRPr="003037D2">
        <w:rPr>
          <w:rFonts w:ascii="Garamond" w:eastAsia="Calibri" w:hAnsi="Garamond" w:cs="Times New Roman"/>
          <w:vertAlign w:val="superscript"/>
        </w:rPr>
        <w:footnoteReference w:id="519"/>
      </w:r>
      <w:r w:rsidRPr="003037D2">
        <w:rPr>
          <w:rFonts w:ascii="Garamond" w:eastAsia="Calibri" w:hAnsi="Garamond" w:cs="Times New Roman"/>
        </w:rPr>
        <w:t xml:space="preserve"> As can be seen in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_Ref497743403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27</w:t>
      </w:r>
      <w:r w:rsidRPr="003037D2">
        <w:rPr>
          <w:rFonts w:ascii="Garamond" w:eastAsia="Calibri" w:hAnsi="Garamond" w:cs="Times New Roman"/>
        </w:rPr>
        <w:fldChar w:fldCharType="end"/>
      </w:r>
      <w:r w:rsidRPr="003037D2">
        <w:rPr>
          <w:rFonts w:ascii="Garamond" w:eastAsia="Calibri" w:hAnsi="Garamond" w:cs="Times New Roman"/>
        </w:rPr>
        <w:t xml:space="preserve">, the title suspends the Mary/Army anagram between two braces, not only allowing the reader to select which of the two they will focus upon, but creating another ‘tent’ visually, an open space of language and form for the reader to contemplate. The black lines enclosing the couplet on the page similarly creates another womb-like space, a further pairing in this poem that delights in doubles. Other poems where Herbert plays with the minutiae of language visually on the page include ‘Paradise’, ‘Colossians 33’, ‘Love-Joy’, ‘A </w:t>
      </w:r>
      <w:proofErr w:type="spellStart"/>
      <w:r w:rsidRPr="003037D2">
        <w:rPr>
          <w:rFonts w:ascii="Garamond" w:eastAsia="Calibri" w:hAnsi="Garamond" w:cs="Times New Roman"/>
        </w:rPr>
        <w:t>Diaglogue</w:t>
      </w:r>
      <w:proofErr w:type="spellEnd"/>
      <w:r w:rsidRPr="003037D2">
        <w:rPr>
          <w:rFonts w:ascii="Garamond" w:eastAsia="Calibri" w:hAnsi="Garamond" w:cs="Times New Roman"/>
        </w:rPr>
        <w:t>-Anthem’, ‘The Water-Course’, ‘JESU’, and ‘Heaven’. These poems, sometimes referred to as ‘hieroglyph poems’ have escaped much critical comment. The visual trickery and wordplay almost repel analysis in their simplicity.</w:t>
      </w:r>
      <w:r w:rsidRPr="003037D2">
        <w:rPr>
          <w:rFonts w:ascii="Garamond" w:eastAsia="Calibri" w:hAnsi="Garamond" w:cs="Times New Roman"/>
          <w:vertAlign w:val="superscript"/>
        </w:rPr>
        <w:footnoteReference w:id="520"/>
      </w:r>
      <w:r w:rsidRPr="003037D2">
        <w:rPr>
          <w:rFonts w:ascii="Garamond" w:eastAsia="Calibri" w:hAnsi="Garamond" w:cs="Times New Roman"/>
        </w:rPr>
        <w:t xml:space="preserve"> However, Herbert’s own words regarding the importance of scripture, in which every letter can provide honey, suggests that he advocates that his readers pause on these poems. The reader’s attention is physically drawn to individual letters, both aurally and </w:t>
      </w:r>
      <w:r w:rsidRPr="003037D2">
        <w:rPr>
          <w:rFonts w:ascii="Garamond" w:eastAsia="Calibri" w:hAnsi="Garamond" w:cs="Times New Roman"/>
        </w:rPr>
        <w:lastRenderedPageBreak/>
        <w:t xml:space="preserve">visually. Heather </w:t>
      </w:r>
      <w:proofErr w:type="spellStart"/>
      <w:r w:rsidRPr="003037D2">
        <w:rPr>
          <w:rFonts w:ascii="Garamond" w:eastAsia="Calibri" w:hAnsi="Garamond" w:cs="Times New Roman"/>
        </w:rPr>
        <w:t>Asals</w:t>
      </w:r>
      <w:proofErr w:type="spellEnd"/>
      <w:r w:rsidRPr="003037D2">
        <w:rPr>
          <w:rFonts w:ascii="Garamond" w:eastAsia="Calibri" w:hAnsi="Garamond" w:cs="Times New Roman"/>
        </w:rPr>
        <w:t xml:space="preserve"> has argued that Herbert’s tendency to break down words into their constituent parts to reveal a ‘true meaning’ is akin to the breaking of the body of Christ when taking the Eucharist, and has such holds sacramental meaning.</w:t>
      </w:r>
      <w:r w:rsidRPr="003037D2">
        <w:rPr>
          <w:rFonts w:ascii="Garamond" w:eastAsia="Calibri" w:hAnsi="Garamond" w:cs="Times New Roman"/>
          <w:vertAlign w:val="superscript"/>
        </w:rPr>
        <w:footnoteReference w:id="521"/>
      </w:r>
      <w:r w:rsidRPr="003037D2">
        <w:rPr>
          <w:rFonts w:ascii="Garamond" w:eastAsia="Calibri" w:hAnsi="Garamond" w:cs="Times New Roman"/>
        </w:rPr>
        <w:t xml:space="preserve"> Helen Wilcox notes the recurrence of the term ‘spell’ throughout </w:t>
      </w:r>
      <w:r w:rsidRPr="003037D2">
        <w:rPr>
          <w:rFonts w:ascii="Garamond" w:eastAsia="Calibri" w:hAnsi="Garamond" w:cs="Times New Roman"/>
          <w:i/>
          <w:iCs/>
        </w:rPr>
        <w:t xml:space="preserve">The Temple, </w:t>
      </w:r>
      <w:r w:rsidRPr="003037D2">
        <w:rPr>
          <w:rFonts w:ascii="Garamond" w:eastAsia="Calibri" w:hAnsi="Garamond" w:cs="Times New Roman"/>
        </w:rPr>
        <w:t>arguing that Herbert’s declaration in ‘The Flower’ that ‘Thy word is all, if we could spell’ is one of his most important lines.</w:t>
      </w:r>
      <w:r w:rsidRPr="003037D2">
        <w:rPr>
          <w:rFonts w:ascii="Garamond" w:eastAsia="Calibri" w:hAnsi="Garamond" w:cs="Times New Roman"/>
          <w:vertAlign w:val="superscript"/>
        </w:rPr>
        <w:footnoteReference w:id="522"/>
      </w:r>
      <w:r w:rsidRPr="003037D2">
        <w:rPr>
          <w:rFonts w:ascii="Garamond" w:eastAsia="Calibri" w:hAnsi="Garamond" w:cs="Times New Roman"/>
        </w:rPr>
        <w:t xml:space="preserve"> Spelling involves both building up words through writing, and breaking them down into their constituent parts when reading. For Wilcox, this invocation to spell in ‘The Flower’ indicates a process not only of ‘understanding God… but also imitating him and putting his teachings into practice’.</w:t>
      </w:r>
      <w:r w:rsidRPr="003037D2">
        <w:rPr>
          <w:rFonts w:ascii="Garamond" w:eastAsia="Calibri" w:hAnsi="Garamond" w:cs="Times New Roman"/>
          <w:vertAlign w:val="superscript"/>
        </w:rPr>
        <w:footnoteReference w:id="523"/>
      </w:r>
      <w:r w:rsidRPr="003037D2">
        <w:rPr>
          <w:rFonts w:ascii="Garamond" w:eastAsia="Calibri" w:hAnsi="Garamond" w:cs="Times New Roman"/>
        </w:rPr>
        <w:t xml:space="preserve"> Of course, this works alongside other more traditional methods of reading. As Herbert declares in </w:t>
      </w:r>
      <w:r w:rsidRPr="003037D2">
        <w:rPr>
          <w:rFonts w:ascii="Garamond" w:eastAsia="Calibri" w:hAnsi="Garamond" w:cs="Times New Roman"/>
          <w:i/>
        </w:rPr>
        <w:t xml:space="preserve">The Country Parson, </w:t>
      </w:r>
      <w:r w:rsidRPr="003037D2">
        <w:rPr>
          <w:rFonts w:ascii="Garamond" w:eastAsia="Calibri" w:hAnsi="Garamond" w:cs="Times New Roman"/>
        </w:rPr>
        <w:t>‘In the Scriptures he finds four things: precepts for life, doctrines for knowledge, examples for illustration, and promises for comfort; these he hath digested severally’.</w:t>
      </w:r>
      <w:r w:rsidRPr="003037D2">
        <w:rPr>
          <w:rFonts w:ascii="Garamond" w:eastAsia="Calibri" w:hAnsi="Garamond" w:cs="Times New Roman"/>
          <w:vertAlign w:val="superscript"/>
        </w:rPr>
        <w:footnoteReference w:id="524"/>
      </w:r>
      <w:r w:rsidRPr="003037D2">
        <w:rPr>
          <w:rFonts w:ascii="Garamond" w:eastAsia="Calibri" w:hAnsi="Garamond" w:cs="Times New Roman"/>
        </w:rPr>
        <w:t xml:space="preserve"> Perhaps the practice of wordplay and punning was one way in which this ‘digestion’ could take place: the enclosed space of ‘Anagram’ standing in for the stomach as well as the womb. The need for the ‘digestion’ of scripture indicates the time that is needed to process these words: repeating them, chewing them over and amalgamating them into one’s life going forward. </w:t>
      </w:r>
    </w:p>
    <w:p w14:paraId="570D4F70" w14:textId="77777777" w:rsidR="00162224" w:rsidRPr="003037D2" w:rsidRDefault="00162224" w:rsidP="00162224">
      <w:pPr>
        <w:spacing w:line="360" w:lineRule="auto"/>
        <w:ind w:firstLine="567"/>
        <w:rPr>
          <w:rFonts w:ascii="Garamond" w:eastAsia="Calibri" w:hAnsi="Garamond" w:cs="Times New Roman"/>
        </w:rPr>
      </w:pPr>
    </w:p>
    <w:p w14:paraId="34AD669C" w14:textId="003A79F5"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Hieroglyph poems play on the significance of individual letters and words, exploiting the resonance between the visual form and the object signified. This sort of wordplay depends on an understanding of language as symbolic which in turn prompts important questions about temporality: how words and images function within time and how language intersects with memory. For Renaissance readers, symbolic language attempts to overleap time, reaching back to an unfallen state before Babel. Renaissance linguistic theory proposed that individual written letters held symbolical significance. Humanist, Neoplatonist, and Cabalistic understandings of language were combined to create a ‘view of words as material things that belong to the same network of resemblances that endows natural objects with allegorical meaning’.</w:t>
      </w:r>
      <w:r w:rsidRPr="003037D2">
        <w:rPr>
          <w:rFonts w:ascii="Garamond" w:eastAsia="Calibri" w:hAnsi="Garamond" w:cs="Times New Roman"/>
          <w:vertAlign w:val="superscript"/>
        </w:rPr>
        <w:footnoteReference w:id="525"/>
      </w:r>
      <w:r w:rsidRPr="003037D2">
        <w:rPr>
          <w:rFonts w:ascii="Garamond" w:eastAsia="Calibri" w:hAnsi="Garamond" w:cs="Times New Roman"/>
        </w:rPr>
        <w:t xml:space="preserve"> Thomas Smith’s influential </w:t>
      </w:r>
      <w:r w:rsidRPr="003037D2">
        <w:rPr>
          <w:rFonts w:ascii="Garamond" w:eastAsia="Calibri" w:hAnsi="Garamond" w:cs="Times New Roman"/>
          <w:i/>
        </w:rPr>
        <w:t xml:space="preserve">De recta et </w:t>
      </w:r>
      <w:proofErr w:type="spellStart"/>
      <w:r w:rsidRPr="003037D2">
        <w:rPr>
          <w:rFonts w:ascii="Garamond" w:eastAsia="Calibri" w:hAnsi="Garamond" w:cs="Times New Roman"/>
          <w:i/>
        </w:rPr>
        <w:t>emendat</w:t>
      </w:r>
      <w:r w:rsidR="00EF635C" w:rsidRPr="003037D2">
        <w:rPr>
          <w:rFonts w:ascii="Garamond" w:eastAsia="Calibri" w:hAnsi="Garamond" w:cs="Times New Roman"/>
          <w:i/>
        </w:rPr>
        <w:t>a</w:t>
      </w:r>
      <w:proofErr w:type="spellEnd"/>
      <w:r w:rsidRPr="003037D2">
        <w:rPr>
          <w:rFonts w:ascii="Garamond" w:eastAsia="Calibri" w:hAnsi="Garamond" w:cs="Times New Roman"/>
          <w:i/>
        </w:rPr>
        <w:t xml:space="preserve"> linguae </w:t>
      </w:r>
      <w:proofErr w:type="spellStart"/>
      <w:r w:rsidRPr="003037D2">
        <w:rPr>
          <w:rFonts w:ascii="Garamond" w:eastAsia="Calibri" w:hAnsi="Garamond" w:cs="Times New Roman"/>
          <w:i/>
        </w:rPr>
        <w:t>Anglicae</w:t>
      </w:r>
      <w:proofErr w:type="spellEnd"/>
      <w:r w:rsidRPr="003037D2">
        <w:rPr>
          <w:rFonts w:ascii="Garamond" w:eastAsia="Calibri" w:hAnsi="Garamond" w:cs="Times New Roman"/>
          <w:i/>
        </w:rPr>
        <w:t xml:space="preserve"> </w:t>
      </w:r>
      <w:proofErr w:type="spellStart"/>
      <w:r w:rsidRPr="003037D2">
        <w:rPr>
          <w:rFonts w:ascii="Garamond" w:eastAsia="Calibri" w:hAnsi="Garamond" w:cs="Times New Roman"/>
          <w:i/>
        </w:rPr>
        <w:t>scriptione</w:t>
      </w:r>
      <w:proofErr w:type="spellEnd"/>
      <w:r w:rsidRPr="003037D2">
        <w:rPr>
          <w:rFonts w:ascii="Garamond" w:eastAsia="Calibri" w:hAnsi="Garamond" w:cs="Times New Roman"/>
          <w:i/>
        </w:rPr>
        <w:t xml:space="preserve">, </w:t>
      </w:r>
      <w:proofErr w:type="spellStart"/>
      <w:r w:rsidRPr="003037D2">
        <w:rPr>
          <w:rFonts w:ascii="Garamond" w:eastAsia="Calibri" w:hAnsi="Garamond" w:cs="Times New Roman"/>
          <w:i/>
        </w:rPr>
        <w:t>dialogus</w:t>
      </w:r>
      <w:proofErr w:type="spellEnd"/>
      <w:r w:rsidRPr="003037D2">
        <w:rPr>
          <w:rFonts w:ascii="Garamond" w:eastAsia="Calibri" w:hAnsi="Garamond" w:cs="Times New Roman"/>
          <w:i/>
        </w:rPr>
        <w:t xml:space="preserve"> </w:t>
      </w:r>
      <w:r w:rsidRPr="003037D2">
        <w:rPr>
          <w:rFonts w:ascii="Garamond" w:eastAsia="Calibri" w:hAnsi="Garamond" w:cs="Times New Roman"/>
        </w:rPr>
        <w:t xml:space="preserve">(1568) proposes that letters are manmade symbols of spoken sounds, a principle that formed the basis for many </w:t>
      </w:r>
      <w:r w:rsidRPr="003037D2">
        <w:rPr>
          <w:rFonts w:ascii="Garamond" w:eastAsia="Calibri" w:hAnsi="Garamond" w:cs="Times New Roman"/>
        </w:rPr>
        <w:lastRenderedPageBreak/>
        <w:t>Humanist works of orthography.</w:t>
      </w:r>
      <w:r w:rsidRPr="003037D2">
        <w:rPr>
          <w:rFonts w:ascii="Garamond" w:eastAsia="Calibri" w:hAnsi="Garamond" w:cs="Times New Roman"/>
          <w:vertAlign w:val="superscript"/>
        </w:rPr>
        <w:footnoteReference w:id="526"/>
      </w:r>
      <w:r w:rsidRPr="003037D2">
        <w:rPr>
          <w:rFonts w:ascii="Garamond" w:eastAsia="Calibri" w:hAnsi="Garamond" w:cs="Times New Roman"/>
        </w:rPr>
        <w:t xml:space="preserve"> Smith describes letters as </w:t>
      </w:r>
      <w:proofErr w:type="spellStart"/>
      <w:r w:rsidRPr="003037D2">
        <w:rPr>
          <w:rFonts w:ascii="Garamond" w:eastAsia="Calibri" w:hAnsi="Garamond" w:cs="Times New Roman"/>
          <w:i/>
        </w:rPr>
        <w:t>pict</w:t>
      </w:r>
      <w:r w:rsidR="00EF635C" w:rsidRPr="003037D2">
        <w:rPr>
          <w:rFonts w:ascii="Garamond" w:eastAsia="Calibri" w:hAnsi="Garamond" w:cs="Times New Roman"/>
          <w:i/>
        </w:rPr>
        <w:t>u</w:t>
      </w:r>
      <w:r w:rsidRPr="003037D2">
        <w:rPr>
          <w:rFonts w:ascii="Garamond" w:eastAsia="Calibri" w:hAnsi="Garamond" w:cs="Times New Roman"/>
          <w:i/>
        </w:rPr>
        <w:t>ra</w:t>
      </w:r>
      <w:proofErr w:type="spellEnd"/>
      <w:r w:rsidRPr="003037D2">
        <w:rPr>
          <w:rFonts w:ascii="Garamond" w:eastAsia="Calibri" w:hAnsi="Garamond" w:cs="Times New Roman"/>
          <w:i/>
        </w:rPr>
        <w:t xml:space="preserve"> </w:t>
      </w:r>
      <w:proofErr w:type="spellStart"/>
      <w:r w:rsidRPr="003037D2">
        <w:rPr>
          <w:rFonts w:ascii="Garamond" w:eastAsia="Calibri" w:hAnsi="Garamond" w:cs="Times New Roman"/>
          <w:i/>
        </w:rPr>
        <w:t>vocum</w:t>
      </w:r>
      <w:proofErr w:type="spellEnd"/>
      <w:r w:rsidRPr="003037D2">
        <w:rPr>
          <w:rFonts w:ascii="Garamond" w:eastAsia="Calibri" w:hAnsi="Garamond" w:cs="Times New Roman"/>
          <w:i/>
        </w:rPr>
        <w:t xml:space="preserve">, </w:t>
      </w:r>
      <w:r w:rsidRPr="003037D2">
        <w:rPr>
          <w:rFonts w:ascii="Garamond" w:eastAsia="Calibri" w:hAnsi="Garamond" w:cs="Times New Roman"/>
        </w:rPr>
        <w:t>speaking pictures,</w:t>
      </w:r>
      <w:r w:rsidRPr="003037D2">
        <w:rPr>
          <w:rFonts w:ascii="Garamond" w:eastAsia="Calibri" w:hAnsi="Garamond" w:cs="Times New Roman"/>
          <w:i/>
        </w:rPr>
        <w:t xml:space="preserve"> </w:t>
      </w:r>
      <w:r w:rsidRPr="003037D2">
        <w:rPr>
          <w:rFonts w:ascii="Garamond" w:eastAsia="Calibri" w:hAnsi="Garamond" w:cs="Times New Roman"/>
        </w:rPr>
        <w:t>and this metaphor gained a crucial place in the early modern imagination.</w:t>
      </w:r>
      <w:r w:rsidRPr="003037D2">
        <w:rPr>
          <w:rFonts w:ascii="Garamond" w:eastAsia="Calibri" w:hAnsi="Garamond" w:cs="Times New Roman"/>
          <w:vertAlign w:val="superscript"/>
        </w:rPr>
        <w:footnoteReference w:id="527"/>
      </w:r>
      <w:r w:rsidRPr="003037D2">
        <w:rPr>
          <w:rFonts w:ascii="Garamond" w:eastAsia="Calibri" w:hAnsi="Garamond" w:cs="Times New Roman"/>
        </w:rPr>
        <w:t xml:space="preserve"> Letters were seen as material objects in themselves, referred to as ‘shaped, drawn, carved or painted artefacts’.</w:t>
      </w:r>
      <w:r w:rsidRPr="003037D2">
        <w:rPr>
          <w:rFonts w:ascii="Garamond" w:eastAsia="Calibri" w:hAnsi="Garamond" w:cs="Times New Roman"/>
          <w:vertAlign w:val="superscript"/>
        </w:rPr>
        <w:footnoteReference w:id="528"/>
      </w:r>
      <w:r w:rsidRPr="003037D2">
        <w:rPr>
          <w:rFonts w:ascii="Garamond" w:eastAsia="Calibri" w:hAnsi="Garamond" w:cs="Times New Roman"/>
        </w:rPr>
        <w:t xml:space="preserve"> For example, Smith describes the construction of words from individual letters as a process of </w:t>
      </w:r>
      <w:proofErr w:type="spellStart"/>
      <w:r w:rsidRPr="003037D2">
        <w:rPr>
          <w:rFonts w:ascii="Garamond" w:eastAsia="Calibri" w:hAnsi="Garamond" w:cs="Times New Roman"/>
          <w:i/>
        </w:rPr>
        <w:t>exaedificare</w:t>
      </w:r>
      <w:proofErr w:type="spellEnd"/>
      <w:r w:rsidRPr="003037D2">
        <w:rPr>
          <w:rFonts w:ascii="Garamond" w:eastAsia="Calibri" w:hAnsi="Garamond" w:cs="Times New Roman"/>
          <w:i/>
        </w:rPr>
        <w:t xml:space="preserve">, </w:t>
      </w:r>
      <w:r w:rsidRPr="003037D2">
        <w:rPr>
          <w:rFonts w:ascii="Garamond" w:eastAsia="Calibri" w:hAnsi="Garamond" w:cs="Times New Roman"/>
        </w:rPr>
        <w:t>building up.</w:t>
      </w:r>
      <w:r w:rsidRPr="003037D2">
        <w:rPr>
          <w:rFonts w:ascii="Garamond" w:eastAsia="Calibri" w:hAnsi="Garamond" w:cs="Times New Roman"/>
          <w:vertAlign w:val="superscript"/>
        </w:rPr>
        <w:footnoteReference w:id="529"/>
      </w:r>
      <w:r w:rsidRPr="003037D2">
        <w:rPr>
          <w:rFonts w:ascii="Garamond" w:eastAsia="Calibri" w:hAnsi="Garamond" w:cs="Times New Roman"/>
        </w:rPr>
        <w:t xml:space="preserve"> Herbert repeatedly gestures towards the concept of poetry as an edifice built of words. ‘The Church Floor’ describes ‘that square and speckled stone’ as ‘patience’, the ‘black and grave’ as ‘humility’, and the ‘sweet concrete’ binding them as ‘love’ and ‘charity’.</w:t>
      </w:r>
      <w:r w:rsidRPr="003037D2">
        <w:rPr>
          <w:rFonts w:ascii="Garamond" w:eastAsia="Calibri" w:hAnsi="Garamond" w:cs="Times New Roman"/>
          <w:vertAlign w:val="superscript"/>
        </w:rPr>
        <w:footnoteReference w:id="530"/>
      </w:r>
      <w:r w:rsidRPr="003037D2">
        <w:rPr>
          <w:rFonts w:ascii="Garamond" w:eastAsia="Calibri" w:hAnsi="Garamond" w:cs="Times New Roman"/>
        </w:rPr>
        <w:t xml:space="preserve"> Some Renaissance scholars believed that it was only the ‘original’ language, Hebrew, that held these symbolic and mystical properties</w:t>
      </w:r>
      <w:r w:rsidRPr="003037D2">
        <w:rPr>
          <w:rFonts w:ascii="Garamond" w:eastAsia="Calibri" w:hAnsi="Garamond" w:cs="Times New Roman"/>
          <w:i/>
        </w:rPr>
        <w:t xml:space="preserve">. </w:t>
      </w:r>
      <w:r w:rsidRPr="003037D2">
        <w:rPr>
          <w:rFonts w:ascii="Garamond" w:eastAsia="Calibri" w:hAnsi="Garamond" w:cs="Times New Roman"/>
        </w:rPr>
        <w:t xml:space="preserve">Du </w:t>
      </w:r>
      <w:proofErr w:type="spellStart"/>
      <w:r w:rsidRPr="003037D2">
        <w:rPr>
          <w:rFonts w:ascii="Garamond" w:eastAsia="Calibri" w:hAnsi="Garamond" w:cs="Times New Roman"/>
        </w:rPr>
        <w:t>Bartas</w:t>
      </w:r>
      <w:proofErr w:type="spellEnd"/>
      <w:r w:rsidRPr="003037D2">
        <w:rPr>
          <w:rFonts w:ascii="Garamond" w:eastAsia="Calibri" w:hAnsi="Garamond" w:cs="Times New Roman"/>
        </w:rPr>
        <w:t xml:space="preserve">’ </w:t>
      </w:r>
      <w:r w:rsidRPr="003037D2">
        <w:rPr>
          <w:rFonts w:ascii="Garamond" w:eastAsia="Calibri" w:hAnsi="Garamond" w:cs="Times New Roman"/>
          <w:i/>
        </w:rPr>
        <w:t xml:space="preserve">Divine Weekes and Works </w:t>
      </w:r>
      <w:r w:rsidRPr="003037D2">
        <w:rPr>
          <w:rFonts w:ascii="Garamond" w:eastAsia="Calibri" w:hAnsi="Garamond" w:cs="Times New Roman"/>
        </w:rPr>
        <w:t xml:space="preserve">brought these ideas to English audiences, translated by Joshua Sylvester in 1605 and William Lisle in 1637, with an accompanying commentary by Simon Goulart’s commentary. Whilst Du </w:t>
      </w:r>
      <w:proofErr w:type="spellStart"/>
      <w:r w:rsidRPr="003037D2">
        <w:rPr>
          <w:rFonts w:ascii="Garamond" w:eastAsia="Calibri" w:hAnsi="Garamond" w:cs="Times New Roman"/>
        </w:rPr>
        <w:t>Bartas</w:t>
      </w:r>
      <w:proofErr w:type="spellEnd"/>
      <w:r w:rsidRPr="003037D2">
        <w:rPr>
          <w:rFonts w:ascii="Garamond" w:eastAsia="Calibri" w:hAnsi="Garamond" w:cs="Times New Roman"/>
        </w:rPr>
        <w:t xml:space="preserve"> felt that this symbolic perfection was somewhat lost following the fall of language at Babel, Goulart stresses the continuity between the ancient language and that of the present. Goulart argued that the ‘holy tongue of God’ is ‘so </w:t>
      </w:r>
      <w:proofErr w:type="spellStart"/>
      <w:r w:rsidRPr="003037D2">
        <w:rPr>
          <w:rFonts w:ascii="Garamond" w:eastAsia="Calibri" w:hAnsi="Garamond" w:cs="Times New Roman"/>
        </w:rPr>
        <w:t>ful</w:t>
      </w:r>
      <w:proofErr w:type="spellEnd"/>
      <w:r w:rsidRPr="003037D2">
        <w:rPr>
          <w:rFonts w:ascii="Garamond" w:eastAsia="Calibri" w:hAnsi="Garamond" w:cs="Times New Roman"/>
        </w:rPr>
        <w:t xml:space="preserve"> of sense and grace,/ As not a letter it hath, no nor a point so small,/ without some ornament exceeding </w:t>
      </w:r>
      <w:proofErr w:type="spellStart"/>
      <w:r w:rsidRPr="003037D2">
        <w:rPr>
          <w:rFonts w:ascii="Garamond" w:eastAsia="Calibri" w:hAnsi="Garamond" w:cs="Times New Roman"/>
        </w:rPr>
        <w:t>mysticall</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531"/>
      </w:r>
      <w:r w:rsidRPr="003037D2">
        <w:rPr>
          <w:rFonts w:ascii="Garamond" w:eastAsia="Calibri" w:hAnsi="Garamond" w:cs="Times New Roman"/>
        </w:rPr>
        <w:t xml:space="preserve"> In this model of reading, the recovery of unfallen language is posited as the goal of ‘spelling’ out words. The distance between the present symbol and the past </w:t>
      </w:r>
      <w:proofErr w:type="spellStart"/>
      <w:r w:rsidRPr="003037D2">
        <w:rPr>
          <w:rFonts w:ascii="Garamond" w:eastAsia="Calibri" w:hAnsi="Garamond" w:cs="Times New Roman"/>
        </w:rPr>
        <w:t>symbolised</w:t>
      </w:r>
      <w:proofErr w:type="spellEnd"/>
      <w:r w:rsidRPr="003037D2">
        <w:rPr>
          <w:rFonts w:ascii="Garamond" w:eastAsia="Calibri" w:hAnsi="Garamond" w:cs="Times New Roman"/>
        </w:rPr>
        <w:t xml:space="preserve"> must be collapsed. </w:t>
      </w:r>
    </w:p>
    <w:p w14:paraId="7B46503A" w14:textId="77777777" w:rsidR="00162224" w:rsidRPr="003037D2" w:rsidRDefault="00162224" w:rsidP="00162224">
      <w:pPr>
        <w:spacing w:line="360" w:lineRule="auto"/>
        <w:ind w:firstLine="720"/>
        <w:rPr>
          <w:rFonts w:ascii="Garamond" w:eastAsia="Calibri" w:hAnsi="Garamond" w:cs="Times New Roman"/>
        </w:rPr>
      </w:pPr>
    </w:p>
    <w:p w14:paraId="5380ADF1" w14:textId="77777777" w:rsidR="00162224" w:rsidRPr="003037D2" w:rsidRDefault="00162224" w:rsidP="00162224">
      <w:pPr>
        <w:spacing w:line="360" w:lineRule="auto"/>
        <w:ind w:firstLine="720"/>
        <w:rPr>
          <w:rFonts w:ascii="Garamond" w:eastAsia="Calibri" w:hAnsi="Garamond" w:cs="Times New Roman"/>
        </w:rPr>
      </w:pPr>
    </w:p>
    <w:p w14:paraId="0A9DCD8C" w14:textId="6DF7E7EB" w:rsidR="00162224" w:rsidRPr="003037D2" w:rsidRDefault="00162224" w:rsidP="00162224">
      <w:pPr>
        <w:tabs>
          <w:tab w:val="left" w:pos="5728"/>
        </w:tabs>
        <w:spacing w:line="360" w:lineRule="auto"/>
        <w:ind w:firstLine="567"/>
        <w:rPr>
          <w:rFonts w:ascii="Garamond" w:eastAsia="Calibri" w:hAnsi="Garamond" w:cs="Times New Roman"/>
        </w:rPr>
      </w:pPr>
      <w:r w:rsidRPr="003037D2">
        <w:rPr>
          <w:rFonts w:ascii="Garamond" w:eastAsia="Calibri" w:hAnsi="Garamond" w:cs="Times New Roman"/>
        </w:rPr>
        <w:t xml:space="preserve"> ‘Love-Joy’, a meditation upon a </w:t>
      </w:r>
      <w:proofErr w:type="gramStart"/>
      <w:r w:rsidRPr="003037D2">
        <w:rPr>
          <w:rFonts w:ascii="Garamond" w:eastAsia="Calibri" w:hAnsi="Garamond" w:cs="Times New Roman"/>
        </w:rPr>
        <w:t>stained glass</w:t>
      </w:r>
      <w:proofErr w:type="gramEnd"/>
      <w:r w:rsidRPr="003037D2">
        <w:rPr>
          <w:rFonts w:ascii="Garamond" w:eastAsia="Calibri" w:hAnsi="Garamond" w:cs="Times New Roman"/>
        </w:rPr>
        <w:t xml:space="preserve"> window, develops this theme of typography. </w:t>
      </w:r>
      <w:proofErr w:type="spellStart"/>
      <w:r w:rsidRPr="003037D2">
        <w:rPr>
          <w:rFonts w:ascii="Garamond" w:eastAsia="Calibri" w:hAnsi="Garamond" w:cs="Times New Roman"/>
        </w:rPr>
        <w:t>Elsky</w:t>
      </w:r>
      <w:proofErr w:type="spellEnd"/>
      <w:r w:rsidRPr="003037D2">
        <w:rPr>
          <w:rFonts w:ascii="Garamond" w:eastAsia="Calibri" w:hAnsi="Garamond" w:cs="Times New Roman"/>
        </w:rPr>
        <w:t xml:space="preserve"> argues that these lyrics ‘illustrate the way He</w:t>
      </w:r>
      <w:r w:rsidR="00814479">
        <w:rPr>
          <w:rFonts w:ascii="Garamond" w:eastAsia="Calibri" w:hAnsi="Garamond" w:cs="Times New Roman"/>
        </w:rPr>
        <w:t>r</w:t>
      </w:r>
      <w:r w:rsidRPr="003037D2">
        <w:rPr>
          <w:rFonts w:ascii="Garamond" w:eastAsia="Calibri" w:hAnsi="Garamond" w:cs="Times New Roman"/>
        </w:rPr>
        <w:t>bert sees meaning as divinely ordained in the sensible element of language... connected with their use of typological symbols that project the prophecy of Christ across time’.</w:t>
      </w:r>
      <w:r w:rsidRPr="003037D2">
        <w:rPr>
          <w:rFonts w:ascii="Garamond" w:eastAsia="Calibri" w:hAnsi="Garamond" w:cs="Times New Roman"/>
          <w:vertAlign w:val="superscript"/>
        </w:rPr>
        <w:footnoteReference w:id="532"/>
      </w:r>
      <w:r w:rsidRPr="003037D2">
        <w:rPr>
          <w:rFonts w:ascii="Garamond" w:eastAsia="Calibri" w:hAnsi="Garamond" w:cs="Times New Roman"/>
        </w:rPr>
        <w:t xml:space="preserve"> The title of ‘Love-Joy’ draws upon 1 Peter 1.7-8:</w:t>
      </w:r>
    </w:p>
    <w:p w14:paraId="62E322EA" w14:textId="77777777" w:rsidR="00162224" w:rsidRPr="003037D2" w:rsidRDefault="00162224" w:rsidP="00162224">
      <w:pPr>
        <w:tabs>
          <w:tab w:val="left" w:pos="5728"/>
        </w:tabs>
        <w:spacing w:line="360" w:lineRule="auto"/>
        <w:ind w:left="737" w:right="737"/>
        <w:rPr>
          <w:rFonts w:ascii="Garamond" w:eastAsia="Calibri" w:hAnsi="Garamond" w:cs="Times New Roman"/>
        </w:rPr>
      </w:pPr>
      <w:r w:rsidRPr="003037D2">
        <w:rPr>
          <w:rFonts w:ascii="Garamond" w:eastAsia="Calibri" w:hAnsi="Garamond" w:cs="Times New Roman"/>
        </w:rPr>
        <w:t xml:space="preserve">That the trial of your faith… might be found unto praise and </w:t>
      </w:r>
      <w:proofErr w:type="spellStart"/>
      <w:r w:rsidRPr="003037D2">
        <w:rPr>
          <w:rFonts w:ascii="Garamond" w:eastAsia="Calibri" w:hAnsi="Garamond" w:cs="Times New Roman"/>
        </w:rPr>
        <w:t>honour</w:t>
      </w:r>
      <w:proofErr w:type="spellEnd"/>
      <w:r w:rsidRPr="003037D2">
        <w:rPr>
          <w:rFonts w:ascii="Garamond" w:eastAsia="Calibri" w:hAnsi="Garamond" w:cs="Times New Roman"/>
        </w:rPr>
        <w:t xml:space="preserve"> and glory at the appearing of Jesus Christ: Whom having not seen, ye </w:t>
      </w:r>
      <w:r w:rsidRPr="003037D2">
        <w:rPr>
          <w:rFonts w:ascii="Garamond" w:eastAsia="Calibri" w:hAnsi="Garamond" w:cs="Times New Roman"/>
        </w:rPr>
        <w:lastRenderedPageBreak/>
        <w:t>love; in whom, though now ye see him not, yet believing, ye rejoice with joy unspeakable and full of glory...</w:t>
      </w:r>
    </w:p>
    <w:p w14:paraId="3EBF478B" w14:textId="77777777" w:rsidR="00162224" w:rsidRPr="003037D2" w:rsidRDefault="00162224" w:rsidP="00162224">
      <w:pPr>
        <w:tabs>
          <w:tab w:val="left" w:pos="5728"/>
        </w:tabs>
        <w:spacing w:line="360" w:lineRule="auto"/>
        <w:ind w:left="737" w:right="737"/>
        <w:rPr>
          <w:rFonts w:ascii="Garamond" w:eastAsia="Calibri" w:hAnsi="Garamond" w:cs="Times New Roman"/>
        </w:rPr>
      </w:pPr>
    </w:p>
    <w:p w14:paraId="4B2885D9" w14:textId="48929486" w:rsidR="00162224" w:rsidRPr="003037D2" w:rsidRDefault="00162224" w:rsidP="00162224">
      <w:pPr>
        <w:tabs>
          <w:tab w:val="left" w:pos="5728"/>
        </w:tabs>
        <w:spacing w:line="360" w:lineRule="auto"/>
        <w:rPr>
          <w:rFonts w:ascii="Garamond" w:eastAsia="Calibri" w:hAnsi="Garamond" w:cs="Times New Roman"/>
        </w:rPr>
      </w:pPr>
      <w:proofErr w:type="spellStart"/>
      <w:r w:rsidRPr="003037D2">
        <w:rPr>
          <w:rFonts w:ascii="Garamond" w:eastAsia="Calibri" w:hAnsi="Garamond" w:cs="Times New Roman"/>
        </w:rPr>
        <w:t>Recognising</w:t>
      </w:r>
      <w:proofErr w:type="spellEnd"/>
      <w:r w:rsidRPr="003037D2">
        <w:rPr>
          <w:rFonts w:ascii="Garamond" w:eastAsia="Calibri" w:hAnsi="Garamond" w:cs="Times New Roman"/>
        </w:rPr>
        <w:t xml:space="preserve"> the appearance of Christ, in whatever form He may take, and responding appropriately is a trial of faith. However, responding with ‘love’ even when he is </w:t>
      </w:r>
      <w:r w:rsidRPr="003037D2">
        <w:rPr>
          <w:rFonts w:ascii="Garamond" w:eastAsia="Calibri" w:hAnsi="Garamond" w:cs="Times New Roman"/>
          <w:i/>
        </w:rPr>
        <w:t>unseen</w:t>
      </w:r>
      <w:r w:rsidRPr="003037D2">
        <w:rPr>
          <w:rFonts w:ascii="Garamond" w:eastAsia="Calibri" w:hAnsi="Garamond" w:cs="Times New Roman"/>
        </w:rPr>
        <w:t xml:space="preserve"> is also a demonstration of faith. The speaker sees ‘a vine </w:t>
      </w:r>
      <w:proofErr w:type="gramStart"/>
      <w:r w:rsidRPr="003037D2">
        <w:rPr>
          <w:rFonts w:ascii="Garamond" w:eastAsia="Calibri" w:hAnsi="Garamond" w:cs="Times New Roman"/>
        </w:rPr>
        <w:t>drop</w:t>
      </w:r>
      <w:proofErr w:type="gramEnd"/>
      <w:r w:rsidRPr="003037D2">
        <w:rPr>
          <w:rFonts w:ascii="Garamond" w:eastAsia="Calibri" w:hAnsi="Garamond" w:cs="Times New Roman"/>
        </w:rPr>
        <w:t xml:space="preserve"> grapes with </w:t>
      </w:r>
      <w:r w:rsidRPr="003037D2">
        <w:rPr>
          <w:rFonts w:ascii="Garamond" w:eastAsia="Calibri" w:hAnsi="Garamond" w:cs="Times New Roman"/>
          <w:i/>
        </w:rPr>
        <w:t xml:space="preserve">J </w:t>
      </w:r>
      <w:r w:rsidRPr="003037D2">
        <w:rPr>
          <w:rFonts w:ascii="Garamond" w:eastAsia="Calibri" w:hAnsi="Garamond" w:cs="Times New Roman"/>
        </w:rPr>
        <w:t xml:space="preserve">and </w:t>
      </w:r>
      <w:r w:rsidRPr="003037D2">
        <w:rPr>
          <w:rFonts w:ascii="Garamond" w:eastAsia="Calibri" w:hAnsi="Garamond" w:cs="Times New Roman"/>
          <w:i/>
        </w:rPr>
        <w:t xml:space="preserve">C/ </w:t>
      </w:r>
      <w:r w:rsidRPr="003037D2">
        <w:rPr>
          <w:rFonts w:ascii="Garamond" w:eastAsia="Calibri" w:hAnsi="Garamond" w:cs="Times New Roman"/>
        </w:rPr>
        <w:t xml:space="preserve">Annealed on every bunch’ upon a window. ‘One standing by’ (Christ in </w:t>
      </w:r>
      <w:proofErr w:type="spellStart"/>
      <w:r w:rsidRPr="003037D2">
        <w:rPr>
          <w:rFonts w:ascii="Garamond" w:eastAsia="Calibri" w:hAnsi="Garamond" w:cs="Times New Roman"/>
        </w:rPr>
        <w:t>Vendler’s</w:t>
      </w:r>
      <w:proofErr w:type="spellEnd"/>
      <w:r w:rsidRPr="003037D2">
        <w:rPr>
          <w:rFonts w:ascii="Garamond" w:eastAsia="Calibri" w:hAnsi="Garamond" w:cs="Times New Roman"/>
        </w:rPr>
        <w:t xml:space="preserve"> reading) asks ‘what it meant’, to which the speaker replies conditionally, ‘It seemed to me to/ To be the body and the letters both/ Of </w:t>
      </w:r>
      <w:r w:rsidRPr="003037D2">
        <w:rPr>
          <w:rFonts w:ascii="Garamond" w:eastAsia="Calibri" w:hAnsi="Garamond" w:cs="Times New Roman"/>
          <w:i/>
        </w:rPr>
        <w:t xml:space="preserve">Joy </w:t>
      </w:r>
      <w:r w:rsidRPr="003037D2">
        <w:rPr>
          <w:rFonts w:ascii="Garamond" w:eastAsia="Calibri" w:hAnsi="Garamond" w:cs="Times New Roman"/>
        </w:rPr>
        <w:t xml:space="preserve">and </w:t>
      </w:r>
      <w:r w:rsidRPr="003037D2">
        <w:rPr>
          <w:rFonts w:ascii="Garamond" w:eastAsia="Calibri" w:hAnsi="Garamond" w:cs="Times New Roman"/>
          <w:i/>
        </w:rPr>
        <w:t xml:space="preserve">Charity’. </w:t>
      </w:r>
      <w:r w:rsidRPr="003037D2">
        <w:rPr>
          <w:rFonts w:ascii="Garamond" w:eastAsia="Calibri" w:hAnsi="Garamond" w:cs="Times New Roman"/>
        </w:rPr>
        <w:t xml:space="preserve">His questioner agrees and extends this, saying ‘Sir, you have not missed… it figures, </w:t>
      </w:r>
      <w:r w:rsidRPr="003037D2">
        <w:rPr>
          <w:rFonts w:ascii="Garamond" w:eastAsia="Calibri" w:hAnsi="Garamond" w:cs="Times New Roman"/>
          <w:i/>
        </w:rPr>
        <w:t xml:space="preserve">JESUS CHRIST’. </w:t>
      </w:r>
      <w:r w:rsidRPr="003037D2">
        <w:rPr>
          <w:rFonts w:ascii="Garamond" w:eastAsia="Calibri" w:hAnsi="Garamond" w:cs="Times New Roman"/>
        </w:rPr>
        <w:t xml:space="preserve">‘Body’ and ‘letters’ are one and the same as the inscription of Christ’s initials not only recall his person, but the qualities of charity (love) and joy with which he is most associated. The typographical becomes a spur for religious devotion, as the reader or scribe investigates the text.  Annealing, in terms of the stained-glass window Herbert here describes, is the process of using chemicals and fire to etch or burn with </w:t>
      </w:r>
      <w:proofErr w:type="spellStart"/>
      <w:r w:rsidRPr="003037D2">
        <w:rPr>
          <w:rFonts w:ascii="Garamond" w:eastAsia="Calibri" w:hAnsi="Garamond" w:cs="Times New Roman"/>
        </w:rPr>
        <w:t>colours</w:t>
      </w:r>
      <w:proofErr w:type="spellEnd"/>
      <w:r w:rsidRPr="003037D2">
        <w:rPr>
          <w:rFonts w:ascii="Garamond" w:eastAsia="Calibri" w:hAnsi="Garamond" w:cs="Times New Roman"/>
        </w:rPr>
        <w:t xml:space="preserve">. The resonance of burning not only refers to the process of creating the window, but also how it might be viewed, with light passing through it. The writing on the window is both seen and seen through, the form and content of the revelation. Following </w:t>
      </w:r>
      <w:proofErr w:type="spellStart"/>
      <w:r w:rsidRPr="003037D2">
        <w:rPr>
          <w:rFonts w:ascii="Garamond" w:eastAsia="Calibri" w:hAnsi="Garamond" w:cs="Times New Roman"/>
        </w:rPr>
        <w:t>Elsky’s</w:t>
      </w:r>
      <w:proofErr w:type="spellEnd"/>
      <w:r w:rsidRPr="003037D2">
        <w:rPr>
          <w:rFonts w:ascii="Garamond" w:eastAsia="Calibri" w:hAnsi="Garamond" w:cs="Times New Roman"/>
        </w:rPr>
        <w:t xml:space="preserve"> declaration that this symbolic use of language extends Christ’s prophecy across time, it becomes apparent that this extension requires the active engagement of the reader with the text.  </w:t>
      </w:r>
    </w:p>
    <w:p w14:paraId="6CA3B450" w14:textId="77777777" w:rsidR="00162224" w:rsidRPr="003037D2" w:rsidRDefault="00162224" w:rsidP="00162224">
      <w:pPr>
        <w:tabs>
          <w:tab w:val="left" w:pos="5728"/>
        </w:tabs>
        <w:spacing w:line="360" w:lineRule="auto"/>
        <w:rPr>
          <w:rFonts w:ascii="Garamond" w:eastAsia="Calibri" w:hAnsi="Garamond" w:cs="Times New Roman"/>
        </w:rPr>
      </w:pPr>
    </w:p>
    <w:p w14:paraId="5F496323" w14:textId="77777777" w:rsidR="00162224" w:rsidRPr="003037D2" w:rsidRDefault="00162224" w:rsidP="00162224">
      <w:pPr>
        <w:tabs>
          <w:tab w:val="left" w:pos="5728"/>
        </w:tabs>
        <w:spacing w:line="360" w:lineRule="auto"/>
        <w:ind w:firstLine="720"/>
        <w:rPr>
          <w:rFonts w:ascii="Garamond" w:eastAsia="Calibri" w:hAnsi="Garamond" w:cs="Times New Roman"/>
        </w:rPr>
      </w:pPr>
      <w:r w:rsidRPr="003037D2">
        <w:rPr>
          <w:rFonts w:ascii="Garamond" w:eastAsia="Calibri" w:hAnsi="Garamond" w:cs="Times New Roman"/>
        </w:rPr>
        <w:t xml:space="preserve">In ‘Paradise’ the final words of each three-line stanza undergo a gradual reduction, losing letters and yet retaining meaning, as new words are created out of the remains of the previous ones: </w:t>
      </w:r>
    </w:p>
    <w:p w14:paraId="1D6D1C25" w14:textId="77777777" w:rsidR="00162224" w:rsidRPr="003037D2" w:rsidRDefault="00162224" w:rsidP="00162224">
      <w:pPr>
        <w:tabs>
          <w:tab w:val="left" w:pos="5728"/>
        </w:tabs>
        <w:ind w:left="1814" w:right="2098" w:firstLine="720"/>
        <w:jc w:val="both"/>
        <w:rPr>
          <w:rFonts w:ascii="Garamond" w:eastAsia="Calibri" w:hAnsi="Garamond" w:cs="Times New Roman"/>
        </w:rPr>
      </w:pPr>
      <w:r w:rsidRPr="003037D2">
        <w:rPr>
          <w:rFonts w:ascii="Garamond" w:eastAsia="Calibri" w:hAnsi="Garamond" w:cs="Times New Roman"/>
        </w:rPr>
        <w:t>I bless thee, Lord, because I GROW</w:t>
      </w:r>
    </w:p>
    <w:p w14:paraId="7DDD7687" w14:textId="77777777" w:rsidR="00162224" w:rsidRPr="003037D2" w:rsidRDefault="00162224" w:rsidP="00162224">
      <w:pPr>
        <w:tabs>
          <w:tab w:val="left" w:pos="5728"/>
        </w:tabs>
        <w:ind w:left="1814" w:right="2098" w:firstLine="720"/>
        <w:jc w:val="both"/>
        <w:rPr>
          <w:rFonts w:ascii="Garamond" w:eastAsia="Calibri" w:hAnsi="Garamond" w:cs="Times New Roman"/>
        </w:rPr>
      </w:pPr>
      <w:r w:rsidRPr="003037D2">
        <w:rPr>
          <w:rFonts w:ascii="Garamond" w:eastAsia="Calibri" w:hAnsi="Garamond" w:cs="Times New Roman"/>
        </w:rPr>
        <w:t>Among thy trees, which in a ROW</w:t>
      </w:r>
    </w:p>
    <w:p w14:paraId="34191700" w14:textId="77777777" w:rsidR="00162224" w:rsidRPr="003037D2" w:rsidRDefault="00162224" w:rsidP="00162224">
      <w:pPr>
        <w:tabs>
          <w:tab w:val="left" w:pos="5728"/>
        </w:tabs>
        <w:ind w:left="1814" w:right="2098" w:firstLine="720"/>
        <w:jc w:val="both"/>
        <w:rPr>
          <w:rFonts w:ascii="Garamond" w:eastAsia="Calibri" w:hAnsi="Garamond" w:cs="Times New Roman"/>
        </w:rPr>
      </w:pPr>
      <w:r w:rsidRPr="003037D2">
        <w:rPr>
          <w:rFonts w:ascii="Garamond" w:eastAsia="Calibri" w:hAnsi="Garamond" w:cs="Times New Roman"/>
        </w:rPr>
        <w:t>To thee both fruit and order OW.</w:t>
      </w:r>
    </w:p>
    <w:p w14:paraId="41941B83" w14:textId="77777777" w:rsidR="00162224" w:rsidRPr="003037D2" w:rsidRDefault="00162224" w:rsidP="00162224">
      <w:pPr>
        <w:tabs>
          <w:tab w:val="left" w:pos="5728"/>
        </w:tabs>
        <w:ind w:left="1814" w:right="2098" w:firstLine="720"/>
        <w:jc w:val="both"/>
        <w:rPr>
          <w:rFonts w:ascii="Garamond" w:eastAsia="Calibri" w:hAnsi="Garamond" w:cs="Times New Roman"/>
        </w:rPr>
      </w:pPr>
    </w:p>
    <w:p w14:paraId="69F0597D" w14:textId="77777777" w:rsidR="00162224" w:rsidRPr="003037D2" w:rsidRDefault="00162224" w:rsidP="00162224">
      <w:pPr>
        <w:tabs>
          <w:tab w:val="left" w:pos="5728"/>
        </w:tabs>
        <w:spacing w:line="360" w:lineRule="auto"/>
        <w:rPr>
          <w:rFonts w:ascii="Garamond" w:eastAsia="Calibri" w:hAnsi="Garamond" w:cs="Times New Roman"/>
        </w:rPr>
      </w:pPr>
      <w:r w:rsidRPr="003037D2">
        <w:rPr>
          <w:rFonts w:ascii="Garamond" w:eastAsia="Calibri" w:hAnsi="Garamond" w:cs="Times New Roman"/>
        </w:rPr>
        <w:t xml:space="preserve">Herbert again uses agricultural imagery of productiveness, drawing on the idea of ‘Paradise’ as a garden, a space of growth and fruitfulness. There is an explicit link made between the cutting of words and creativity: </w:t>
      </w:r>
    </w:p>
    <w:p w14:paraId="44A5F5A3" w14:textId="77777777" w:rsidR="00162224" w:rsidRPr="003037D2" w:rsidRDefault="00162224" w:rsidP="00162224">
      <w:pPr>
        <w:tabs>
          <w:tab w:val="left" w:pos="5728"/>
        </w:tabs>
        <w:ind w:left="1440" w:firstLine="720"/>
        <w:rPr>
          <w:rFonts w:ascii="Garamond" w:eastAsia="Calibri" w:hAnsi="Garamond" w:cs="Times New Roman"/>
        </w:rPr>
      </w:pPr>
      <w:r w:rsidRPr="003037D2">
        <w:rPr>
          <w:rFonts w:ascii="Garamond" w:eastAsia="Calibri" w:hAnsi="Garamond" w:cs="Times New Roman"/>
        </w:rPr>
        <w:t>When thou dost greater judgements SPARE,</w:t>
      </w:r>
    </w:p>
    <w:p w14:paraId="2DCD5744" w14:textId="77777777" w:rsidR="00162224" w:rsidRPr="003037D2" w:rsidRDefault="00162224" w:rsidP="00162224">
      <w:pPr>
        <w:tabs>
          <w:tab w:val="left" w:pos="5728"/>
        </w:tabs>
        <w:ind w:left="1440" w:firstLine="720"/>
        <w:rPr>
          <w:rFonts w:ascii="Garamond" w:eastAsia="Calibri" w:hAnsi="Garamond" w:cs="Times New Roman"/>
        </w:rPr>
      </w:pPr>
      <w:r w:rsidRPr="003037D2">
        <w:rPr>
          <w:rFonts w:ascii="Garamond" w:eastAsia="Calibri" w:hAnsi="Garamond" w:cs="Times New Roman"/>
        </w:rPr>
        <w:t>And with thy knife but prune and PARE,</w:t>
      </w:r>
    </w:p>
    <w:p w14:paraId="39999881" w14:textId="77777777" w:rsidR="00162224" w:rsidRPr="003037D2" w:rsidRDefault="00162224" w:rsidP="00162224">
      <w:pPr>
        <w:tabs>
          <w:tab w:val="left" w:pos="5728"/>
        </w:tabs>
        <w:ind w:left="1440" w:firstLine="720"/>
        <w:rPr>
          <w:rFonts w:ascii="Garamond" w:eastAsia="Calibri" w:hAnsi="Garamond" w:cs="Times New Roman"/>
        </w:rPr>
      </w:pPr>
      <w:proofErr w:type="spellStart"/>
      <w:r w:rsidRPr="003037D2">
        <w:rPr>
          <w:rFonts w:ascii="Garamond" w:eastAsia="Calibri" w:hAnsi="Garamond" w:cs="Times New Roman"/>
        </w:rPr>
        <w:t>Ev’n</w:t>
      </w:r>
      <w:proofErr w:type="spellEnd"/>
      <w:r w:rsidRPr="003037D2">
        <w:rPr>
          <w:rFonts w:ascii="Garamond" w:eastAsia="Calibri" w:hAnsi="Garamond" w:cs="Times New Roman"/>
        </w:rPr>
        <w:t xml:space="preserve"> fruitful trees more fruitful ARE.</w:t>
      </w:r>
    </w:p>
    <w:p w14:paraId="547C6DAB" w14:textId="77777777" w:rsidR="00162224" w:rsidRPr="003037D2" w:rsidRDefault="00162224" w:rsidP="00162224">
      <w:pPr>
        <w:tabs>
          <w:tab w:val="left" w:pos="5728"/>
        </w:tabs>
        <w:ind w:left="1440" w:firstLine="720"/>
        <w:jc w:val="highKashida"/>
        <w:rPr>
          <w:rFonts w:ascii="Garamond" w:eastAsia="Calibri" w:hAnsi="Garamond" w:cs="Times New Roman"/>
        </w:rPr>
      </w:pPr>
    </w:p>
    <w:p w14:paraId="44882D09" w14:textId="77777777" w:rsidR="00162224" w:rsidRPr="003037D2" w:rsidRDefault="00162224" w:rsidP="00162224">
      <w:pPr>
        <w:tabs>
          <w:tab w:val="left" w:pos="5728"/>
        </w:tabs>
        <w:ind w:left="1440" w:firstLine="720"/>
        <w:jc w:val="highKashida"/>
        <w:rPr>
          <w:rFonts w:ascii="Garamond" w:eastAsia="Calibri" w:hAnsi="Garamond" w:cs="Times New Roman"/>
        </w:rPr>
      </w:pPr>
      <w:r w:rsidRPr="003037D2">
        <w:rPr>
          <w:rFonts w:ascii="Garamond" w:eastAsia="Calibri" w:hAnsi="Garamond" w:cs="Times New Roman"/>
        </w:rPr>
        <w:t>Such sharpness shows the sweetest FREND:</w:t>
      </w:r>
    </w:p>
    <w:p w14:paraId="37348C09" w14:textId="77777777" w:rsidR="00162224" w:rsidRPr="003037D2" w:rsidRDefault="00162224" w:rsidP="00162224">
      <w:pPr>
        <w:tabs>
          <w:tab w:val="left" w:pos="5728"/>
        </w:tabs>
        <w:ind w:left="1440" w:firstLine="720"/>
        <w:jc w:val="highKashida"/>
        <w:rPr>
          <w:rFonts w:ascii="Garamond" w:eastAsia="Calibri" w:hAnsi="Garamond" w:cs="Times New Roman"/>
        </w:rPr>
      </w:pPr>
      <w:r w:rsidRPr="003037D2">
        <w:rPr>
          <w:rFonts w:ascii="Garamond" w:eastAsia="Calibri" w:hAnsi="Garamond" w:cs="Times New Roman"/>
        </w:rPr>
        <w:t>Such cuttings rather heal than REND:</w:t>
      </w:r>
    </w:p>
    <w:p w14:paraId="75ECFFF8" w14:textId="77777777" w:rsidR="00162224" w:rsidRPr="003037D2" w:rsidRDefault="00162224" w:rsidP="00162224">
      <w:pPr>
        <w:tabs>
          <w:tab w:val="left" w:pos="5728"/>
        </w:tabs>
        <w:ind w:left="1440" w:firstLine="720"/>
        <w:jc w:val="highKashida"/>
        <w:rPr>
          <w:rFonts w:ascii="Garamond" w:eastAsia="Calibri" w:hAnsi="Garamond" w:cs="Times New Roman"/>
        </w:rPr>
      </w:pPr>
      <w:r w:rsidRPr="003037D2">
        <w:rPr>
          <w:rFonts w:ascii="Garamond" w:eastAsia="Calibri" w:hAnsi="Garamond" w:cs="Times New Roman"/>
        </w:rPr>
        <w:lastRenderedPageBreak/>
        <w:t>And such beginnings touch their END.</w:t>
      </w:r>
      <w:r w:rsidRPr="003037D2">
        <w:rPr>
          <w:rFonts w:ascii="Garamond" w:eastAsia="Calibri" w:hAnsi="Garamond" w:cs="Times New Roman"/>
          <w:vertAlign w:val="superscript"/>
        </w:rPr>
        <w:footnoteReference w:id="533"/>
      </w:r>
      <w:r w:rsidRPr="003037D2">
        <w:rPr>
          <w:rFonts w:ascii="Garamond" w:eastAsia="Calibri" w:hAnsi="Garamond" w:cs="Times New Roman"/>
        </w:rPr>
        <w:t xml:space="preserve"> </w:t>
      </w:r>
    </w:p>
    <w:p w14:paraId="2024D0F8" w14:textId="77777777" w:rsidR="00162224" w:rsidRPr="003037D2" w:rsidRDefault="00162224" w:rsidP="00162224">
      <w:pPr>
        <w:tabs>
          <w:tab w:val="left" w:pos="5728"/>
        </w:tabs>
        <w:ind w:left="1440" w:firstLine="720"/>
        <w:jc w:val="highKashida"/>
        <w:rPr>
          <w:rFonts w:ascii="Garamond" w:eastAsia="Calibri" w:hAnsi="Garamond" w:cs="Times New Roman"/>
          <w:i/>
        </w:rPr>
      </w:pPr>
    </w:p>
    <w:p w14:paraId="3F7187F2" w14:textId="77777777" w:rsidR="00162224" w:rsidRPr="003037D2" w:rsidRDefault="00162224" w:rsidP="00162224">
      <w:pPr>
        <w:tabs>
          <w:tab w:val="left" w:pos="5728"/>
        </w:tabs>
        <w:spacing w:line="360" w:lineRule="auto"/>
        <w:rPr>
          <w:rFonts w:ascii="Garamond" w:eastAsia="Calibri" w:hAnsi="Garamond" w:cs="Times New Roman"/>
        </w:rPr>
      </w:pPr>
      <w:r w:rsidRPr="003037D2">
        <w:rPr>
          <w:rFonts w:ascii="Garamond" w:eastAsia="Calibri" w:hAnsi="Garamond" w:cs="Times New Roman"/>
        </w:rPr>
        <w:t>As Smyth states, ‘Herbert thus performs pruning, enacting the spirit of the poem at the level of composition’.</w:t>
      </w:r>
      <w:r w:rsidRPr="003037D2">
        <w:rPr>
          <w:rFonts w:ascii="Garamond" w:eastAsia="Calibri" w:hAnsi="Garamond" w:cs="Times New Roman"/>
          <w:vertAlign w:val="superscript"/>
        </w:rPr>
        <w:footnoteReference w:id="534"/>
      </w:r>
      <w:r w:rsidRPr="003037D2">
        <w:rPr>
          <w:rFonts w:ascii="Garamond" w:eastAsia="Calibri" w:hAnsi="Garamond" w:cs="Times New Roman"/>
        </w:rPr>
        <w:t xml:space="preserve"> Language of cutting and engraving reoccurs throughout </w:t>
      </w:r>
      <w:r w:rsidRPr="003037D2">
        <w:rPr>
          <w:rFonts w:ascii="Garamond" w:eastAsia="Calibri" w:hAnsi="Garamond" w:cs="Times New Roman"/>
          <w:i/>
        </w:rPr>
        <w:t>The Temple,</w:t>
      </w:r>
      <w:r w:rsidRPr="003037D2">
        <w:rPr>
          <w:rFonts w:ascii="Garamond" w:eastAsia="Calibri" w:hAnsi="Garamond" w:cs="Times New Roman"/>
          <w:iCs/>
        </w:rPr>
        <w:t xml:space="preserve"> and is</w:t>
      </w:r>
      <w:r w:rsidRPr="003037D2">
        <w:rPr>
          <w:rFonts w:ascii="Garamond" w:eastAsia="Calibri" w:hAnsi="Garamond" w:cs="Times New Roman"/>
          <w:i/>
        </w:rPr>
        <w:t xml:space="preserve"> </w:t>
      </w:r>
      <w:r w:rsidRPr="003037D2">
        <w:rPr>
          <w:rFonts w:ascii="Garamond" w:eastAsia="Calibri" w:hAnsi="Garamond" w:cs="Times New Roman"/>
        </w:rPr>
        <w:t xml:space="preserve">often linked to the imagery of sacrifice and the processes of artistic creation. This reflected the practices of the Little </w:t>
      </w:r>
      <w:proofErr w:type="spellStart"/>
      <w:r w:rsidRPr="003037D2">
        <w:rPr>
          <w:rFonts w:ascii="Garamond" w:eastAsia="Calibri" w:hAnsi="Garamond" w:cs="Times New Roman"/>
        </w:rPr>
        <w:t>Gidding</w:t>
      </w:r>
      <w:proofErr w:type="spellEnd"/>
      <w:r w:rsidRPr="003037D2">
        <w:rPr>
          <w:rFonts w:ascii="Garamond" w:eastAsia="Calibri" w:hAnsi="Garamond" w:cs="Times New Roman"/>
        </w:rPr>
        <w:t xml:space="preserve"> community, who produced at least fifteen Biblical Harmonies</w:t>
      </w:r>
      <w:r w:rsidRPr="003037D2">
        <w:rPr>
          <w:rFonts w:ascii="Garamond" w:eastAsia="Calibri" w:hAnsi="Garamond" w:cs="Times New Roman"/>
          <w:vertAlign w:val="superscript"/>
        </w:rPr>
        <w:footnoteReference w:id="535"/>
      </w:r>
      <w:r w:rsidRPr="003037D2">
        <w:rPr>
          <w:rFonts w:ascii="Garamond" w:eastAsia="Calibri" w:hAnsi="Garamond" w:cs="Times New Roman"/>
        </w:rPr>
        <w:t xml:space="preserve">  by painstakingly cutting up the printed texts of the four Gospels and reassembling them, gluing them together to gather together a new text describing the life of Christ.</w:t>
      </w:r>
      <w:r w:rsidRPr="003037D2">
        <w:rPr>
          <w:rFonts w:ascii="Garamond" w:eastAsia="Calibri" w:hAnsi="Garamond" w:cs="Times New Roman"/>
          <w:vertAlign w:val="superscript"/>
        </w:rPr>
        <w:footnoteReference w:id="536"/>
      </w:r>
      <w:r w:rsidRPr="003037D2">
        <w:rPr>
          <w:rFonts w:ascii="Garamond" w:eastAsia="Calibri" w:hAnsi="Garamond" w:cs="Times New Roman"/>
        </w:rPr>
        <w:t xml:space="preserve"> Whilst this might seem to verge on the sacrilegious for modern audiences, for whom the destruction of any book (particularly a religious one) seems tantamount to blasphemy, the cutting of books was woven in to early modern literary culture. Herbert described these volumes as ‘a rich jewel worthy to be worn in the heart of all Christians’ and wrote that he was happy to see ‘to see women’s scissors brought to so rare a use as to serve at God’s altar’.</w:t>
      </w:r>
      <w:r w:rsidRPr="003037D2">
        <w:rPr>
          <w:rFonts w:ascii="Garamond" w:eastAsia="Calibri" w:hAnsi="Garamond" w:cs="Times New Roman"/>
          <w:vertAlign w:val="superscript"/>
        </w:rPr>
        <w:footnoteReference w:id="537"/>
      </w:r>
      <w:r w:rsidRPr="003037D2">
        <w:rPr>
          <w:rFonts w:ascii="Garamond" w:eastAsia="Calibri" w:hAnsi="Garamond" w:cs="Times New Roman"/>
        </w:rPr>
        <w:t xml:space="preserve"> Lori Anne Ferrell has discussed how books of geometry and devotion both instructed their readers to ‘cut and paste’, thus giving ‘abstract propositions physical properties’, specifically making these theoretical properties into the ‘personal property’ of the reader and so engaging their senses in learning.</w:t>
      </w:r>
      <w:r w:rsidRPr="003037D2">
        <w:rPr>
          <w:rFonts w:ascii="Garamond" w:eastAsia="Calibri" w:hAnsi="Garamond" w:cs="Times New Roman"/>
          <w:vertAlign w:val="superscript"/>
        </w:rPr>
        <w:footnoteReference w:id="538"/>
      </w:r>
      <w:r w:rsidRPr="003037D2">
        <w:rPr>
          <w:rFonts w:ascii="Garamond" w:eastAsia="Calibri" w:hAnsi="Garamond" w:cs="Times New Roman"/>
        </w:rPr>
        <w:t xml:space="preserve"> Herbert’s use of this language of ‘pruning’ inverts the normal sense of creation as a process of addition, or building up. As seen in the final line, ‘And such beginnings touch their END’, this reverses the progress of temporality. The processes of ‘spelling’ can include disassembling words as well as building them up.  </w:t>
      </w:r>
    </w:p>
    <w:p w14:paraId="01791E31" w14:textId="77777777" w:rsidR="00162224" w:rsidRPr="003037D2" w:rsidRDefault="00162224" w:rsidP="00162224">
      <w:pPr>
        <w:tabs>
          <w:tab w:val="left" w:pos="5728"/>
        </w:tabs>
        <w:spacing w:line="360" w:lineRule="auto"/>
        <w:rPr>
          <w:rFonts w:ascii="Garamond" w:eastAsia="Calibri" w:hAnsi="Garamond" w:cs="Times New Roman"/>
          <w:b/>
          <w:bCs/>
        </w:rPr>
      </w:pPr>
    </w:p>
    <w:p w14:paraId="1E87F806" w14:textId="77777777" w:rsidR="00162224" w:rsidRPr="003037D2" w:rsidRDefault="00162224" w:rsidP="00162224">
      <w:pPr>
        <w:tabs>
          <w:tab w:val="left" w:pos="5728"/>
        </w:tabs>
        <w:spacing w:line="360" w:lineRule="auto"/>
        <w:rPr>
          <w:rFonts w:ascii="Garamond" w:eastAsia="Calibri" w:hAnsi="Garamond" w:cs="Times New Roman"/>
          <w:b/>
          <w:bCs/>
        </w:rPr>
      </w:pPr>
    </w:p>
    <w:p w14:paraId="6142B6D3" w14:textId="77777777" w:rsidR="00162224" w:rsidRPr="003037D2" w:rsidRDefault="00162224" w:rsidP="00162224">
      <w:pPr>
        <w:keepNext/>
        <w:keepLines/>
        <w:numPr>
          <w:ilvl w:val="0"/>
          <w:numId w:val="12"/>
        </w:numPr>
        <w:spacing w:before="40" w:line="360" w:lineRule="auto"/>
        <w:outlineLvl w:val="2"/>
        <w:rPr>
          <w:rFonts w:ascii="Garamond" w:eastAsia="Times New Roman" w:hAnsi="Garamond" w:cs="Times New Roman"/>
        </w:rPr>
      </w:pPr>
      <w:bookmarkStart w:id="57" w:name="_Toc3967184"/>
      <w:r w:rsidRPr="003037D2">
        <w:rPr>
          <w:rFonts w:ascii="Garamond" w:eastAsia="Times New Roman" w:hAnsi="Garamond" w:cs="Times New Roman"/>
        </w:rPr>
        <w:t>Hieroglyphs in Marmaduke Rawdon’s commonplace book</w:t>
      </w:r>
      <w:bookmarkEnd w:id="57"/>
      <w:r w:rsidRPr="003037D2">
        <w:rPr>
          <w:rFonts w:ascii="Garamond" w:eastAsia="Times New Roman" w:hAnsi="Garamond" w:cs="Times New Roman"/>
        </w:rPr>
        <w:t xml:space="preserve"> </w:t>
      </w:r>
    </w:p>
    <w:p w14:paraId="576CAE48" w14:textId="77777777" w:rsidR="00162224" w:rsidRPr="003037D2" w:rsidRDefault="00162224" w:rsidP="00162224">
      <w:pPr>
        <w:spacing w:line="360" w:lineRule="auto"/>
        <w:rPr>
          <w:rFonts w:ascii="Garamond" w:eastAsia="Calibri" w:hAnsi="Garamond" w:cs="Times New Roman"/>
        </w:rPr>
      </w:pPr>
    </w:p>
    <w:p w14:paraId="7F66D86B" w14:textId="27FE91C9"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This interest in the material form of Herbert’s poetry and its connection to questions of temporality can be seen in one reader’s selection of his works. BL Add MS 18044 collects together several of Herbert’s poems, offering an example of how the </w:t>
      </w:r>
      <w:r w:rsidRPr="003037D2">
        <w:rPr>
          <w:rFonts w:ascii="Garamond" w:eastAsia="Calibri" w:hAnsi="Garamond" w:cs="Times New Roman"/>
        </w:rPr>
        <w:lastRenderedPageBreak/>
        <w:t xml:space="preserve">poems can be </w:t>
      </w:r>
      <w:proofErr w:type="spellStart"/>
      <w:r w:rsidRPr="003037D2">
        <w:rPr>
          <w:rFonts w:ascii="Garamond" w:eastAsia="Calibri" w:hAnsi="Garamond" w:cs="Times New Roman"/>
        </w:rPr>
        <w:t>commonplaced</w:t>
      </w:r>
      <w:proofErr w:type="spellEnd"/>
      <w:r w:rsidRPr="003037D2">
        <w:rPr>
          <w:rFonts w:ascii="Garamond" w:eastAsia="Calibri" w:hAnsi="Garamond" w:cs="Times New Roman"/>
        </w:rPr>
        <w:t xml:space="preserve"> and gathered together in different contexts. The volume is a </w:t>
      </w:r>
      <w:r w:rsidR="00470D01" w:rsidRPr="003037D2">
        <w:rPr>
          <w:rFonts w:ascii="Garamond" w:eastAsia="Calibri" w:hAnsi="Garamond" w:cs="Times New Roman"/>
        </w:rPr>
        <w:t>188-leaf</w:t>
      </w:r>
      <w:r w:rsidRPr="003037D2">
        <w:rPr>
          <w:rFonts w:ascii="Garamond" w:eastAsia="Calibri" w:hAnsi="Garamond" w:cs="Times New Roman"/>
        </w:rPr>
        <w:t xml:space="preserve"> octavo miscellany, written in one italic hand along the width of the page with the spine at the top. The volume is entitled </w:t>
      </w:r>
      <w:r w:rsidRPr="003037D2">
        <w:rPr>
          <w:rFonts w:ascii="Garamond" w:eastAsia="Calibri" w:hAnsi="Garamond" w:cs="Times New Roman"/>
          <w:i/>
        </w:rPr>
        <w:t xml:space="preserve">Collections out of </w:t>
      </w:r>
      <w:proofErr w:type="spellStart"/>
      <w:r w:rsidRPr="003037D2">
        <w:rPr>
          <w:rFonts w:ascii="Garamond" w:eastAsia="Calibri" w:hAnsi="Garamond" w:cs="Times New Roman"/>
          <w:i/>
        </w:rPr>
        <w:t>severall</w:t>
      </w:r>
      <w:proofErr w:type="spellEnd"/>
      <w:r w:rsidRPr="003037D2">
        <w:rPr>
          <w:rFonts w:ascii="Garamond" w:eastAsia="Calibri" w:hAnsi="Garamond" w:cs="Times New Roman"/>
          <w:i/>
        </w:rPr>
        <w:t xml:space="preserve"> Authors by Marmaduke </w:t>
      </w:r>
      <w:proofErr w:type="spellStart"/>
      <w:r w:rsidRPr="003037D2">
        <w:rPr>
          <w:rFonts w:ascii="Garamond" w:eastAsia="Calibri" w:hAnsi="Garamond" w:cs="Times New Roman"/>
          <w:i/>
        </w:rPr>
        <w:t>Raudon</w:t>
      </w:r>
      <w:proofErr w:type="spellEnd"/>
      <w:r w:rsidRPr="003037D2">
        <w:rPr>
          <w:rFonts w:ascii="Garamond" w:eastAsia="Calibri" w:hAnsi="Garamond" w:cs="Times New Roman"/>
          <w:i/>
        </w:rPr>
        <w:t xml:space="preserve"> </w:t>
      </w:r>
      <w:proofErr w:type="spellStart"/>
      <w:r w:rsidRPr="003037D2">
        <w:rPr>
          <w:rFonts w:ascii="Garamond" w:eastAsia="Calibri" w:hAnsi="Garamond" w:cs="Times New Roman"/>
          <w:i/>
        </w:rPr>
        <w:t>Eboracensis</w:t>
      </w:r>
      <w:proofErr w:type="spellEnd"/>
      <w:r w:rsidRPr="003037D2">
        <w:rPr>
          <w:rFonts w:ascii="Garamond" w:eastAsia="Calibri" w:hAnsi="Garamond" w:cs="Times New Roman"/>
          <w:i/>
        </w:rPr>
        <w:t xml:space="preserve"> 1662</w:t>
      </w:r>
      <w:r w:rsidRPr="003037D2">
        <w:rPr>
          <w:rFonts w:ascii="Garamond" w:eastAsia="Calibri" w:hAnsi="Garamond" w:cs="Times New Roman"/>
        </w:rPr>
        <w:t xml:space="preserve"> and the compiler has surrounded this title with their own sketched crest, giving the little volume a sense of grandeur and importance.</w:t>
      </w:r>
      <w:r w:rsidRPr="003037D2">
        <w:rPr>
          <w:rFonts w:ascii="Garamond" w:eastAsia="Calibri" w:hAnsi="Garamond" w:cs="Times New Roman"/>
          <w:vertAlign w:val="superscript"/>
        </w:rPr>
        <w:footnoteReference w:id="539"/>
      </w:r>
      <w:r w:rsidRPr="003037D2">
        <w:rPr>
          <w:rFonts w:ascii="Garamond" w:eastAsia="Calibri" w:hAnsi="Garamond" w:cs="Times New Roman"/>
        </w:rPr>
        <w:t xml:space="preserve"> (See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_Ref499295501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28</w:t>
      </w:r>
      <w:r w:rsidRPr="003037D2">
        <w:rPr>
          <w:rFonts w:ascii="Garamond" w:eastAsia="Calibri" w:hAnsi="Garamond" w:cs="Times New Roman"/>
        </w:rPr>
        <w:fldChar w:fldCharType="end"/>
      </w:r>
      <w:r w:rsidR="00ED0F4C">
        <w:rPr>
          <w:rFonts w:ascii="Garamond" w:eastAsia="Calibri" w:hAnsi="Garamond" w:cs="Times New Roman"/>
        </w:rPr>
        <w:t>.</w:t>
      </w:r>
      <w:r w:rsidRPr="003037D2">
        <w:rPr>
          <w:rFonts w:ascii="Garamond" w:eastAsia="Calibri" w:hAnsi="Garamond" w:cs="Times New Roman"/>
        </w:rPr>
        <w:t xml:space="preserve">) Marmaduke Rawdon was a </w:t>
      </w:r>
      <w:proofErr w:type="spellStart"/>
      <w:r w:rsidRPr="003037D2">
        <w:rPr>
          <w:rFonts w:ascii="Garamond" w:eastAsia="Calibri" w:hAnsi="Garamond" w:cs="Times New Roman"/>
        </w:rPr>
        <w:t>traveller</w:t>
      </w:r>
      <w:proofErr w:type="spellEnd"/>
      <w:r w:rsidRPr="003037D2">
        <w:rPr>
          <w:rFonts w:ascii="Garamond" w:eastAsia="Calibri" w:hAnsi="Garamond" w:cs="Times New Roman"/>
        </w:rPr>
        <w:t xml:space="preserve"> and antiquary from Guiseley, Yorkshire, born in 1610 and dying in 1667, five years after the volume was compiled. The volume contains elegies for his uncle Sir Marmaduke Rawdon, who adopted him at sixteen following the death of his father.</w:t>
      </w:r>
      <w:r w:rsidRPr="003037D2">
        <w:rPr>
          <w:rFonts w:ascii="Garamond" w:eastAsia="Calibri" w:hAnsi="Garamond" w:cs="Times New Roman"/>
          <w:vertAlign w:val="superscript"/>
        </w:rPr>
        <w:footnoteReference w:id="540"/>
      </w:r>
      <w:r w:rsidRPr="003037D2">
        <w:rPr>
          <w:rFonts w:ascii="Garamond" w:eastAsia="Calibri" w:hAnsi="Garamond" w:cs="Times New Roman"/>
        </w:rPr>
        <w:t xml:space="preserve"> BL Add MS 18044 opens with several poems on the process of aging, including two extracts ‘out of </w:t>
      </w:r>
      <w:proofErr w:type="spellStart"/>
      <w:r w:rsidRPr="003037D2">
        <w:rPr>
          <w:rFonts w:ascii="Garamond" w:eastAsia="Calibri" w:hAnsi="Garamond" w:cs="Times New Roman"/>
        </w:rPr>
        <w:t>Harloes</w:t>
      </w:r>
      <w:proofErr w:type="spellEnd"/>
      <w:r w:rsidRPr="003037D2">
        <w:rPr>
          <w:rFonts w:ascii="Garamond" w:eastAsia="Calibri" w:hAnsi="Garamond" w:cs="Times New Roman"/>
        </w:rPr>
        <w:t xml:space="preserve"> Pomes’, addressing the subjects ‘Of Man at his full Growth and of his </w:t>
      </w:r>
      <w:proofErr w:type="spellStart"/>
      <w:r w:rsidRPr="003037D2">
        <w:rPr>
          <w:rFonts w:ascii="Garamond" w:eastAsia="Calibri" w:hAnsi="Garamond" w:cs="Times New Roman"/>
        </w:rPr>
        <w:t>instabillitie</w:t>
      </w:r>
      <w:proofErr w:type="spellEnd"/>
      <w:r w:rsidRPr="003037D2">
        <w:rPr>
          <w:rFonts w:ascii="Garamond" w:eastAsia="Calibri" w:hAnsi="Garamond" w:cs="Times New Roman"/>
        </w:rPr>
        <w:t xml:space="preserve">’ and a ‘Description of Old Age’: </w:t>
      </w:r>
    </w:p>
    <w:p w14:paraId="27898007" w14:textId="77777777" w:rsidR="00162224" w:rsidRPr="003037D2" w:rsidRDefault="00162224" w:rsidP="00162224">
      <w:pPr>
        <w:tabs>
          <w:tab w:val="left" w:pos="5728"/>
        </w:tabs>
        <w:ind w:left="2160" w:firstLine="720"/>
        <w:rPr>
          <w:rFonts w:ascii="Garamond" w:eastAsia="Calibri" w:hAnsi="Garamond" w:cs="Times New Roman"/>
        </w:rPr>
      </w:pPr>
      <w:r w:rsidRPr="003037D2">
        <w:rPr>
          <w:rFonts w:ascii="Garamond" w:eastAsia="Calibri" w:hAnsi="Garamond" w:cs="Times New Roman"/>
        </w:rPr>
        <w:t xml:space="preserve">Gray </w:t>
      </w:r>
      <w:proofErr w:type="spellStart"/>
      <w:r w:rsidRPr="003037D2">
        <w:rPr>
          <w:rFonts w:ascii="Garamond" w:eastAsia="Calibri" w:hAnsi="Garamond" w:cs="Times New Roman"/>
        </w:rPr>
        <w:t>haires</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incompasss</w:t>
      </w:r>
      <w:proofErr w:type="spellEnd"/>
      <w:r w:rsidRPr="003037D2">
        <w:rPr>
          <w:rFonts w:ascii="Garamond" w:eastAsia="Calibri" w:hAnsi="Garamond" w:cs="Times New Roman"/>
        </w:rPr>
        <w:t xml:space="preserve"> now my head, </w:t>
      </w:r>
      <w:proofErr w:type="spellStart"/>
      <w:r w:rsidRPr="003037D2">
        <w:rPr>
          <w:rFonts w:ascii="Garamond" w:eastAsia="Calibri" w:hAnsi="Garamond" w:cs="Times New Roman"/>
        </w:rPr>
        <w:t>snowes</w:t>
      </w:r>
      <w:proofErr w:type="spellEnd"/>
    </w:p>
    <w:p w14:paraId="61014975" w14:textId="77777777" w:rsidR="00162224" w:rsidRPr="003037D2" w:rsidRDefault="00162224" w:rsidP="00162224">
      <w:pPr>
        <w:tabs>
          <w:tab w:val="left" w:pos="5728"/>
        </w:tabs>
        <w:ind w:left="2160" w:firstLine="720"/>
        <w:rPr>
          <w:rFonts w:ascii="Garamond" w:eastAsia="Calibri" w:hAnsi="Garamond" w:cs="Times New Roman"/>
        </w:rPr>
      </w:pPr>
      <w:r w:rsidRPr="003037D2">
        <w:rPr>
          <w:rFonts w:ascii="Garamond" w:eastAsia="Calibri" w:hAnsi="Garamond" w:cs="Times New Roman"/>
        </w:rPr>
        <w:t xml:space="preserve">Tell me that Boreas blows </w:t>
      </w:r>
    </w:p>
    <w:p w14:paraId="096C0132" w14:textId="77777777" w:rsidR="00162224" w:rsidRPr="003037D2" w:rsidRDefault="00162224" w:rsidP="00162224">
      <w:pPr>
        <w:tabs>
          <w:tab w:val="left" w:pos="5728"/>
        </w:tabs>
        <w:ind w:left="2160" w:firstLine="720"/>
        <w:rPr>
          <w:rFonts w:ascii="Garamond" w:eastAsia="Calibri" w:hAnsi="Garamond" w:cs="Times New Roman"/>
        </w:rPr>
      </w:pPr>
      <w:r w:rsidRPr="003037D2">
        <w:rPr>
          <w:rFonts w:ascii="Garamond" w:eastAsia="Calibri" w:hAnsi="Garamond" w:cs="Times New Roman"/>
        </w:rPr>
        <w:t xml:space="preserve">A foggy </w:t>
      </w:r>
      <w:proofErr w:type="spellStart"/>
      <w:r w:rsidRPr="003037D2">
        <w:rPr>
          <w:rFonts w:ascii="Garamond" w:eastAsia="Calibri" w:hAnsi="Garamond" w:cs="Times New Roman"/>
        </w:rPr>
        <w:t>dimnesse</w:t>
      </w:r>
      <w:proofErr w:type="spellEnd"/>
      <w:r w:rsidRPr="003037D2">
        <w:rPr>
          <w:rFonts w:ascii="Garamond" w:eastAsia="Calibri" w:hAnsi="Garamond" w:cs="Times New Roman"/>
        </w:rPr>
        <w:t xml:space="preserve"> doth my airs </w:t>
      </w:r>
      <w:proofErr w:type="spellStart"/>
      <w:r w:rsidRPr="003037D2">
        <w:rPr>
          <w:rFonts w:ascii="Garamond" w:eastAsia="Calibri" w:hAnsi="Garamond" w:cs="Times New Roman"/>
        </w:rPr>
        <w:t>assaile</w:t>
      </w:r>
      <w:proofErr w:type="spellEnd"/>
      <w:r w:rsidRPr="003037D2">
        <w:rPr>
          <w:rFonts w:ascii="Garamond" w:eastAsia="Calibri" w:hAnsi="Garamond" w:cs="Times New Roman"/>
        </w:rPr>
        <w:t xml:space="preserve"> </w:t>
      </w:r>
    </w:p>
    <w:p w14:paraId="0F76A007" w14:textId="77777777" w:rsidR="00162224" w:rsidRPr="003037D2" w:rsidRDefault="00162224" w:rsidP="00162224">
      <w:pPr>
        <w:tabs>
          <w:tab w:val="left" w:pos="5728"/>
        </w:tabs>
        <w:ind w:left="2160" w:firstLine="720"/>
        <w:rPr>
          <w:rFonts w:ascii="Garamond" w:eastAsia="Calibri" w:hAnsi="Garamond" w:cs="Times New Roman"/>
        </w:rPr>
      </w:pPr>
      <w:r w:rsidRPr="003037D2">
        <w:rPr>
          <w:rFonts w:ascii="Garamond" w:eastAsia="Calibri" w:hAnsi="Garamond" w:cs="Times New Roman"/>
        </w:rPr>
        <w:t xml:space="preserve">My grinders gin to </w:t>
      </w:r>
      <w:proofErr w:type="spellStart"/>
      <w:r w:rsidRPr="003037D2">
        <w:rPr>
          <w:rFonts w:ascii="Garamond" w:eastAsia="Calibri" w:hAnsi="Garamond" w:cs="Times New Roman"/>
        </w:rPr>
        <w:t>faile</w:t>
      </w:r>
      <w:proofErr w:type="spellEnd"/>
      <w:r w:rsidRPr="003037D2">
        <w:rPr>
          <w:rFonts w:ascii="Garamond" w:eastAsia="Calibri" w:hAnsi="Garamond" w:cs="Times New Roman"/>
        </w:rPr>
        <w:t xml:space="preserve"> </w:t>
      </w:r>
    </w:p>
    <w:p w14:paraId="54E5DD3F" w14:textId="77777777" w:rsidR="00162224" w:rsidRPr="003037D2" w:rsidRDefault="00162224" w:rsidP="00162224">
      <w:pPr>
        <w:tabs>
          <w:tab w:val="left" w:pos="5728"/>
        </w:tabs>
        <w:ind w:left="2160" w:firstLine="720"/>
        <w:rPr>
          <w:rFonts w:ascii="Garamond" w:eastAsia="Calibri" w:hAnsi="Garamond" w:cs="Times New Roman"/>
        </w:rPr>
      </w:pPr>
      <w:r w:rsidRPr="003037D2">
        <w:rPr>
          <w:rFonts w:ascii="Garamond" w:eastAsia="Calibri" w:hAnsi="Garamond" w:cs="Times New Roman"/>
        </w:rPr>
        <w:t xml:space="preserve">My stargazing pillars cannot stand </w:t>
      </w:r>
      <w:proofErr w:type="spellStart"/>
      <w:r w:rsidRPr="003037D2">
        <w:rPr>
          <w:rFonts w:ascii="Garamond" w:eastAsia="Calibri" w:hAnsi="Garamond" w:cs="Times New Roman"/>
        </w:rPr>
        <w:t>att</w:t>
      </w:r>
      <w:proofErr w:type="spellEnd"/>
      <w:r w:rsidRPr="003037D2">
        <w:rPr>
          <w:rFonts w:ascii="Garamond" w:eastAsia="Calibri" w:hAnsi="Garamond" w:cs="Times New Roman"/>
        </w:rPr>
        <w:t xml:space="preserve"> all </w:t>
      </w:r>
    </w:p>
    <w:p w14:paraId="11659647" w14:textId="1D19FF66" w:rsidR="00162224" w:rsidRPr="003037D2" w:rsidRDefault="002F1250" w:rsidP="00162224">
      <w:pPr>
        <w:tabs>
          <w:tab w:val="left" w:pos="5728"/>
        </w:tabs>
        <w:ind w:left="2160" w:firstLine="720"/>
        <w:rPr>
          <w:rFonts w:ascii="Garamond" w:eastAsia="Calibri" w:hAnsi="Garamond" w:cs="Times New Roman"/>
        </w:rPr>
      </w:pPr>
      <w:r>
        <w:rPr>
          <w:rFonts w:ascii="Garamond" w:eastAsia="Calibri" w:hAnsi="Garamond" w:cs="Times New Roman"/>
        </w:rPr>
        <w:t xml:space="preserve">My </w:t>
      </w:r>
      <w:proofErr w:type="spellStart"/>
      <w:r>
        <w:rPr>
          <w:rFonts w:ascii="Garamond" w:eastAsia="Calibri" w:hAnsi="Garamond" w:cs="Times New Roman"/>
        </w:rPr>
        <w:t>howse</w:t>
      </w:r>
      <w:proofErr w:type="spellEnd"/>
      <w:r>
        <w:rPr>
          <w:rFonts w:ascii="Garamond" w:eastAsia="Calibri" w:hAnsi="Garamond" w:cs="Times New Roman"/>
        </w:rPr>
        <w:t xml:space="preserve"> is mine to fall…</w:t>
      </w:r>
      <w:r w:rsidR="00162224" w:rsidRPr="003037D2">
        <w:rPr>
          <w:rFonts w:ascii="Garamond" w:eastAsia="Calibri" w:hAnsi="Garamond" w:cs="Times New Roman"/>
          <w:vertAlign w:val="superscript"/>
        </w:rPr>
        <w:footnoteReference w:id="541"/>
      </w:r>
    </w:p>
    <w:p w14:paraId="0142D3D9" w14:textId="77777777" w:rsidR="00162224" w:rsidRPr="003037D2" w:rsidRDefault="00162224" w:rsidP="00162224">
      <w:pPr>
        <w:tabs>
          <w:tab w:val="left" w:pos="5728"/>
        </w:tabs>
        <w:spacing w:line="360" w:lineRule="auto"/>
        <w:rPr>
          <w:rFonts w:ascii="Garamond" w:eastAsia="Calibri" w:hAnsi="Garamond" w:cs="Times New Roman"/>
        </w:rPr>
      </w:pPr>
    </w:p>
    <w:p w14:paraId="7BC5EC31" w14:textId="0FFCD8A6"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We can speculate that the 52-year-old Rawdon was feeling his own mortality. His had been an eventful life, managing his uncle’s winery in Bordeaux, and living in the Canary Islands for twenty years whilst overseeing business in Tenerife and establishing an English factory on Gran </w:t>
      </w:r>
      <w:proofErr w:type="spellStart"/>
      <w:r w:rsidRPr="003037D2">
        <w:rPr>
          <w:rFonts w:ascii="Garamond" w:eastAsia="Calibri" w:hAnsi="Garamond" w:cs="Times New Roman"/>
        </w:rPr>
        <w:t>Canaria</w:t>
      </w:r>
      <w:proofErr w:type="spellEnd"/>
      <w:r w:rsidRPr="003037D2">
        <w:rPr>
          <w:rFonts w:ascii="Garamond" w:eastAsia="Calibri" w:hAnsi="Garamond" w:cs="Times New Roman"/>
        </w:rPr>
        <w:t xml:space="preserve">. The British Library miscellany contains verses copied from ‘a Letter write to me from </w:t>
      </w:r>
      <w:proofErr w:type="spellStart"/>
      <w:r w:rsidRPr="003037D2">
        <w:rPr>
          <w:rFonts w:ascii="Garamond" w:eastAsia="Calibri" w:hAnsi="Garamond" w:cs="Times New Roman"/>
        </w:rPr>
        <w:t>Mr</w:t>
      </w:r>
      <w:proofErr w:type="spellEnd"/>
      <w:r w:rsidRPr="003037D2">
        <w:rPr>
          <w:rFonts w:ascii="Garamond" w:eastAsia="Calibri" w:hAnsi="Garamond" w:cs="Times New Roman"/>
        </w:rPr>
        <w:t xml:space="preserve"> Edmund </w:t>
      </w:r>
      <w:proofErr w:type="spellStart"/>
      <w:r w:rsidRPr="003037D2">
        <w:rPr>
          <w:rFonts w:ascii="Garamond" w:eastAsia="Calibri" w:hAnsi="Garamond" w:cs="Times New Roman"/>
        </w:rPr>
        <w:t>Parlet</w:t>
      </w:r>
      <w:proofErr w:type="spellEnd"/>
      <w:r w:rsidRPr="003037D2">
        <w:rPr>
          <w:rFonts w:ascii="Garamond" w:eastAsia="Calibri" w:hAnsi="Garamond" w:cs="Times New Roman"/>
        </w:rPr>
        <w:t xml:space="preserve"> Vicar of </w:t>
      </w:r>
      <w:proofErr w:type="spellStart"/>
      <w:r w:rsidRPr="003037D2">
        <w:rPr>
          <w:rFonts w:ascii="Garamond" w:eastAsia="Calibri" w:hAnsi="Garamond" w:cs="Times New Roman"/>
        </w:rPr>
        <w:t>Brox</w:t>
      </w:r>
      <w:proofErr w:type="spellEnd"/>
      <w:r w:rsidRPr="003037D2">
        <w:rPr>
          <w:rFonts w:ascii="Garamond" w:eastAsia="Calibri" w:hAnsi="Garamond" w:cs="Times New Roman"/>
        </w:rPr>
        <w:t xml:space="preserve"> borne at my being on the Can[</w:t>
      </w:r>
      <w:proofErr w:type="spellStart"/>
      <w:r w:rsidRPr="003037D2">
        <w:rPr>
          <w:rFonts w:ascii="Garamond" w:eastAsia="Calibri" w:hAnsi="Garamond" w:cs="Times New Roman"/>
        </w:rPr>
        <w:t>ary</w:t>
      </w:r>
      <w:proofErr w:type="spellEnd"/>
      <w:r w:rsidRPr="003037D2">
        <w:rPr>
          <w:rFonts w:ascii="Garamond" w:eastAsia="Calibri" w:hAnsi="Garamond" w:cs="Times New Roman"/>
        </w:rPr>
        <w:t xml:space="preserve">] Islands 1640:1641’.  Partlet had created a </w:t>
      </w:r>
      <w:proofErr w:type="spellStart"/>
      <w:r w:rsidRPr="003037D2">
        <w:rPr>
          <w:rFonts w:ascii="Garamond" w:eastAsia="Calibri" w:hAnsi="Garamond" w:cs="Times New Roman"/>
        </w:rPr>
        <w:t>personalised</w:t>
      </w:r>
      <w:proofErr w:type="spellEnd"/>
      <w:r w:rsidRPr="003037D2">
        <w:rPr>
          <w:rFonts w:ascii="Garamond" w:eastAsia="Calibri" w:hAnsi="Garamond" w:cs="Times New Roman"/>
        </w:rPr>
        <w:t xml:space="preserve"> poem, opening ‘Duke thou art safe in the Canaries/ Whilst </w:t>
      </w:r>
      <w:proofErr w:type="spellStart"/>
      <w:r w:rsidRPr="003037D2">
        <w:rPr>
          <w:rFonts w:ascii="Garamond" w:eastAsia="Calibri" w:hAnsi="Garamond" w:cs="Times New Roman"/>
        </w:rPr>
        <w:t>Englands</w:t>
      </w:r>
      <w:proofErr w:type="spellEnd"/>
      <w:r w:rsidRPr="003037D2">
        <w:rPr>
          <w:rFonts w:ascii="Garamond" w:eastAsia="Calibri" w:hAnsi="Garamond" w:cs="Times New Roman"/>
        </w:rPr>
        <w:t xml:space="preserve"> vexed w[</w:t>
      </w:r>
      <w:proofErr w:type="spellStart"/>
      <w:r w:rsidRPr="003037D2">
        <w:rPr>
          <w:rFonts w:ascii="Garamond" w:eastAsia="Calibri" w:hAnsi="Garamond" w:cs="Times New Roman"/>
        </w:rPr>
        <w:t>ith</w:t>
      </w:r>
      <w:proofErr w:type="spellEnd"/>
      <w:r w:rsidRPr="003037D2">
        <w:rPr>
          <w:rFonts w:ascii="Garamond" w:eastAsia="Calibri" w:hAnsi="Garamond" w:cs="Times New Roman"/>
        </w:rPr>
        <w:t>] Contraries’. The poem continues, bemoaning the disagreements between ‘Protestants’, ‘Papists’ and ‘</w:t>
      </w:r>
      <w:proofErr w:type="spellStart"/>
      <w:r w:rsidRPr="003037D2">
        <w:rPr>
          <w:rFonts w:ascii="Garamond" w:eastAsia="Calibri" w:hAnsi="Garamond" w:cs="Times New Roman"/>
        </w:rPr>
        <w:t>Brownists</w:t>
      </w:r>
      <w:proofErr w:type="spellEnd"/>
      <w:r w:rsidRPr="003037D2">
        <w:rPr>
          <w:rFonts w:ascii="Garamond" w:eastAsia="Calibri" w:hAnsi="Garamond" w:cs="Times New Roman"/>
        </w:rPr>
        <w:t xml:space="preserve"> Anabaptists’, and describing the world as ‘a sea with tempest oft </w:t>
      </w:r>
      <w:proofErr w:type="spellStart"/>
      <w:r w:rsidRPr="003037D2">
        <w:rPr>
          <w:rFonts w:ascii="Garamond" w:eastAsia="Calibri" w:hAnsi="Garamond" w:cs="Times New Roman"/>
        </w:rPr>
        <w:t>tost</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542"/>
      </w:r>
      <w:r w:rsidRPr="003037D2">
        <w:rPr>
          <w:rFonts w:ascii="Garamond" w:eastAsia="Calibri" w:hAnsi="Garamond" w:cs="Times New Roman"/>
        </w:rPr>
        <w:t xml:space="preserve"> This reflects Rawdon’s personal history, as he was forced to return to England in 1656 due to the Anglo-Spanish war.</w:t>
      </w:r>
      <w:r w:rsidRPr="003037D2">
        <w:rPr>
          <w:rFonts w:ascii="Garamond" w:eastAsia="Calibri" w:hAnsi="Garamond" w:cs="Times New Roman"/>
          <w:vertAlign w:val="superscript"/>
        </w:rPr>
        <w:footnoteReference w:id="543"/>
      </w:r>
      <w:r w:rsidRPr="003037D2">
        <w:rPr>
          <w:rFonts w:ascii="Garamond" w:eastAsia="Calibri" w:hAnsi="Garamond" w:cs="Times New Roman"/>
        </w:rPr>
        <w:t xml:space="preserve"> Elsewhere in the volume, he combines poetic musings on subjects such as ‘The </w:t>
      </w:r>
      <w:proofErr w:type="spellStart"/>
      <w:r w:rsidRPr="003037D2">
        <w:rPr>
          <w:rFonts w:ascii="Garamond" w:eastAsia="Calibri" w:hAnsi="Garamond" w:cs="Times New Roman"/>
        </w:rPr>
        <w:t>Frailitie</w:t>
      </w:r>
      <w:proofErr w:type="spellEnd"/>
      <w:r w:rsidRPr="003037D2">
        <w:rPr>
          <w:rFonts w:ascii="Garamond" w:eastAsia="Calibri" w:hAnsi="Garamond" w:cs="Times New Roman"/>
        </w:rPr>
        <w:t xml:space="preserve"> of man’ and ‘Meditation on death’, with carefully inscribed biblical quotations. Verse 19 from Genesis 2 is shaped </w:t>
      </w:r>
      <w:r w:rsidR="00164AB4" w:rsidRPr="003037D2">
        <w:rPr>
          <w:rFonts w:ascii="Garamond" w:eastAsia="Calibri" w:hAnsi="Garamond" w:cs="Times New Roman"/>
        </w:rPr>
        <w:t>as</w:t>
      </w:r>
      <w:r w:rsidRPr="003037D2">
        <w:rPr>
          <w:rFonts w:ascii="Garamond" w:eastAsia="Calibri" w:hAnsi="Garamond" w:cs="Times New Roman"/>
        </w:rPr>
        <w:t xml:space="preserve"> a downward </w:t>
      </w:r>
      <w:r w:rsidRPr="003037D2">
        <w:rPr>
          <w:rFonts w:ascii="Garamond" w:eastAsia="Calibri" w:hAnsi="Garamond" w:cs="Times New Roman"/>
        </w:rPr>
        <w:lastRenderedPageBreak/>
        <w:t xml:space="preserve">pointing arrow above ‘Death’s Speech to Nature’, reading ‘In the </w:t>
      </w:r>
      <w:proofErr w:type="spellStart"/>
      <w:r w:rsidRPr="003037D2">
        <w:rPr>
          <w:rFonts w:ascii="Garamond" w:eastAsia="Calibri" w:hAnsi="Garamond" w:cs="Times New Roman"/>
        </w:rPr>
        <w:t>sweate</w:t>
      </w:r>
      <w:proofErr w:type="spellEnd"/>
      <w:r w:rsidRPr="003037D2">
        <w:rPr>
          <w:rFonts w:ascii="Garamond" w:eastAsia="Calibri" w:hAnsi="Garamond" w:cs="Times New Roman"/>
        </w:rPr>
        <w:t xml:space="preserve"> of thy </w:t>
      </w:r>
      <w:proofErr w:type="spellStart"/>
      <w:r w:rsidRPr="003037D2">
        <w:rPr>
          <w:rFonts w:ascii="Garamond" w:eastAsia="Calibri" w:hAnsi="Garamond" w:cs="Times New Roman"/>
        </w:rPr>
        <w:t>browes</w:t>
      </w:r>
      <w:proofErr w:type="spellEnd"/>
      <w:r w:rsidRPr="003037D2">
        <w:rPr>
          <w:rFonts w:ascii="Garamond" w:eastAsia="Calibri" w:hAnsi="Garamond" w:cs="Times New Roman"/>
        </w:rPr>
        <w:t xml:space="preserve"> shall thou </w:t>
      </w:r>
      <w:proofErr w:type="spellStart"/>
      <w:r w:rsidRPr="003037D2">
        <w:rPr>
          <w:rFonts w:ascii="Garamond" w:eastAsia="Calibri" w:hAnsi="Garamond" w:cs="Times New Roman"/>
        </w:rPr>
        <w:t>eate</w:t>
      </w:r>
      <w:proofErr w:type="spellEnd"/>
      <w:r w:rsidRPr="003037D2">
        <w:rPr>
          <w:rFonts w:ascii="Garamond" w:eastAsia="Calibri" w:hAnsi="Garamond" w:cs="Times New Roman"/>
        </w:rPr>
        <w:t xml:space="preserve"> thy bread, till thou </w:t>
      </w:r>
      <w:proofErr w:type="spellStart"/>
      <w:r w:rsidRPr="003037D2">
        <w:rPr>
          <w:rFonts w:ascii="Garamond" w:eastAsia="Calibri" w:hAnsi="Garamond" w:cs="Times New Roman"/>
        </w:rPr>
        <w:t>returne</w:t>
      </w:r>
      <w:proofErr w:type="spellEnd"/>
      <w:r w:rsidRPr="003037D2">
        <w:rPr>
          <w:rFonts w:ascii="Garamond" w:eastAsia="Calibri" w:hAnsi="Garamond" w:cs="Times New Roman"/>
        </w:rPr>
        <w:t xml:space="preserve"> unto the </w:t>
      </w:r>
      <w:proofErr w:type="spellStart"/>
      <w:r w:rsidRPr="003037D2">
        <w:rPr>
          <w:rFonts w:ascii="Garamond" w:eastAsia="Calibri" w:hAnsi="Garamond" w:cs="Times New Roman"/>
        </w:rPr>
        <w:t>grownd</w:t>
      </w:r>
      <w:proofErr w:type="spellEnd"/>
      <w:r w:rsidRPr="003037D2">
        <w:rPr>
          <w:rFonts w:ascii="Garamond" w:eastAsia="Calibri" w:hAnsi="Garamond" w:cs="Times New Roman"/>
        </w:rPr>
        <w:t xml:space="preserve">: for out of it </w:t>
      </w:r>
      <w:proofErr w:type="spellStart"/>
      <w:r w:rsidRPr="003037D2">
        <w:rPr>
          <w:rFonts w:ascii="Garamond" w:eastAsia="Calibri" w:hAnsi="Garamond" w:cs="Times New Roman"/>
        </w:rPr>
        <w:t>wast</w:t>
      </w:r>
      <w:proofErr w:type="spellEnd"/>
      <w:r w:rsidRPr="003037D2">
        <w:rPr>
          <w:rFonts w:ascii="Garamond" w:eastAsia="Calibri" w:hAnsi="Garamond" w:cs="Times New Roman"/>
        </w:rPr>
        <w:t xml:space="preserve"> thou taken: for dust thou art and to dust thou shall </w:t>
      </w:r>
      <w:proofErr w:type="spellStart"/>
      <w:r w:rsidRPr="003037D2">
        <w:rPr>
          <w:rFonts w:ascii="Garamond" w:eastAsia="Calibri" w:hAnsi="Garamond" w:cs="Times New Roman"/>
        </w:rPr>
        <w:t>reeturne</w:t>
      </w:r>
      <w:proofErr w:type="spellEnd"/>
      <w:r w:rsidRPr="003037D2">
        <w:rPr>
          <w:rFonts w:ascii="Garamond" w:eastAsia="Calibri" w:hAnsi="Garamond" w:cs="Times New Roman"/>
        </w:rPr>
        <w:t xml:space="preserve">’. (See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_Ref499295520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29</w:t>
      </w:r>
      <w:r w:rsidRPr="003037D2">
        <w:rPr>
          <w:rFonts w:ascii="Garamond" w:eastAsia="Calibri" w:hAnsi="Garamond" w:cs="Times New Roman"/>
        </w:rPr>
        <w:fldChar w:fldCharType="end"/>
      </w:r>
      <w:r w:rsidR="00ED0F4C">
        <w:rPr>
          <w:rFonts w:ascii="Garamond" w:eastAsia="Calibri" w:hAnsi="Garamond" w:cs="Times New Roman"/>
        </w:rPr>
        <w:t>.</w:t>
      </w:r>
      <w:r w:rsidRPr="003037D2">
        <w:rPr>
          <w:rFonts w:ascii="Garamond" w:eastAsia="Calibri" w:hAnsi="Garamond" w:cs="Times New Roman"/>
        </w:rPr>
        <w:t xml:space="preserve">) This language was familiar from ‘The Commendation’ in </w:t>
      </w:r>
      <w:r w:rsidR="00284281">
        <w:rPr>
          <w:rFonts w:ascii="Garamond" w:eastAsia="Calibri" w:hAnsi="Garamond" w:cs="Times New Roman"/>
          <w:i/>
        </w:rPr>
        <w:t>The</w:t>
      </w:r>
      <w:r w:rsidRPr="003037D2">
        <w:rPr>
          <w:rFonts w:ascii="Garamond" w:eastAsia="Calibri" w:hAnsi="Garamond" w:cs="Times New Roman"/>
        </w:rPr>
        <w:t xml:space="preserve"> </w:t>
      </w:r>
      <w:r w:rsidRPr="003037D2">
        <w:rPr>
          <w:rFonts w:ascii="Garamond" w:eastAsia="Calibri" w:hAnsi="Garamond" w:cs="Times New Roman"/>
          <w:i/>
        </w:rPr>
        <w:t xml:space="preserve">Book of Common Prayer, </w:t>
      </w:r>
      <w:r w:rsidRPr="003037D2">
        <w:rPr>
          <w:rFonts w:ascii="Garamond" w:eastAsia="Calibri" w:hAnsi="Garamond" w:cs="Times New Roman"/>
        </w:rPr>
        <w:t xml:space="preserve">in which God’s ‘ordination’ at creation is repeated: ‘You are dust, and to dust you shall return. All of us go down to the dust; yet even at the grave we make our song: </w:t>
      </w:r>
      <w:proofErr w:type="spellStart"/>
      <w:r w:rsidRPr="003037D2">
        <w:rPr>
          <w:rFonts w:ascii="Garamond" w:eastAsia="Calibri" w:hAnsi="Garamond" w:cs="Times New Roman"/>
        </w:rPr>
        <w:t>Allelulia</w:t>
      </w:r>
      <w:proofErr w:type="spellEnd"/>
      <w:r w:rsidRPr="003037D2">
        <w:rPr>
          <w:rFonts w:ascii="Garamond" w:eastAsia="Calibri" w:hAnsi="Garamond" w:cs="Times New Roman"/>
        </w:rPr>
        <w:t>’</w:t>
      </w:r>
      <w:r w:rsidRPr="003037D2">
        <w:rPr>
          <w:rFonts w:ascii="Garamond" w:eastAsia="Calibri" w:hAnsi="Garamond" w:cs="Times New Roman"/>
          <w:i/>
        </w:rPr>
        <w:t xml:space="preserv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_Ref499296849 \h </w:instrText>
      </w:r>
      <w:r w:rsidR="00EF635C" w:rsidRPr="003037D2">
        <w:rPr>
          <w:rFonts w:ascii="Garamond" w:eastAsia="Calibri" w:hAnsi="Garamond" w:cs="Times New Roman"/>
        </w:rPr>
        <w:instrText xml:space="preserve">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Theme="minorEastAsia" w:hAnsi="Garamond"/>
          <w:iCs/>
          <w:lang w:eastAsia="zh-CN"/>
        </w:rPr>
        <w:t xml:space="preserve">Figure </w:t>
      </w:r>
      <w:r w:rsidR="001117A3" w:rsidRPr="003037D2">
        <w:rPr>
          <w:rFonts w:ascii="Garamond" w:eastAsiaTheme="minorEastAsia" w:hAnsi="Garamond"/>
          <w:iCs/>
          <w:noProof/>
          <w:lang w:eastAsia="zh-CN"/>
        </w:rPr>
        <w:t>30</w:t>
      </w:r>
      <w:r w:rsidRPr="003037D2">
        <w:rPr>
          <w:rFonts w:ascii="Garamond" w:eastAsia="Calibri" w:hAnsi="Garamond" w:cs="Times New Roman"/>
          <w:i/>
        </w:rPr>
        <w:fldChar w:fldCharType="end"/>
      </w:r>
      <w:r w:rsidRPr="003037D2">
        <w:rPr>
          <w:rFonts w:ascii="Garamond" w:eastAsia="Calibri" w:hAnsi="Garamond" w:cs="Times New Roman"/>
        </w:rPr>
        <w:t xml:space="preserve"> shows a small diagram that </w:t>
      </w:r>
      <w:proofErr w:type="spellStart"/>
      <w:r w:rsidRPr="003037D2">
        <w:rPr>
          <w:rFonts w:ascii="Garamond" w:eastAsia="Calibri" w:hAnsi="Garamond" w:cs="Times New Roman"/>
        </w:rPr>
        <w:t>Rawdown</w:t>
      </w:r>
      <w:proofErr w:type="spellEnd"/>
      <w:r w:rsidRPr="003037D2">
        <w:rPr>
          <w:rFonts w:ascii="Garamond" w:eastAsia="Calibri" w:hAnsi="Garamond" w:cs="Times New Roman"/>
        </w:rPr>
        <w:t xml:space="preserve"> created to </w:t>
      </w:r>
      <w:proofErr w:type="spellStart"/>
      <w:r w:rsidRPr="003037D2">
        <w:rPr>
          <w:rFonts w:ascii="Garamond" w:eastAsia="Calibri" w:hAnsi="Garamond" w:cs="Times New Roman"/>
        </w:rPr>
        <w:t>visualise</w:t>
      </w:r>
      <w:proofErr w:type="spellEnd"/>
      <w:r w:rsidRPr="003037D2">
        <w:rPr>
          <w:rFonts w:ascii="Garamond" w:eastAsia="Calibri" w:hAnsi="Garamond" w:cs="Times New Roman"/>
        </w:rPr>
        <w:t xml:space="preserve"> the relationship between the different parts of the Holy Trinity, creating a visual aide memoire for himself. As a collection, the volume </w:t>
      </w:r>
      <w:proofErr w:type="spellStart"/>
      <w:r w:rsidRPr="003037D2">
        <w:rPr>
          <w:rFonts w:ascii="Garamond" w:eastAsia="Calibri" w:hAnsi="Garamond" w:cs="Times New Roman"/>
        </w:rPr>
        <w:t>memorialises</w:t>
      </w:r>
      <w:proofErr w:type="spellEnd"/>
      <w:r w:rsidRPr="003037D2">
        <w:rPr>
          <w:rFonts w:ascii="Garamond" w:eastAsia="Calibri" w:hAnsi="Garamond" w:cs="Times New Roman"/>
        </w:rPr>
        <w:t xml:space="preserve"> some crucial moments in Rawdon’s life through the selection of work from a variety of sources. A repository for personal memories has been formed through assemblage. </w:t>
      </w:r>
    </w:p>
    <w:p w14:paraId="73031520" w14:textId="77777777" w:rsidR="00162224" w:rsidRPr="003037D2" w:rsidRDefault="00162224" w:rsidP="00162224">
      <w:pPr>
        <w:tabs>
          <w:tab w:val="left" w:pos="5728"/>
        </w:tabs>
        <w:spacing w:line="360" w:lineRule="auto"/>
        <w:rPr>
          <w:rFonts w:ascii="Garamond" w:eastAsia="Calibri" w:hAnsi="Garamond" w:cs="Times New Roman"/>
        </w:rPr>
      </w:pPr>
    </w:p>
    <w:p w14:paraId="584E65A2" w14:textId="2840A08D" w:rsidR="00162224" w:rsidRPr="003037D2" w:rsidRDefault="00162224" w:rsidP="00162224">
      <w:pPr>
        <w:tabs>
          <w:tab w:val="left" w:pos="5728"/>
        </w:tabs>
        <w:spacing w:line="360" w:lineRule="auto"/>
        <w:ind w:firstLine="720"/>
        <w:rPr>
          <w:rFonts w:ascii="Garamond" w:eastAsia="Calibri" w:hAnsi="Garamond" w:cs="Times New Roman"/>
        </w:rPr>
      </w:pPr>
      <w:r w:rsidRPr="003037D2">
        <w:rPr>
          <w:rFonts w:ascii="Garamond" w:eastAsia="Calibri" w:hAnsi="Garamond" w:cs="Times New Roman"/>
        </w:rPr>
        <w:t xml:space="preserve">Rawdon’s </w:t>
      </w:r>
      <w:r w:rsidRPr="003037D2">
        <w:rPr>
          <w:rFonts w:ascii="Garamond" w:eastAsia="Calibri" w:hAnsi="Garamond" w:cs="Times New Roman"/>
          <w:i/>
          <w:iCs/>
        </w:rPr>
        <w:t>Collection</w:t>
      </w:r>
      <w:r w:rsidRPr="003037D2">
        <w:rPr>
          <w:rFonts w:ascii="Garamond" w:eastAsia="Calibri" w:hAnsi="Garamond" w:cs="Times New Roman"/>
        </w:rPr>
        <w:t xml:space="preserve"> includes copies of twenty-three of He</w:t>
      </w:r>
      <w:r w:rsidR="00814479">
        <w:rPr>
          <w:rFonts w:ascii="Garamond" w:eastAsia="Calibri" w:hAnsi="Garamond" w:cs="Times New Roman"/>
        </w:rPr>
        <w:t>r</w:t>
      </w:r>
      <w:r w:rsidRPr="003037D2">
        <w:rPr>
          <w:rFonts w:ascii="Garamond" w:eastAsia="Calibri" w:hAnsi="Garamond" w:cs="Times New Roman"/>
        </w:rPr>
        <w:t>bert’s poems, all from ‘The Church’, with a notable dominance of the poems that include typographical elements: both the ‘Antiphon’ poems, ‘Paradise’, ‘The Altar’, ‘Anagram’, ‘</w:t>
      </w:r>
      <w:proofErr w:type="spellStart"/>
      <w:r w:rsidRPr="003037D2">
        <w:rPr>
          <w:rFonts w:ascii="Garamond" w:eastAsia="Calibri" w:hAnsi="Garamond" w:cs="Times New Roman"/>
        </w:rPr>
        <w:t>Collosians</w:t>
      </w:r>
      <w:proofErr w:type="spellEnd"/>
      <w:r w:rsidRPr="003037D2">
        <w:rPr>
          <w:rFonts w:ascii="Garamond" w:eastAsia="Calibri" w:hAnsi="Garamond" w:cs="Times New Roman"/>
        </w:rPr>
        <w:t xml:space="preserve"> 3. Ver 3’, ‘JESU’, ‘Love Joy’ and ‘</w:t>
      </w:r>
      <w:proofErr w:type="spellStart"/>
      <w:r w:rsidRPr="003037D2">
        <w:rPr>
          <w:rFonts w:ascii="Garamond" w:eastAsia="Calibri" w:hAnsi="Garamond" w:cs="Times New Roman"/>
        </w:rPr>
        <w:t>Sighes</w:t>
      </w:r>
      <w:proofErr w:type="spellEnd"/>
      <w:r w:rsidRPr="003037D2">
        <w:rPr>
          <w:rFonts w:ascii="Garamond" w:eastAsia="Calibri" w:hAnsi="Garamond" w:cs="Times New Roman"/>
        </w:rPr>
        <w:t xml:space="preserve"> and </w:t>
      </w:r>
      <w:proofErr w:type="spellStart"/>
      <w:r w:rsidRPr="003037D2">
        <w:rPr>
          <w:rFonts w:ascii="Garamond" w:eastAsia="Calibri" w:hAnsi="Garamond" w:cs="Times New Roman"/>
        </w:rPr>
        <w:t>Grones</w:t>
      </w:r>
      <w:proofErr w:type="spellEnd"/>
      <w:r w:rsidRPr="003037D2">
        <w:rPr>
          <w:rFonts w:ascii="Garamond" w:eastAsia="Calibri" w:hAnsi="Garamond" w:cs="Times New Roman"/>
        </w:rPr>
        <w:t xml:space="preserve">’. As previously discussed, I contend that pattern and hieroglyph poems prompt readers to engage with a poem or volume of poetry in a specific, temporally marked manner. They are halted by these visually arresting forms in their passage through the </w:t>
      </w:r>
      <w:proofErr w:type="gramStart"/>
      <w:r w:rsidRPr="003037D2">
        <w:rPr>
          <w:rFonts w:ascii="Garamond" w:eastAsia="Calibri" w:hAnsi="Garamond" w:cs="Times New Roman"/>
        </w:rPr>
        <w:t>book, and</w:t>
      </w:r>
      <w:proofErr w:type="gramEnd"/>
      <w:r w:rsidRPr="003037D2">
        <w:rPr>
          <w:rFonts w:ascii="Garamond" w:eastAsia="Calibri" w:hAnsi="Garamond" w:cs="Times New Roman"/>
        </w:rPr>
        <w:t xml:space="preserve"> must read them at once in a linear manner, whilst observing them as a whole. The poems are split into two sections, the first under a heading ‘Out of Herbert’s Poems’ which consists of four verses from ‘The Church Porch’ and then full copies of ‘Antiphon (I)’, ‘Antiphon (II)’, ‘Paradise’, ‘A Dialogue-</w:t>
      </w:r>
      <w:proofErr w:type="spellStart"/>
      <w:r w:rsidRPr="003037D2">
        <w:rPr>
          <w:rFonts w:ascii="Garamond" w:eastAsia="Calibri" w:hAnsi="Garamond" w:cs="Times New Roman"/>
        </w:rPr>
        <w:t>Antheme</w:t>
      </w:r>
      <w:proofErr w:type="spellEnd"/>
      <w:r w:rsidRPr="003037D2">
        <w:rPr>
          <w:rFonts w:ascii="Garamond" w:eastAsia="Calibri" w:hAnsi="Garamond" w:cs="Times New Roman"/>
        </w:rPr>
        <w:t>’, ‘An Offering’, ‘Praise (II)’ and ‘The 23</w:t>
      </w:r>
      <w:r w:rsidRPr="003037D2">
        <w:rPr>
          <w:rFonts w:ascii="Garamond" w:eastAsia="Calibri" w:hAnsi="Garamond" w:cs="Times New Roman"/>
          <w:vertAlign w:val="superscript"/>
        </w:rPr>
        <w:t>rd</w:t>
      </w:r>
      <w:r w:rsidRPr="003037D2">
        <w:rPr>
          <w:rFonts w:ascii="Garamond" w:eastAsia="Calibri" w:hAnsi="Garamond" w:cs="Times New Roman"/>
        </w:rPr>
        <w:t xml:space="preserve"> </w:t>
      </w:r>
      <w:proofErr w:type="spellStart"/>
      <w:r w:rsidRPr="003037D2">
        <w:rPr>
          <w:rFonts w:ascii="Garamond" w:eastAsia="Calibri" w:hAnsi="Garamond" w:cs="Times New Roman"/>
        </w:rPr>
        <w:t>Psalme</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544"/>
      </w:r>
      <w:r w:rsidRPr="003037D2">
        <w:rPr>
          <w:rFonts w:ascii="Garamond" w:eastAsia="Calibri" w:hAnsi="Garamond" w:cs="Times New Roman"/>
        </w:rPr>
        <w:t xml:space="preserve"> The end of this selection is marked by a small typographical figure, and then a series of sayings on the theme ‘Of Content’. Following this are ‘</w:t>
      </w:r>
      <w:proofErr w:type="spellStart"/>
      <w:r w:rsidRPr="003037D2">
        <w:rPr>
          <w:rFonts w:ascii="Garamond" w:eastAsia="Calibri" w:hAnsi="Garamond" w:cs="Times New Roman"/>
        </w:rPr>
        <w:t>Severall</w:t>
      </w:r>
      <w:proofErr w:type="spellEnd"/>
      <w:r w:rsidRPr="003037D2">
        <w:rPr>
          <w:rFonts w:ascii="Garamond" w:eastAsia="Calibri" w:hAnsi="Garamond" w:cs="Times New Roman"/>
        </w:rPr>
        <w:t xml:space="preserve"> sententious Verses out of </w:t>
      </w:r>
      <w:proofErr w:type="spellStart"/>
      <w:r w:rsidRPr="003037D2">
        <w:rPr>
          <w:rFonts w:ascii="Garamond" w:eastAsia="Calibri" w:hAnsi="Garamond" w:cs="Times New Roman"/>
        </w:rPr>
        <w:t>Britains</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Pastora</w:t>
      </w:r>
      <w:proofErr w:type="spellEnd"/>
      <w:r w:rsidRPr="003037D2">
        <w:rPr>
          <w:rFonts w:ascii="Garamond" w:eastAsia="Calibri" w:hAnsi="Garamond" w:cs="Times New Roman"/>
        </w:rPr>
        <w:t>’, and then ‘Out of May his continuance of Lucan’.</w:t>
      </w:r>
      <w:r w:rsidRPr="003037D2">
        <w:rPr>
          <w:rFonts w:ascii="Garamond" w:eastAsia="Calibri" w:hAnsi="Garamond" w:cs="Times New Roman"/>
          <w:vertAlign w:val="superscript"/>
        </w:rPr>
        <w:footnoteReference w:id="545"/>
      </w:r>
      <w:r w:rsidRPr="003037D2">
        <w:rPr>
          <w:rFonts w:ascii="Garamond" w:eastAsia="Calibri" w:hAnsi="Garamond" w:cs="Times New Roman"/>
        </w:rPr>
        <w:t xml:space="preserve"> Herbert is positioned within a wider philosophical tradition, part of a series of commonplaces upon moral themes. Rawdon is selecting from proverbial, communally held literature to create his own personal volume, which speaks to his personal concerns and </w:t>
      </w:r>
      <w:proofErr w:type="spellStart"/>
      <w:r w:rsidRPr="003037D2">
        <w:rPr>
          <w:rFonts w:ascii="Garamond" w:eastAsia="Calibri" w:hAnsi="Garamond" w:cs="Times New Roman"/>
        </w:rPr>
        <w:t>memorialises</w:t>
      </w:r>
      <w:proofErr w:type="spellEnd"/>
      <w:r w:rsidRPr="003037D2">
        <w:rPr>
          <w:rFonts w:ascii="Garamond" w:eastAsia="Calibri" w:hAnsi="Garamond" w:cs="Times New Roman"/>
        </w:rPr>
        <w:t xml:space="preserve"> his life and those of his relatives. The second set of poems includes ‘Easter’, ‘</w:t>
      </w:r>
      <w:proofErr w:type="spellStart"/>
      <w:r w:rsidRPr="003037D2">
        <w:rPr>
          <w:rFonts w:ascii="Garamond" w:eastAsia="Calibri" w:hAnsi="Garamond" w:cs="Times New Roman"/>
        </w:rPr>
        <w:t>Trinitie</w:t>
      </w:r>
      <w:proofErr w:type="spellEnd"/>
      <w:r w:rsidRPr="003037D2">
        <w:rPr>
          <w:rFonts w:ascii="Garamond" w:eastAsia="Calibri" w:hAnsi="Garamond" w:cs="Times New Roman"/>
        </w:rPr>
        <w:t xml:space="preserve"> Sunday’, ‘Repentance’, ‘Anagram’, ‘Avarice’, ‘Employment’, ‘</w:t>
      </w:r>
      <w:proofErr w:type="spellStart"/>
      <w:r w:rsidRPr="003037D2">
        <w:rPr>
          <w:rFonts w:ascii="Garamond" w:eastAsia="Calibri" w:hAnsi="Garamond" w:cs="Times New Roman"/>
        </w:rPr>
        <w:t>Sighes</w:t>
      </w:r>
      <w:proofErr w:type="spellEnd"/>
      <w:r w:rsidRPr="003037D2">
        <w:rPr>
          <w:rFonts w:ascii="Garamond" w:eastAsia="Calibri" w:hAnsi="Garamond" w:cs="Times New Roman"/>
        </w:rPr>
        <w:t xml:space="preserve"> and </w:t>
      </w:r>
      <w:proofErr w:type="spellStart"/>
      <w:r w:rsidRPr="003037D2">
        <w:rPr>
          <w:rFonts w:ascii="Garamond" w:eastAsia="Calibri" w:hAnsi="Garamond" w:cs="Times New Roman"/>
        </w:rPr>
        <w:t>Grones</w:t>
      </w:r>
      <w:proofErr w:type="spellEnd"/>
      <w:r w:rsidRPr="003037D2">
        <w:rPr>
          <w:rFonts w:ascii="Garamond" w:eastAsia="Calibri" w:hAnsi="Garamond" w:cs="Times New Roman"/>
        </w:rPr>
        <w:t>’, ‘</w:t>
      </w:r>
      <w:proofErr w:type="spellStart"/>
      <w:r w:rsidRPr="003037D2">
        <w:rPr>
          <w:rFonts w:ascii="Garamond" w:eastAsia="Calibri" w:hAnsi="Garamond" w:cs="Times New Roman"/>
        </w:rPr>
        <w:t>Collosians</w:t>
      </w:r>
      <w:proofErr w:type="spellEnd"/>
      <w:r w:rsidRPr="003037D2">
        <w:rPr>
          <w:rFonts w:ascii="Garamond" w:eastAsia="Calibri" w:hAnsi="Garamond" w:cs="Times New Roman"/>
        </w:rPr>
        <w:t xml:space="preserve"> 3. </w:t>
      </w:r>
      <w:proofErr w:type="spellStart"/>
      <w:r w:rsidRPr="003037D2">
        <w:rPr>
          <w:rFonts w:ascii="Garamond" w:eastAsia="Calibri" w:hAnsi="Garamond" w:cs="Times New Roman"/>
        </w:rPr>
        <w:t>ver</w:t>
      </w:r>
      <w:proofErr w:type="spellEnd"/>
      <w:r w:rsidRPr="003037D2">
        <w:rPr>
          <w:rFonts w:ascii="Garamond" w:eastAsia="Calibri" w:hAnsi="Garamond" w:cs="Times New Roman"/>
        </w:rPr>
        <w:t xml:space="preserve"> 3’, ‘</w:t>
      </w:r>
      <w:proofErr w:type="spellStart"/>
      <w:r w:rsidRPr="003037D2">
        <w:rPr>
          <w:rFonts w:ascii="Garamond" w:eastAsia="Calibri" w:hAnsi="Garamond" w:cs="Times New Roman"/>
        </w:rPr>
        <w:t>Charmes</w:t>
      </w:r>
      <w:proofErr w:type="spellEnd"/>
      <w:r w:rsidRPr="003037D2">
        <w:rPr>
          <w:rFonts w:ascii="Garamond" w:eastAsia="Calibri" w:hAnsi="Garamond" w:cs="Times New Roman"/>
        </w:rPr>
        <w:t xml:space="preserve"> and Knotts’, ‘Obedience’, ‘The British Church’, ‘JESU’, ‘Love-Joy’, </w:t>
      </w:r>
      <w:r w:rsidRPr="003037D2">
        <w:rPr>
          <w:rFonts w:ascii="Garamond" w:eastAsia="Calibri" w:hAnsi="Garamond" w:cs="Times New Roman"/>
        </w:rPr>
        <w:lastRenderedPageBreak/>
        <w:t>‘Business’ and ‘Time’. Rawdon alters some of these titles, conforming perhaps to the expected titling</w:t>
      </w:r>
      <w:r w:rsidR="004F590E">
        <w:rPr>
          <w:rFonts w:ascii="Garamond" w:eastAsia="Calibri" w:hAnsi="Garamond" w:cs="Times New Roman"/>
        </w:rPr>
        <w:t xml:space="preserve"> conventions of the seventeenth </w:t>
      </w:r>
      <w:r w:rsidRPr="003037D2">
        <w:rPr>
          <w:rFonts w:ascii="Garamond" w:eastAsia="Calibri" w:hAnsi="Garamond" w:cs="Times New Roman"/>
        </w:rPr>
        <w:t>century.</w:t>
      </w:r>
      <w:r w:rsidRPr="003037D2">
        <w:rPr>
          <w:rFonts w:ascii="Garamond" w:eastAsia="Calibri" w:hAnsi="Garamond" w:cs="Times New Roman"/>
          <w:vertAlign w:val="superscript"/>
        </w:rPr>
        <w:footnoteReference w:id="546"/>
      </w:r>
      <w:r w:rsidRPr="003037D2">
        <w:rPr>
          <w:rFonts w:ascii="Garamond" w:eastAsia="Calibri" w:hAnsi="Garamond" w:cs="Times New Roman"/>
        </w:rPr>
        <w:t xml:space="preserve"> The extracts from ‘The Church Porch’ are untitled, ‘Time’ becomes ‘Of Time’, and ‘A Dialogue-Anthem’ becomes ‘A Dialogue Anthem betwixt a Christian and Death’. The two ‘Antiphons’ are placed alongside one another, offering two complimentary forms of praise and </w:t>
      </w:r>
      <w:proofErr w:type="spellStart"/>
      <w:r w:rsidRPr="003037D2">
        <w:rPr>
          <w:rFonts w:ascii="Garamond" w:eastAsia="Calibri" w:hAnsi="Garamond" w:cs="Times New Roman"/>
        </w:rPr>
        <w:t>emphasising</w:t>
      </w:r>
      <w:proofErr w:type="spellEnd"/>
      <w:r w:rsidRPr="003037D2">
        <w:rPr>
          <w:rFonts w:ascii="Garamond" w:eastAsia="Calibri" w:hAnsi="Garamond" w:cs="Times New Roman"/>
        </w:rPr>
        <w:t xml:space="preserve"> the ‘commonplace’ nature of the poems. </w:t>
      </w:r>
    </w:p>
    <w:p w14:paraId="529DDF2D" w14:textId="77777777" w:rsidR="00162224" w:rsidRPr="003037D2" w:rsidRDefault="00162224" w:rsidP="00162224">
      <w:pPr>
        <w:tabs>
          <w:tab w:val="left" w:pos="5728"/>
        </w:tabs>
        <w:spacing w:line="360" w:lineRule="auto"/>
        <w:ind w:firstLine="720"/>
        <w:rPr>
          <w:rFonts w:ascii="Garamond" w:eastAsia="Calibri" w:hAnsi="Garamond" w:cs="Times New Roman"/>
        </w:rPr>
      </w:pPr>
    </w:p>
    <w:p w14:paraId="0D87ADB3" w14:textId="0EBD186F" w:rsidR="00162224" w:rsidRPr="003037D2" w:rsidRDefault="00162224" w:rsidP="00162224">
      <w:pPr>
        <w:tabs>
          <w:tab w:val="left" w:pos="5728"/>
        </w:tabs>
        <w:spacing w:line="360" w:lineRule="auto"/>
        <w:ind w:firstLine="720"/>
        <w:rPr>
          <w:rFonts w:ascii="Garamond" w:eastAsia="Calibri" w:hAnsi="Garamond" w:cs="Times New Roman"/>
        </w:rPr>
      </w:pPr>
      <w:r w:rsidRPr="003037D2">
        <w:rPr>
          <w:rFonts w:ascii="Garamond" w:eastAsia="Calibri" w:hAnsi="Garamond" w:cs="Times New Roman"/>
        </w:rPr>
        <w:t xml:space="preserve">Rawdon was likely copying from a printed version of </w:t>
      </w:r>
      <w:r w:rsidRPr="003037D2">
        <w:rPr>
          <w:rFonts w:ascii="Garamond" w:eastAsia="Calibri" w:hAnsi="Garamond" w:cs="Times New Roman"/>
          <w:i/>
        </w:rPr>
        <w:t xml:space="preserve">The Temple, </w:t>
      </w:r>
      <w:r w:rsidRPr="003037D2">
        <w:rPr>
          <w:rFonts w:ascii="Garamond" w:eastAsia="Calibri" w:hAnsi="Garamond" w:cs="Times New Roman"/>
        </w:rPr>
        <w:t xml:space="preserve">as within the individual sets the poems appear in the same order as in the 1633 edition, aside from a ‘Dialogue-Anthem’ being set ahead of ‘An Offering’, and ‘An Offering’ preceding ‘Praise (II)’ in the first tranche. Similarly, in the second section of Herbert poems, ‘Anagram’ and ‘Avarice’, and ‘Love-Joy’ and ‘Time’ are inverted. I would posit that this was due to spatial constraints, as Rawdon seems to have taken pains to ensure that poems were not split over two pages unnecessarily. As seen in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_Ref499300001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31</w:t>
      </w:r>
      <w:r w:rsidRPr="003037D2">
        <w:rPr>
          <w:rFonts w:ascii="Garamond" w:eastAsia="Calibri" w:hAnsi="Garamond" w:cs="Times New Roman"/>
        </w:rPr>
        <w:fldChar w:fldCharType="end"/>
      </w:r>
      <w:r w:rsidRPr="003037D2">
        <w:rPr>
          <w:rFonts w:ascii="Garamond" w:eastAsia="Calibri" w:hAnsi="Garamond" w:cs="Times New Roman"/>
        </w:rPr>
        <w:t>, ‘</w:t>
      </w:r>
      <w:proofErr w:type="spellStart"/>
      <w:r w:rsidRPr="003037D2">
        <w:rPr>
          <w:rFonts w:ascii="Garamond" w:eastAsia="Calibri" w:hAnsi="Garamond" w:cs="Times New Roman"/>
        </w:rPr>
        <w:t>Anagrame</w:t>
      </w:r>
      <w:proofErr w:type="spellEnd"/>
      <w:r w:rsidRPr="003037D2">
        <w:rPr>
          <w:rFonts w:ascii="Garamond" w:eastAsia="Calibri" w:hAnsi="Garamond" w:cs="Times New Roman"/>
        </w:rPr>
        <w:t>’ is squeezed into the bottom of a page, almost running into the binding of the volume. The volume draws attention to its status as a commonplace book through textual means. Some poems, such as ‘</w:t>
      </w:r>
      <w:proofErr w:type="spellStart"/>
      <w:r w:rsidRPr="003037D2">
        <w:rPr>
          <w:rFonts w:ascii="Garamond" w:eastAsia="Calibri" w:hAnsi="Garamond" w:cs="Times New Roman"/>
        </w:rPr>
        <w:t>Charmes</w:t>
      </w:r>
      <w:proofErr w:type="spellEnd"/>
      <w:r w:rsidRPr="003037D2">
        <w:rPr>
          <w:rFonts w:ascii="Garamond" w:eastAsia="Calibri" w:hAnsi="Garamond" w:cs="Times New Roman"/>
        </w:rPr>
        <w:t xml:space="preserve"> and Knotts’, ‘Business’ and ‘Time’ separate individual stanzas from one another with delicately scored lines. ‘Time’ is split overleaf, and the two pages are each titled ‘Of Time’, giving a further impression of commonplacing. The book also includes a comprehensive index at the back, giving </w:t>
      </w:r>
      <w:proofErr w:type="spellStart"/>
      <w:r w:rsidRPr="003037D2">
        <w:rPr>
          <w:rFonts w:ascii="Garamond" w:eastAsia="Calibri" w:hAnsi="Garamond" w:cs="Times New Roman"/>
        </w:rPr>
        <w:t>alphabetised</w:t>
      </w:r>
      <w:proofErr w:type="spellEnd"/>
      <w:r w:rsidRPr="003037D2">
        <w:rPr>
          <w:rFonts w:ascii="Garamond" w:eastAsia="Calibri" w:hAnsi="Garamond" w:cs="Times New Roman"/>
        </w:rPr>
        <w:t xml:space="preserve"> lists of topics. For example, under ‘D’, there are thirteen page references for ‘Death’, five for ‘Dialogues’, three for each of ‘</w:t>
      </w:r>
      <w:proofErr w:type="spellStart"/>
      <w:r w:rsidRPr="003037D2">
        <w:rPr>
          <w:rFonts w:ascii="Garamond" w:eastAsia="Calibri" w:hAnsi="Garamond" w:cs="Times New Roman"/>
        </w:rPr>
        <w:t>Diogens</w:t>
      </w:r>
      <w:proofErr w:type="spellEnd"/>
      <w:r w:rsidRPr="003037D2">
        <w:rPr>
          <w:rFonts w:ascii="Garamond" w:eastAsia="Calibri" w:hAnsi="Garamond" w:cs="Times New Roman"/>
        </w:rPr>
        <w:t xml:space="preserve">’ and ‘Day of Judgment’, two for ‘The </w:t>
      </w:r>
      <w:proofErr w:type="spellStart"/>
      <w:r w:rsidRPr="003037D2">
        <w:rPr>
          <w:rFonts w:ascii="Garamond" w:eastAsia="Calibri" w:hAnsi="Garamond" w:cs="Times New Roman"/>
        </w:rPr>
        <w:t>Denile</w:t>
      </w:r>
      <w:proofErr w:type="spellEnd"/>
      <w:r w:rsidRPr="003037D2">
        <w:rPr>
          <w:rFonts w:ascii="Garamond" w:eastAsia="Calibri" w:hAnsi="Garamond" w:cs="Times New Roman"/>
        </w:rPr>
        <w:t>’ and ‘</w:t>
      </w:r>
      <w:proofErr w:type="spellStart"/>
      <w:r w:rsidRPr="003037D2">
        <w:rPr>
          <w:rFonts w:ascii="Garamond" w:eastAsia="Calibri" w:hAnsi="Garamond" w:cs="Times New Roman"/>
        </w:rPr>
        <w:t>Dreames</w:t>
      </w:r>
      <w:proofErr w:type="spellEnd"/>
      <w:r w:rsidRPr="003037D2">
        <w:rPr>
          <w:rFonts w:ascii="Garamond" w:eastAsia="Calibri" w:hAnsi="Garamond" w:cs="Times New Roman"/>
        </w:rPr>
        <w:t>’, and one listing for each ‘Delay’, ‘</w:t>
      </w:r>
      <w:proofErr w:type="spellStart"/>
      <w:r w:rsidRPr="003037D2">
        <w:rPr>
          <w:rFonts w:ascii="Garamond" w:eastAsia="Calibri" w:hAnsi="Garamond" w:cs="Times New Roman"/>
        </w:rPr>
        <w:t>Divertment</w:t>
      </w:r>
      <w:proofErr w:type="spellEnd"/>
      <w:r w:rsidRPr="003037D2">
        <w:rPr>
          <w:rFonts w:ascii="Garamond" w:eastAsia="Calibri" w:hAnsi="Garamond" w:cs="Times New Roman"/>
        </w:rPr>
        <w:t xml:space="preserve">’ Deeds that are </w:t>
      </w:r>
      <w:proofErr w:type="spellStart"/>
      <w:r w:rsidRPr="003037D2">
        <w:rPr>
          <w:rFonts w:ascii="Garamond" w:eastAsia="Calibri" w:hAnsi="Garamond" w:cs="Times New Roman"/>
        </w:rPr>
        <w:t>evill</w:t>
      </w:r>
      <w:proofErr w:type="spellEnd"/>
      <w:r w:rsidRPr="003037D2">
        <w:rPr>
          <w:rFonts w:ascii="Garamond" w:eastAsia="Calibri" w:hAnsi="Garamond" w:cs="Times New Roman"/>
        </w:rPr>
        <w:t>’, ‘</w:t>
      </w:r>
      <w:proofErr w:type="spellStart"/>
      <w:r w:rsidRPr="003037D2">
        <w:rPr>
          <w:rFonts w:ascii="Garamond" w:eastAsia="Calibri" w:hAnsi="Garamond" w:cs="Times New Roman"/>
        </w:rPr>
        <w:t>Defiete</w:t>
      </w:r>
      <w:proofErr w:type="spellEnd"/>
      <w:r w:rsidRPr="003037D2">
        <w:rPr>
          <w:rFonts w:ascii="Garamond" w:eastAsia="Calibri" w:hAnsi="Garamond" w:cs="Times New Roman"/>
        </w:rPr>
        <w:t>’, ‘</w:t>
      </w:r>
      <w:proofErr w:type="spellStart"/>
      <w:r w:rsidRPr="003037D2">
        <w:rPr>
          <w:rFonts w:ascii="Garamond" w:eastAsia="Calibri" w:hAnsi="Garamond" w:cs="Times New Roman"/>
        </w:rPr>
        <w:t>Despaire</w:t>
      </w:r>
      <w:proofErr w:type="spellEnd"/>
      <w:r w:rsidRPr="003037D2">
        <w:rPr>
          <w:rFonts w:ascii="Garamond" w:eastAsia="Calibri" w:hAnsi="Garamond" w:cs="Times New Roman"/>
        </w:rPr>
        <w:t>’, and ‘Duke of Buckingham’.</w:t>
      </w:r>
      <w:r w:rsidRPr="003037D2">
        <w:rPr>
          <w:rFonts w:ascii="Garamond" w:eastAsia="Calibri" w:hAnsi="Garamond" w:cs="Times New Roman"/>
          <w:vertAlign w:val="superscript"/>
        </w:rPr>
        <w:footnoteReference w:id="547"/>
      </w:r>
      <w:r w:rsidRPr="003037D2">
        <w:rPr>
          <w:rFonts w:ascii="Garamond" w:eastAsia="Calibri" w:hAnsi="Garamond" w:cs="Times New Roman"/>
        </w:rPr>
        <w:t xml:space="preserve"> (See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_Ref499470845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46</w:t>
      </w:r>
      <w:r w:rsidRPr="003037D2">
        <w:rPr>
          <w:rFonts w:ascii="Garamond" w:eastAsia="Calibri" w:hAnsi="Garamond" w:cs="Times New Roman"/>
        </w:rPr>
        <w:fldChar w:fldCharType="end"/>
      </w:r>
      <w:r w:rsidRPr="003037D2">
        <w:rPr>
          <w:rFonts w:ascii="Garamond" w:eastAsia="Calibri" w:hAnsi="Garamond" w:cs="Times New Roman"/>
        </w:rPr>
        <w:t xml:space="preserve">). As is customary in commonplace books, although these terms are arranged alphabetically by initial letter, within that grouping there is no further </w:t>
      </w:r>
      <w:proofErr w:type="spellStart"/>
      <w:r w:rsidRPr="003037D2">
        <w:rPr>
          <w:rFonts w:ascii="Garamond" w:eastAsia="Calibri" w:hAnsi="Garamond" w:cs="Times New Roman"/>
        </w:rPr>
        <w:t>alphabetisation</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548"/>
      </w:r>
      <w:r w:rsidRPr="003037D2">
        <w:rPr>
          <w:rFonts w:ascii="Garamond" w:eastAsia="Calibri" w:hAnsi="Garamond" w:cs="Times New Roman"/>
        </w:rPr>
        <w:t xml:space="preserve"> One is encouraged to search the book, just as one is encouraged to scour the Herbert poems Rawdon selected for meaning, ‘spelling’ them out into their constitutive parts. However, the volume also has the aspect of a prayer book. ‘Time’ is the penultimate poem in the volume, and is followed by Francis Quarles’ ‘The Good Night’ (here </w:t>
      </w:r>
      <w:r w:rsidRPr="003037D2">
        <w:rPr>
          <w:rFonts w:ascii="Garamond" w:eastAsia="Calibri" w:hAnsi="Garamond" w:cs="Times New Roman"/>
        </w:rPr>
        <w:lastRenderedPageBreak/>
        <w:t>unattributed) and the final inscription after ‘FINIS’ reads ‘Glory be to God Amen’.</w:t>
      </w:r>
      <w:r w:rsidRPr="003037D2">
        <w:rPr>
          <w:rFonts w:ascii="Garamond" w:eastAsia="Calibri" w:hAnsi="Garamond" w:cs="Times New Roman"/>
          <w:vertAlign w:val="superscript"/>
        </w:rPr>
        <w:footnoteReference w:id="549"/>
      </w:r>
      <w:r w:rsidRPr="003037D2">
        <w:rPr>
          <w:rFonts w:ascii="Garamond" w:eastAsia="Calibri" w:hAnsi="Garamond" w:cs="Times New Roman"/>
        </w:rPr>
        <w:t xml:space="preserve"> As previously discussed, prayer books were open to non-sequential forms of reading, om which texts are repeatedly returned to, gathering layers of meaning as the reader experiences them in multiple times. </w:t>
      </w:r>
    </w:p>
    <w:p w14:paraId="291F522B" w14:textId="77777777" w:rsidR="00162224" w:rsidRPr="003037D2" w:rsidRDefault="00162224" w:rsidP="00162224">
      <w:pPr>
        <w:tabs>
          <w:tab w:val="left" w:pos="5728"/>
        </w:tabs>
        <w:spacing w:line="360" w:lineRule="auto"/>
        <w:ind w:firstLine="737"/>
        <w:rPr>
          <w:rFonts w:ascii="Garamond" w:eastAsia="Calibri" w:hAnsi="Garamond" w:cs="Times New Roman"/>
        </w:rPr>
      </w:pPr>
    </w:p>
    <w:p w14:paraId="31A0008E" w14:textId="525BF9A5" w:rsidR="00162224" w:rsidRPr="003037D2" w:rsidRDefault="00162224" w:rsidP="00162224">
      <w:pPr>
        <w:tabs>
          <w:tab w:val="left" w:pos="5728"/>
        </w:tabs>
        <w:spacing w:line="360" w:lineRule="auto"/>
        <w:ind w:firstLine="737"/>
        <w:rPr>
          <w:rFonts w:ascii="Garamond" w:eastAsia="Calibri" w:hAnsi="Garamond" w:cs="Times New Roman"/>
        </w:rPr>
      </w:pPr>
      <w:r w:rsidRPr="003037D2">
        <w:rPr>
          <w:rFonts w:ascii="Garamond" w:eastAsia="Calibri" w:hAnsi="Garamond" w:cs="Times New Roman"/>
        </w:rPr>
        <w:t xml:space="preserve">As previously stated, Rawdon was clearly interested in Herbert’s typographical poetry. He made attempts to use graphic effects to imitate the appearance of the printed works, although these were sometimes frustrated.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_Ref506736434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32</w:t>
      </w:r>
      <w:r w:rsidRPr="003037D2">
        <w:rPr>
          <w:rFonts w:ascii="Garamond" w:eastAsia="Calibri" w:hAnsi="Garamond" w:cs="Times New Roman"/>
        </w:rPr>
        <w:fldChar w:fldCharType="end"/>
      </w:r>
      <w:r w:rsidRPr="003037D2">
        <w:rPr>
          <w:rFonts w:ascii="Garamond" w:eastAsia="Calibri" w:hAnsi="Garamond" w:cs="Times New Roman"/>
        </w:rPr>
        <w:t xml:space="preserve"> shows Rawdon’s rendering of ‘Paradise’, which in print is justified so that each stanza aligns to make the wordplay more visible (see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_Ref506736935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33</w:t>
      </w:r>
      <w:r w:rsidRPr="003037D2">
        <w:rPr>
          <w:rFonts w:ascii="Garamond" w:eastAsia="Calibri" w:hAnsi="Garamond" w:cs="Times New Roman"/>
        </w:rPr>
        <w:fldChar w:fldCharType="end"/>
      </w:r>
      <w:r w:rsidRPr="003037D2">
        <w:rPr>
          <w:rFonts w:ascii="Garamond" w:eastAsia="Calibri" w:hAnsi="Garamond" w:cs="Times New Roman"/>
        </w:rPr>
        <w:t xml:space="preserve"> ). In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_Ref499300661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34</w:t>
      </w:r>
      <w:r w:rsidRPr="003037D2">
        <w:rPr>
          <w:rFonts w:ascii="Garamond" w:eastAsia="Calibri" w:hAnsi="Garamond" w:cs="Times New Roman"/>
        </w:rPr>
        <w:fldChar w:fldCharType="end"/>
      </w:r>
      <w:r w:rsidRPr="003037D2">
        <w:rPr>
          <w:rFonts w:ascii="Garamond" w:eastAsia="Calibri" w:hAnsi="Garamond" w:cs="Times New Roman"/>
        </w:rPr>
        <w:t xml:space="preserve"> the misalignment of ‘my’ in his rendering of ‘</w:t>
      </w:r>
      <w:proofErr w:type="spellStart"/>
      <w:r w:rsidRPr="003037D2">
        <w:rPr>
          <w:rFonts w:ascii="Garamond" w:eastAsia="Calibri" w:hAnsi="Garamond" w:cs="Times New Roman"/>
        </w:rPr>
        <w:t>Collosians</w:t>
      </w:r>
      <w:proofErr w:type="spellEnd"/>
      <w:r w:rsidRPr="003037D2">
        <w:rPr>
          <w:rFonts w:ascii="Garamond" w:eastAsia="Calibri" w:hAnsi="Garamond" w:cs="Times New Roman"/>
        </w:rPr>
        <w:t xml:space="preserve"> 3 </w:t>
      </w:r>
      <w:proofErr w:type="spellStart"/>
      <w:r w:rsidRPr="003037D2">
        <w:rPr>
          <w:rFonts w:ascii="Garamond" w:eastAsia="Calibri" w:hAnsi="Garamond" w:cs="Times New Roman"/>
        </w:rPr>
        <w:t>ver</w:t>
      </w:r>
      <w:proofErr w:type="spellEnd"/>
      <w:r w:rsidRPr="003037D2">
        <w:rPr>
          <w:rFonts w:ascii="Garamond" w:eastAsia="Calibri" w:hAnsi="Garamond" w:cs="Times New Roman"/>
        </w:rPr>
        <w:t xml:space="preserve"> 3’ can be spotted, slightly breaking the diagonal line created by the </w:t>
      </w:r>
      <w:proofErr w:type="spellStart"/>
      <w:r w:rsidRPr="003037D2">
        <w:rPr>
          <w:rFonts w:ascii="Garamond" w:eastAsia="Calibri" w:hAnsi="Garamond" w:cs="Times New Roman"/>
        </w:rPr>
        <w:t>capitalised</w:t>
      </w:r>
      <w:proofErr w:type="spellEnd"/>
      <w:r w:rsidRPr="003037D2">
        <w:rPr>
          <w:rFonts w:ascii="Garamond" w:eastAsia="Calibri" w:hAnsi="Garamond" w:cs="Times New Roman"/>
        </w:rPr>
        <w:t xml:space="preserve"> words in the poem, which spell out the Biblical verse. However, he has carefully </w:t>
      </w:r>
      <w:proofErr w:type="spellStart"/>
      <w:r w:rsidRPr="003037D2">
        <w:rPr>
          <w:rFonts w:ascii="Garamond" w:eastAsia="Calibri" w:hAnsi="Garamond" w:cs="Times New Roman"/>
        </w:rPr>
        <w:t>capitalised</w:t>
      </w:r>
      <w:proofErr w:type="spellEnd"/>
      <w:r w:rsidRPr="003037D2">
        <w:rPr>
          <w:rFonts w:ascii="Garamond" w:eastAsia="Calibri" w:hAnsi="Garamond" w:cs="Times New Roman"/>
        </w:rPr>
        <w:t xml:space="preserve"> these key words, and they appear slightly thicker, either due to a different quill nib or simply by varying the writing technique. Similarly, in his transcription of ‘JESU’, the letters spelling out Christ’s name are </w:t>
      </w:r>
      <w:proofErr w:type="spellStart"/>
      <w:r w:rsidRPr="003037D2">
        <w:rPr>
          <w:rFonts w:ascii="Garamond" w:eastAsia="Calibri" w:hAnsi="Garamond" w:cs="Times New Roman"/>
        </w:rPr>
        <w:t>capitalised</w:t>
      </w:r>
      <w:proofErr w:type="spellEnd"/>
      <w:r w:rsidRPr="003037D2">
        <w:rPr>
          <w:rFonts w:ascii="Garamond" w:eastAsia="Calibri" w:hAnsi="Garamond" w:cs="Times New Roman"/>
        </w:rPr>
        <w:t xml:space="preserve"> and slightly thicker, mimicking the use of capitals and </w:t>
      </w:r>
      <w:proofErr w:type="spellStart"/>
      <w:r w:rsidRPr="003037D2">
        <w:rPr>
          <w:rFonts w:ascii="Garamond" w:eastAsia="Calibri" w:hAnsi="Garamond" w:cs="Times New Roman"/>
        </w:rPr>
        <w:t>italicisation</w:t>
      </w:r>
      <w:proofErr w:type="spellEnd"/>
      <w:r w:rsidRPr="003037D2">
        <w:rPr>
          <w:rFonts w:ascii="Garamond" w:eastAsia="Calibri" w:hAnsi="Garamond" w:cs="Times New Roman"/>
        </w:rPr>
        <w:t xml:space="preserve"> in the printed editions.</w:t>
      </w:r>
      <w:r w:rsidRPr="003037D2">
        <w:rPr>
          <w:rFonts w:ascii="Garamond" w:eastAsia="Calibri" w:hAnsi="Garamond" w:cs="Times New Roman"/>
          <w:vertAlign w:val="superscript"/>
        </w:rPr>
        <w:footnoteReference w:id="550"/>
      </w:r>
      <w:r w:rsidRPr="003037D2">
        <w:rPr>
          <w:rFonts w:ascii="Garamond" w:eastAsia="Calibri" w:hAnsi="Garamond" w:cs="Times New Roman"/>
        </w:rPr>
        <w:t xml:space="preserve"> The use of ‘I’ for the ‘J’ allow the further pun of ‘I ease you’ in the penultimate line to be particularly </w:t>
      </w:r>
      <w:proofErr w:type="spellStart"/>
      <w:r w:rsidRPr="003037D2">
        <w:rPr>
          <w:rFonts w:ascii="Garamond" w:eastAsia="Calibri" w:hAnsi="Garamond" w:cs="Times New Roman"/>
        </w:rPr>
        <w:t>emphasised</w:t>
      </w:r>
      <w:proofErr w:type="spellEnd"/>
      <w:r w:rsidRPr="003037D2">
        <w:rPr>
          <w:rFonts w:ascii="Garamond" w:eastAsia="Calibri" w:hAnsi="Garamond" w:cs="Times New Roman"/>
        </w:rPr>
        <w:t xml:space="preserve">, particularly as Rawdon </w:t>
      </w:r>
      <w:proofErr w:type="spellStart"/>
      <w:r w:rsidRPr="003037D2">
        <w:rPr>
          <w:rFonts w:ascii="Garamond" w:eastAsia="Calibri" w:hAnsi="Garamond" w:cs="Times New Roman"/>
        </w:rPr>
        <w:t>capitalises</w:t>
      </w:r>
      <w:proofErr w:type="spellEnd"/>
      <w:r w:rsidRPr="003037D2">
        <w:rPr>
          <w:rFonts w:ascii="Garamond" w:eastAsia="Calibri" w:hAnsi="Garamond" w:cs="Times New Roman"/>
        </w:rPr>
        <w:t xml:space="preserve"> only part of ‘ease’: ‘I </w:t>
      </w:r>
      <w:proofErr w:type="spellStart"/>
      <w:r w:rsidRPr="003037D2">
        <w:rPr>
          <w:rFonts w:ascii="Garamond" w:eastAsia="Calibri" w:hAnsi="Garamond" w:cs="Times New Roman"/>
        </w:rPr>
        <w:t>EASe</w:t>
      </w:r>
      <w:proofErr w:type="spellEnd"/>
      <w:r w:rsidRPr="003037D2">
        <w:rPr>
          <w:rFonts w:ascii="Garamond" w:eastAsia="Calibri" w:hAnsi="Garamond" w:cs="Times New Roman"/>
        </w:rPr>
        <w:t>’</w:t>
      </w:r>
      <w:r w:rsidR="00ED0F4C">
        <w:rPr>
          <w:rFonts w:ascii="Garamond" w:eastAsia="Calibri" w:hAnsi="Garamond" w:cs="Times New Roman"/>
        </w:rPr>
        <w:t xml:space="preserve"> </w:t>
      </w:r>
      <w:r w:rsidRPr="003037D2">
        <w:rPr>
          <w:rFonts w:ascii="Garamond" w:eastAsia="Calibri" w:hAnsi="Garamond" w:cs="Times New Roman"/>
        </w:rPr>
        <w:t>(</w:t>
      </w:r>
      <w:r w:rsidR="00ED0F4C">
        <w:rPr>
          <w:rFonts w:ascii="Garamond" w:eastAsia="Calibri" w:hAnsi="Garamond" w:cs="Times New Roman"/>
        </w:rPr>
        <w:t>s</w:t>
      </w:r>
      <w:r w:rsidRPr="003037D2">
        <w:rPr>
          <w:rFonts w:ascii="Garamond" w:eastAsia="Calibri" w:hAnsi="Garamond" w:cs="Times New Roman"/>
        </w:rPr>
        <w:t xml:space="preserve">ee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_Ref499301417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35</w:t>
      </w:r>
      <w:r w:rsidRPr="003037D2">
        <w:rPr>
          <w:rFonts w:ascii="Garamond" w:eastAsia="Calibri" w:hAnsi="Garamond" w:cs="Times New Roman"/>
        </w:rPr>
        <w:fldChar w:fldCharType="end"/>
      </w:r>
      <w:r w:rsidRPr="003037D2">
        <w:rPr>
          <w:rFonts w:ascii="Garamond" w:eastAsia="Calibri" w:hAnsi="Garamond" w:cs="Times New Roman"/>
        </w:rPr>
        <w:t>)</w:t>
      </w:r>
      <w:r w:rsidR="00ED0F4C">
        <w:rPr>
          <w:rFonts w:ascii="Garamond" w:eastAsia="Calibri" w:hAnsi="Garamond" w:cs="Times New Roman"/>
        </w:rPr>
        <w:t>.</w:t>
      </w:r>
      <w:r w:rsidRPr="003037D2">
        <w:rPr>
          <w:rFonts w:ascii="Garamond" w:eastAsia="Calibri" w:hAnsi="Garamond" w:cs="Times New Roman"/>
        </w:rPr>
        <w:t xml:space="preserve"> In ‘Love-Joy’, whilst the ‘I’ and ‘C’ in the second line are </w:t>
      </w:r>
      <w:proofErr w:type="spellStart"/>
      <w:r w:rsidRPr="003037D2">
        <w:rPr>
          <w:rFonts w:ascii="Garamond" w:eastAsia="Calibri" w:hAnsi="Garamond" w:cs="Times New Roman"/>
        </w:rPr>
        <w:t>capitalised</w:t>
      </w:r>
      <w:proofErr w:type="spellEnd"/>
      <w:r w:rsidRPr="003037D2">
        <w:rPr>
          <w:rFonts w:ascii="Garamond" w:eastAsia="Calibri" w:hAnsi="Garamond" w:cs="Times New Roman"/>
        </w:rPr>
        <w:t>, the name ‘Jesus Christ’ in the final line is left un-capitalized, meaning that the typographical effect that He</w:t>
      </w:r>
      <w:r w:rsidR="00814479">
        <w:rPr>
          <w:rFonts w:ascii="Garamond" w:eastAsia="Calibri" w:hAnsi="Garamond" w:cs="Times New Roman"/>
        </w:rPr>
        <w:t>r</w:t>
      </w:r>
      <w:r w:rsidRPr="003037D2">
        <w:rPr>
          <w:rFonts w:ascii="Garamond" w:eastAsia="Calibri" w:hAnsi="Garamond" w:cs="Times New Roman"/>
        </w:rPr>
        <w:t>bert intended is slightly diminished.</w:t>
      </w:r>
      <w:r w:rsidRPr="003037D2">
        <w:rPr>
          <w:rFonts w:ascii="Garamond" w:eastAsia="Calibri" w:hAnsi="Garamond" w:cs="Times New Roman"/>
          <w:vertAlign w:val="superscript"/>
        </w:rPr>
        <w:footnoteReference w:id="551"/>
      </w:r>
      <w:r w:rsidRPr="003037D2">
        <w:rPr>
          <w:rFonts w:ascii="Garamond" w:eastAsia="Calibri" w:hAnsi="Garamond" w:cs="Times New Roman"/>
        </w:rPr>
        <w:t xml:space="preserve"> (See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_Ref499470819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36</w:t>
      </w:r>
      <w:r w:rsidRPr="003037D2">
        <w:rPr>
          <w:rFonts w:ascii="Garamond" w:eastAsia="Calibri" w:hAnsi="Garamond" w:cs="Times New Roman"/>
        </w:rPr>
        <w:fldChar w:fldCharType="end"/>
      </w:r>
      <w:r w:rsidR="00ED0F4C">
        <w:rPr>
          <w:rFonts w:ascii="Garamond" w:eastAsia="Calibri" w:hAnsi="Garamond" w:cs="Times New Roman"/>
        </w:rPr>
        <w:t>.</w:t>
      </w:r>
      <w:r w:rsidRPr="003037D2">
        <w:rPr>
          <w:rFonts w:ascii="Garamond" w:eastAsia="Calibri" w:hAnsi="Garamond" w:cs="Times New Roman"/>
        </w:rPr>
        <w:t xml:space="preserve">) Rawdon’s selection of these typographically distinct poems suggest that he was not only interested in religious verse, but in devotional forms which forced the reader to engage with the layout of the words upon the page. </w:t>
      </w:r>
    </w:p>
    <w:p w14:paraId="6242259F" w14:textId="77777777" w:rsidR="00162224" w:rsidRPr="003037D2" w:rsidRDefault="00162224" w:rsidP="00162224">
      <w:pPr>
        <w:tabs>
          <w:tab w:val="left" w:pos="5728"/>
        </w:tabs>
        <w:spacing w:line="360" w:lineRule="auto"/>
        <w:ind w:firstLine="737"/>
        <w:rPr>
          <w:rFonts w:ascii="Garamond" w:eastAsia="Calibri" w:hAnsi="Garamond" w:cs="Times New Roman"/>
        </w:rPr>
      </w:pPr>
    </w:p>
    <w:p w14:paraId="1EAA1D08" w14:textId="15410FF5" w:rsidR="00162224" w:rsidRPr="003037D2" w:rsidRDefault="00162224" w:rsidP="00162224">
      <w:pPr>
        <w:tabs>
          <w:tab w:val="left" w:pos="5728"/>
        </w:tabs>
        <w:spacing w:line="360" w:lineRule="auto"/>
        <w:ind w:firstLine="737"/>
        <w:rPr>
          <w:rFonts w:ascii="Garamond" w:eastAsia="Calibri" w:hAnsi="Garamond" w:cs="Times New Roman"/>
        </w:rPr>
      </w:pPr>
      <w:r w:rsidRPr="003037D2">
        <w:rPr>
          <w:rFonts w:ascii="Garamond" w:eastAsia="Calibri" w:hAnsi="Garamond" w:cs="Times New Roman"/>
        </w:rPr>
        <w:t xml:space="preserve">In a volume that gathered together verse that seems to pay homage to </w:t>
      </w:r>
      <w:proofErr w:type="gramStart"/>
      <w:r w:rsidRPr="003037D2">
        <w:rPr>
          <w:rFonts w:ascii="Garamond" w:eastAsia="Calibri" w:hAnsi="Garamond" w:cs="Times New Roman"/>
        </w:rPr>
        <w:t>particular events</w:t>
      </w:r>
      <w:proofErr w:type="gramEnd"/>
      <w:r w:rsidRPr="003037D2">
        <w:rPr>
          <w:rFonts w:ascii="Garamond" w:eastAsia="Calibri" w:hAnsi="Garamond" w:cs="Times New Roman"/>
        </w:rPr>
        <w:t xml:space="preserve"> in the compiler</w:t>
      </w:r>
      <w:r w:rsidR="00EF635C" w:rsidRPr="003037D2">
        <w:rPr>
          <w:rFonts w:ascii="Garamond" w:eastAsia="Calibri" w:hAnsi="Garamond" w:cs="Times New Roman"/>
        </w:rPr>
        <w:t>’</w:t>
      </w:r>
      <w:r w:rsidRPr="003037D2">
        <w:rPr>
          <w:rFonts w:ascii="Garamond" w:eastAsia="Calibri" w:hAnsi="Garamond" w:cs="Times New Roman"/>
        </w:rPr>
        <w:t>s life, it is intriguing that there is a further interest in pattern poetry and hieroglyphic verse. This supports my argument that these poems were considered particularly effective as talismans for memory: poetic images that map out the shape of time upon the page and can be objects of focus and commemoration. An anonymous manuscript on commonplace books written in 1681 declares</w:t>
      </w:r>
    </w:p>
    <w:p w14:paraId="4D1D9615" w14:textId="77777777" w:rsidR="00162224" w:rsidRPr="003037D2" w:rsidRDefault="00162224" w:rsidP="00162224">
      <w:pPr>
        <w:tabs>
          <w:tab w:val="left" w:pos="5728"/>
        </w:tabs>
        <w:ind w:left="737" w:right="737"/>
        <w:rPr>
          <w:rFonts w:ascii="Garamond" w:eastAsia="Calibri" w:hAnsi="Garamond" w:cs="Times New Roman"/>
        </w:rPr>
      </w:pPr>
      <w:r w:rsidRPr="003037D2">
        <w:rPr>
          <w:rFonts w:ascii="Garamond" w:eastAsia="Calibri" w:hAnsi="Garamond" w:cs="Times New Roman"/>
        </w:rPr>
        <w:lastRenderedPageBreak/>
        <w:t xml:space="preserve">memory in our lapsed state will need all honest helps… [memory] is greatly assisted by a rational </w:t>
      </w:r>
      <w:r w:rsidRPr="003037D2">
        <w:rPr>
          <w:rFonts w:ascii="Garamond" w:eastAsia="Calibri" w:hAnsi="Garamond" w:cs="Times New Roman"/>
          <w:i/>
          <w:iCs/>
        </w:rPr>
        <w:t xml:space="preserve">method, </w:t>
      </w:r>
      <w:r w:rsidRPr="003037D2">
        <w:rPr>
          <w:rFonts w:ascii="Garamond" w:eastAsia="Calibri" w:hAnsi="Garamond" w:cs="Times New Roman"/>
        </w:rPr>
        <w:t xml:space="preserve">and </w:t>
      </w:r>
      <w:r w:rsidRPr="003037D2">
        <w:rPr>
          <w:rFonts w:ascii="Garamond" w:eastAsia="Calibri" w:hAnsi="Garamond" w:cs="Times New Roman"/>
          <w:i/>
          <w:iCs/>
        </w:rPr>
        <w:t xml:space="preserve">writing </w:t>
      </w:r>
      <w:r w:rsidRPr="003037D2">
        <w:rPr>
          <w:rFonts w:ascii="Garamond" w:eastAsia="Calibri" w:hAnsi="Garamond" w:cs="Times New Roman"/>
        </w:rPr>
        <w:t xml:space="preserve">common place books partakes of both… </w:t>
      </w:r>
      <w:r w:rsidRPr="003037D2">
        <w:rPr>
          <w:rFonts w:ascii="Garamond" w:eastAsia="Calibri" w:hAnsi="Garamond" w:cs="Times New Roman"/>
          <w:i/>
          <w:iCs/>
        </w:rPr>
        <w:t xml:space="preserve">writing </w:t>
      </w:r>
      <w:r w:rsidRPr="003037D2">
        <w:rPr>
          <w:rFonts w:ascii="Garamond" w:eastAsia="Calibri" w:hAnsi="Garamond" w:cs="Times New Roman"/>
        </w:rPr>
        <w:t xml:space="preserve">(which is the picture of words, as words are the clothing of notions, and notions the images of things) fixes all both </w:t>
      </w:r>
      <w:r w:rsidRPr="003037D2">
        <w:rPr>
          <w:rFonts w:ascii="Garamond" w:eastAsia="Calibri" w:hAnsi="Garamond" w:cs="Times New Roman"/>
          <w:i/>
          <w:iCs/>
        </w:rPr>
        <w:t xml:space="preserve">in </w:t>
      </w:r>
      <w:r w:rsidRPr="003037D2">
        <w:rPr>
          <w:rFonts w:ascii="Garamond" w:eastAsia="Calibri" w:hAnsi="Garamond" w:cs="Times New Roman"/>
        </w:rPr>
        <w:t xml:space="preserve">the thoughts and </w:t>
      </w:r>
      <w:r w:rsidRPr="003037D2">
        <w:rPr>
          <w:rFonts w:ascii="Garamond" w:eastAsia="Calibri" w:hAnsi="Garamond" w:cs="Times New Roman"/>
          <w:i/>
          <w:iCs/>
        </w:rPr>
        <w:t xml:space="preserve">after </w:t>
      </w:r>
      <w:r w:rsidRPr="003037D2">
        <w:rPr>
          <w:rFonts w:ascii="Garamond" w:eastAsia="Calibri" w:hAnsi="Garamond" w:cs="Times New Roman"/>
        </w:rPr>
        <w:t>the thoughts have done by working upon their object...</w:t>
      </w:r>
      <w:r w:rsidRPr="003037D2">
        <w:rPr>
          <w:rFonts w:ascii="Garamond" w:eastAsia="Calibri" w:hAnsi="Garamond" w:cs="Times New Roman"/>
          <w:i/>
          <w:iCs/>
        </w:rPr>
        <w:t xml:space="preserve"> </w:t>
      </w:r>
      <w:r w:rsidRPr="003037D2">
        <w:rPr>
          <w:rFonts w:ascii="Garamond" w:eastAsia="Calibri" w:hAnsi="Garamond" w:cs="Times New Roman"/>
        </w:rPr>
        <w:t xml:space="preserve">The hand by </w:t>
      </w:r>
      <w:r w:rsidRPr="003037D2">
        <w:rPr>
          <w:rFonts w:ascii="Garamond" w:eastAsia="Calibri" w:hAnsi="Garamond" w:cs="Times New Roman"/>
          <w:i/>
          <w:iCs/>
        </w:rPr>
        <w:t xml:space="preserve">experiments, </w:t>
      </w:r>
      <w:r w:rsidRPr="003037D2">
        <w:rPr>
          <w:rFonts w:ascii="Garamond" w:eastAsia="Calibri" w:hAnsi="Garamond" w:cs="Times New Roman"/>
        </w:rPr>
        <w:t>the eye by</w:t>
      </w:r>
      <w:r w:rsidRPr="003037D2">
        <w:rPr>
          <w:rFonts w:ascii="Garamond" w:eastAsia="Calibri" w:hAnsi="Garamond" w:cs="Times New Roman"/>
          <w:i/>
          <w:iCs/>
        </w:rPr>
        <w:t xml:space="preserve"> diagrams, </w:t>
      </w:r>
      <w:r w:rsidRPr="003037D2">
        <w:rPr>
          <w:rFonts w:ascii="Garamond" w:eastAsia="Calibri" w:hAnsi="Garamond" w:cs="Times New Roman"/>
        </w:rPr>
        <w:t xml:space="preserve">do more easily and distinctly communicate knowledge to us. Now in writing both hand and eye have something </w:t>
      </w:r>
      <w:proofErr w:type="spellStart"/>
      <w:r w:rsidRPr="003037D2">
        <w:rPr>
          <w:rFonts w:ascii="Garamond" w:eastAsia="Calibri" w:hAnsi="Garamond" w:cs="Times New Roman"/>
        </w:rPr>
        <w:t>analoguous</w:t>
      </w:r>
      <w:proofErr w:type="spellEnd"/>
      <w:r w:rsidRPr="003037D2">
        <w:rPr>
          <w:rFonts w:ascii="Garamond" w:eastAsia="Calibri" w:hAnsi="Garamond" w:cs="Times New Roman"/>
        </w:rPr>
        <w:t xml:space="preserve"> hereunto and, by their employment, do hold the mind to a new, more steady and </w:t>
      </w:r>
      <w:proofErr w:type="gramStart"/>
      <w:r w:rsidRPr="003037D2">
        <w:rPr>
          <w:rFonts w:ascii="Garamond" w:eastAsia="Calibri" w:hAnsi="Garamond" w:cs="Times New Roman"/>
        </w:rPr>
        <w:t>particular view</w:t>
      </w:r>
      <w:proofErr w:type="gramEnd"/>
      <w:r w:rsidRPr="003037D2">
        <w:rPr>
          <w:rFonts w:ascii="Garamond" w:eastAsia="Calibri" w:hAnsi="Garamond" w:cs="Times New Roman"/>
        </w:rPr>
        <w:t xml:space="preserve"> of the things… And then </w:t>
      </w:r>
      <w:r w:rsidRPr="003037D2">
        <w:rPr>
          <w:rFonts w:ascii="Garamond" w:eastAsia="Calibri" w:hAnsi="Garamond" w:cs="Times New Roman"/>
          <w:i/>
          <w:iCs/>
        </w:rPr>
        <w:t xml:space="preserve">after </w:t>
      </w:r>
      <w:r w:rsidRPr="003037D2">
        <w:rPr>
          <w:rFonts w:ascii="Garamond" w:eastAsia="Calibri" w:hAnsi="Garamond" w:cs="Times New Roman"/>
        </w:rPr>
        <w:t xml:space="preserve">the thoughts… </w:t>
      </w:r>
      <w:r w:rsidRPr="003037D2">
        <w:rPr>
          <w:rFonts w:ascii="Garamond" w:eastAsia="Calibri" w:hAnsi="Garamond" w:cs="Times New Roman"/>
          <w:i/>
          <w:iCs/>
        </w:rPr>
        <w:t xml:space="preserve">writing </w:t>
      </w:r>
      <w:r w:rsidRPr="003037D2">
        <w:rPr>
          <w:rFonts w:ascii="Garamond" w:eastAsia="Calibri" w:hAnsi="Garamond" w:cs="Times New Roman"/>
        </w:rPr>
        <w:t xml:space="preserve">does take the place of a </w:t>
      </w:r>
      <w:proofErr w:type="spellStart"/>
      <w:r w:rsidRPr="003037D2">
        <w:rPr>
          <w:rFonts w:ascii="Garamond" w:eastAsia="Calibri" w:hAnsi="Garamond" w:cs="Times New Roman"/>
          <w:i/>
        </w:rPr>
        <w:t>s</w:t>
      </w:r>
      <w:r w:rsidRPr="003037D2">
        <w:rPr>
          <w:rFonts w:ascii="Garamond" w:eastAsia="Calibri" w:hAnsi="Garamond" w:cs="Times New Roman"/>
          <w:i/>
          <w:iCs/>
        </w:rPr>
        <w:t>uccendaneous</w:t>
      </w:r>
      <w:proofErr w:type="spellEnd"/>
      <w:r w:rsidRPr="003037D2">
        <w:rPr>
          <w:rFonts w:ascii="Garamond" w:eastAsia="Calibri" w:hAnsi="Garamond" w:cs="Times New Roman"/>
          <w:i/>
          <w:iCs/>
        </w:rPr>
        <w:t xml:space="preserve"> memory </w:t>
      </w:r>
      <w:r w:rsidRPr="003037D2">
        <w:rPr>
          <w:rFonts w:ascii="Garamond" w:eastAsia="Calibri" w:hAnsi="Garamond" w:cs="Times New Roman"/>
        </w:rPr>
        <w:t xml:space="preserve">and safely keeps your notions for as many future reviews as you please, for writing (that excellent gift of God) has </w:t>
      </w:r>
      <w:r w:rsidRPr="003037D2">
        <w:rPr>
          <w:rFonts w:ascii="Garamond" w:eastAsia="Calibri" w:hAnsi="Garamond" w:cs="Times New Roman"/>
          <w:i/>
          <w:iCs/>
        </w:rPr>
        <w:t xml:space="preserve">two chief uses: </w:t>
      </w:r>
      <w:r w:rsidRPr="003037D2">
        <w:rPr>
          <w:rFonts w:ascii="Garamond" w:eastAsia="Calibri" w:hAnsi="Garamond" w:cs="Times New Roman"/>
        </w:rPr>
        <w:t xml:space="preserve">to transmit our thoughts in </w:t>
      </w:r>
      <w:r w:rsidRPr="003037D2">
        <w:rPr>
          <w:rFonts w:ascii="Garamond" w:eastAsia="Calibri" w:hAnsi="Garamond" w:cs="Times New Roman"/>
          <w:i/>
          <w:iCs/>
        </w:rPr>
        <w:t xml:space="preserve">distance </w:t>
      </w:r>
      <w:r w:rsidRPr="003037D2">
        <w:rPr>
          <w:rFonts w:ascii="Garamond" w:eastAsia="Calibri" w:hAnsi="Garamond" w:cs="Times New Roman"/>
        </w:rPr>
        <w:t xml:space="preserve">of </w:t>
      </w:r>
      <w:r w:rsidRPr="003037D2">
        <w:rPr>
          <w:rFonts w:ascii="Garamond" w:eastAsia="Calibri" w:hAnsi="Garamond" w:cs="Times New Roman"/>
          <w:i/>
          <w:iCs/>
        </w:rPr>
        <w:t xml:space="preserve">place…. </w:t>
      </w:r>
      <w:r w:rsidRPr="003037D2">
        <w:rPr>
          <w:rFonts w:ascii="Garamond" w:eastAsia="Calibri" w:hAnsi="Garamond" w:cs="Times New Roman"/>
        </w:rPr>
        <w:t xml:space="preserve">And in distance of </w:t>
      </w:r>
      <w:r w:rsidRPr="003037D2">
        <w:rPr>
          <w:rFonts w:ascii="Garamond" w:eastAsia="Calibri" w:hAnsi="Garamond" w:cs="Times New Roman"/>
          <w:i/>
          <w:iCs/>
        </w:rPr>
        <w:t xml:space="preserve">time… </w:t>
      </w:r>
      <w:r w:rsidRPr="003037D2">
        <w:rPr>
          <w:rFonts w:ascii="Garamond" w:eastAsia="Calibri" w:hAnsi="Garamond" w:cs="Times New Roman"/>
        </w:rPr>
        <w:t xml:space="preserve">and this latter seems to be the </w:t>
      </w:r>
      <w:r w:rsidRPr="003037D2">
        <w:rPr>
          <w:rFonts w:ascii="Garamond" w:eastAsia="Calibri" w:hAnsi="Garamond" w:cs="Times New Roman"/>
          <w:i/>
          <w:iCs/>
        </w:rPr>
        <w:t xml:space="preserve">more noble </w:t>
      </w:r>
      <w:r w:rsidRPr="003037D2">
        <w:rPr>
          <w:rFonts w:ascii="Garamond" w:eastAsia="Calibri" w:hAnsi="Garamond" w:cs="Times New Roman"/>
        </w:rPr>
        <w:t>end thereof.</w:t>
      </w:r>
      <w:r w:rsidRPr="003037D2">
        <w:rPr>
          <w:rFonts w:ascii="Garamond" w:eastAsia="Calibri" w:hAnsi="Garamond" w:cs="Times New Roman"/>
          <w:vertAlign w:val="superscript"/>
        </w:rPr>
        <w:footnoteReference w:id="552"/>
      </w:r>
    </w:p>
    <w:p w14:paraId="0313905B" w14:textId="77777777" w:rsidR="00162224" w:rsidRPr="003037D2" w:rsidRDefault="00162224" w:rsidP="00162224">
      <w:pPr>
        <w:tabs>
          <w:tab w:val="left" w:pos="5728"/>
        </w:tabs>
        <w:ind w:left="737" w:right="737"/>
        <w:rPr>
          <w:rFonts w:ascii="Garamond" w:eastAsia="Calibri" w:hAnsi="Garamond" w:cs="Times New Roman"/>
        </w:rPr>
      </w:pPr>
    </w:p>
    <w:p w14:paraId="209595AD" w14:textId="77777777" w:rsidR="00162224" w:rsidRPr="003037D2" w:rsidRDefault="00162224" w:rsidP="00162224">
      <w:pPr>
        <w:tabs>
          <w:tab w:val="left" w:pos="5728"/>
        </w:tabs>
        <w:spacing w:line="360" w:lineRule="auto"/>
        <w:rPr>
          <w:rFonts w:ascii="Garamond" w:eastAsia="Calibri" w:hAnsi="Garamond" w:cs="Times New Roman"/>
          <w:i/>
          <w:iCs/>
        </w:rPr>
      </w:pPr>
      <w:r w:rsidRPr="003037D2">
        <w:rPr>
          <w:rFonts w:ascii="Garamond" w:eastAsia="Calibri" w:hAnsi="Garamond" w:cs="Times New Roman"/>
        </w:rPr>
        <w:t>In this discussion of the worth of commonplace books, the anonymous scribe focuses on how the hand and eye can be joined together in the process of writing, directing the mind to remember in a more effective manner. The notion that writing creates a ‘picture of words’ to overcome the ‘lapsed state’ of memory clearly draws on the previously discussed idea of language and memory as fallen. The ‘</w:t>
      </w:r>
      <w:proofErr w:type="spellStart"/>
      <w:r w:rsidRPr="003037D2">
        <w:rPr>
          <w:rFonts w:ascii="Garamond" w:eastAsia="Calibri" w:hAnsi="Garamond" w:cs="Times New Roman"/>
          <w:i/>
          <w:iCs/>
        </w:rPr>
        <w:t>succendaneous</w:t>
      </w:r>
      <w:proofErr w:type="spellEnd"/>
      <w:r w:rsidRPr="003037D2">
        <w:rPr>
          <w:rFonts w:ascii="Garamond" w:eastAsia="Calibri" w:hAnsi="Garamond" w:cs="Times New Roman"/>
          <w:i/>
          <w:iCs/>
        </w:rPr>
        <w:t xml:space="preserve"> memory’ </w:t>
      </w:r>
      <w:r w:rsidRPr="003037D2">
        <w:rPr>
          <w:rFonts w:ascii="Garamond" w:eastAsia="Calibri" w:hAnsi="Garamond" w:cs="Times New Roman"/>
        </w:rPr>
        <w:t xml:space="preserve">provided by writing is of value because it can be, and is, repeated and reviewed. Moreover, the scribe explicitly states that this allows thoughts to be transmitted over the ‘distance of time’, both to other readers and to the self. Both the form of the commonplace book, which </w:t>
      </w:r>
      <w:proofErr w:type="spellStart"/>
      <w:r w:rsidRPr="003037D2">
        <w:rPr>
          <w:rFonts w:ascii="Garamond" w:eastAsia="Calibri" w:hAnsi="Garamond" w:cs="Times New Roman"/>
        </w:rPr>
        <w:t>organises</w:t>
      </w:r>
      <w:proofErr w:type="spellEnd"/>
      <w:r w:rsidRPr="003037D2">
        <w:rPr>
          <w:rFonts w:ascii="Garamond" w:eastAsia="Calibri" w:hAnsi="Garamond" w:cs="Times New Roman"/>
        </w:rPr>
        <w:t xml:space="preserve"> text spatially to allow for review and recall, and hieroglyph poems, which force the reader to pause as they move through a volume of poetry and provide mnemonic devices, direct the temporality of reading in particular ways. Furthermore, by providing an aid to memory, both these forms help the reader and compiler in the ‘noble end’ of allowing their thoughts to span the ‘distance of </w:t>
      </w:r>
      <w:r w:rsidRPr="003037D2">
        <w:rPr>
          <w:rFonts w:ascii="Garamond" w:eastAsia="Calibri" w:hAnsi="Garamond" w:cs="Times New Roman"/>
          <w:i/>
          <w:iCs/>
        </w:rPr>
        <w:t xml:space="preserve">time’. </w:t>
      </w:r>
      <w:r w:rsidRPr="003037D2">
        <w:rPr>
          <w:rFonts w:ascii="Garamond" w:eastAsia="Calibri" w:hAnsi="Garamond" w:cs="Times New Roman"/>
        </w:rPr>
        <w:t xml:space="preserve">Time is figured spatially, </w:t>
      </w:r>
      <w:proofErr w:type="spellStart"/>
      <w:r w:rsidRPr="003037D2">
        <w:rPr>
          <w:rFonts w:ascii="Garamond" w:eastAsia="Calibri" w:hAnsi="Garamond" w:cs="Times New Roman"/>
        </w:rPr>
        <w:t>materialised</w:t>
      </w:r>
      <w:proofErr w:type="spellEnd"/>
      <w:r w:rsidRPr="003037D2">
        <w:rPr>
          <w:rFonts w:ascii="Garamond" w:eastAsia="Calibri" w:hAnsi="Garamond" w:cs="Times New Roman"/>
        </w:rPr>
        <w:t xml:space="preserve"> in poem and book to assist the memory. </w:t>
      </w:r>
    </w:p>
    <w:p w14:paraId="259BE48B" w14:textId="7551FF95" w:rsidR="00162224" w:rsidRDefault="00162224" w:rsidP="00162224">
      <w:pPr>
        <w:tabs>
          <w:tab w:val="left" w:pos="5728"/>
        </w:tabs>
        <w:spacing w:line="360" w:lineRule="auto"/>
        <w:ind w:right="737"/>
        <w:rPr>
          <w:rFonts w:ascii="Garamond" w:eastAsia="Calibri" w:hAnsi="Garamond" w:cs="Times New Roman"/>
        </w:rPr>
      </w:pPr>
    </w:p>
    <w:p w14:paraId="65C6F0BC" w14:textId="6AD76296" w:rsidR="00470D01" w:rsidRDefault="00470D01" w:rsidP="00162224">
      <w:pPr>
        <w:tabs>
          <w:tab w:val="left" w:pos="5728"/>
        </w:tabs>
        <w:spacing w:line="360" w:lineRule="auto"/>
        <w:ind w:right="737"/>
        <w:rPr>
          <w:rFonts w:ascii="Garamond" w:eastAsia="Calibri" w:hAnsi="Garamond" w:cs="Times New Roman"/>
        </w:rPr>
      </w:pPr>
    </w:p>
    <w:p w14:paraId="63EDF380" w14:textId="27B454A0" w:rsidR="00470D01" w:rsidRDefault="00470D01" w:rsidP="00162224">
      <w:pPr>
        <w:tabs>
          <w:tab w:val="left" w:pos="5728"/>
        </w:tabs>
        <w:spacing w:line="360" w:lineRule="auto"/>
        <w:ind w:right="737"/>
        <w:rPr>
          <w:rFonts w:ascii="Garamond" w:eastAsia="Calibri" w:hAnsi="Garamond" w:cs="Times New Roman"/>
        </w:rPr>
      </w:pPr>
    </w:p>
    <w:p w14:paraId="4C1F3C04" w14:textId="0A18E090" w:rsidR="00470D01" w:rsidRDefault="00470D01" w:rsidP="00162224">
      <w:pPr>
        <w:tabs>
          <w:tab w:val="left" w:pos="5728"/>
        </w:tabs>
        <w:spacing w:line="360" w:lineRule="auto"/>
        <w:ind w:right="737"/>
        <w:rPr>
          <w:rFonts w:ascii="Garamond" w:eastAsia="Calibri" w:hAnsi="Garamond" w:cs="Times New Roman"/>
        </w:rPr>
      </w:pPr>
    </w:p>
    <w:p w14:paraId="776BB14D" w14:textId="41CF416C" w:rsidR="00470D01" w:rsidRDefault="00470D01" w:rsidP="00162224">
      <w:pPr>
        <w:tabs>
          <w:tab w:val="left" w:pos="5728"/>
        </w:tabs>
        <w:spacing w:line="360" w:lineRule="auto"/>
        <w:ind w:right="737"/>
        <w:rPr>
          <w:rFonts w:ascii="Garamond" w:eastAsia="Calibri" w:hAnsi="Garamond" w:cs="Times New Roman"/>
        </w:rPr>
      </w:pPr>
    </w:p>
    <w:p w14:paraId="470DA8D8" w14:textId="0A686F8C" w:rsidR="00470D01" w:rsidRDefault="00470D01" w:rsidP="00162224">
      <w:pPr>
        <w:tabs>
          <w:tab w:val="left" w:pos="5728"/>
        </w:tabs>
        <w:spacing w:line="360" w:lineRule="auto"/>
        <w:ind w:right="737"/>
        <w:rPr>
          <w:rFonts w:ascii="Garamond" w:eastAsia="Calibri" w:hAnsi="Garamond" w:cs="Times New Roman"/>
        </w:rPr>
      </w:pPr>
    </w:p>
    <w:p w14:paraId="638BF259" w14:textId="0F3AA400" w:rsidR="00470D01" w:rsidRDefault="00470D01" w:rsidP="00162224">
      <w:pPr>
        <w:tabs>
          <w:tab w:val="left" w:pos="5728"/>
        </w:tabs>
        <w:spacing w:line="360" w:lineRule="auto"/>
        <w:ind w:right="737"/>
        <w:rPr>
          <w:rFonts w:ascii="Garamond" w:eastAsia="Calibri" w:hAnsi="Garamond" w:cs="Times New Roman"/>
        </w:rPr>
      </w:pPr>
    </w:p>
    <w:p w14:paraId="57B23B69" w14:textId="5C99678A" w:rsidR="00470D01" w:rsidRDefault="00470D01" w:rsidP="00162224">
      <w:pPr>
        <w:tabs>
          <w:tab w:val="left" w:pos="5728"/>
        </w:tabs>
        <w:spacing w:line="360" w:lineRule="auto"/>
        <w:ind w:right="737"/>
        <w:rPr>
          <w:rFonts w:ascii="Garamond" w:eastAsia="Calibri" w:hAnsi="Garamond" w:cs="Times New Roman"/>
        </w:rPr>
      </w:pPr>
    </w:p>
    <w:p w14:paraId="0425EDCE" w14:textId="47ACBF43" w:rsidR="00470D01" w:rsidRDefault="00470D01" w:rsidP="00162224">
      <w:pPr>
        <w:tabs>
          <w:tab w:val="left" w:pos="5728"/>
        </w:tabs>
        <w:spacing w:line="360" w:lineRule="auto"/>
        <w:ind w:right="737"/>
        <w:rPr>
          <w:rFonts w:ascii="Garamond" w:eastAsia="Calibri" w:hAnsi="Garamond" w:cs="Times New Roman"/>
        </w:rPr>
      </w:pPr>
    </w:p>
    <w:p w14:paraId="4932412F" w14:textId="77777777" w:rsidR="00470D01" w:rsidRPr="003037D2" w:rsidRDefault="00470D01" w:rsidP="00162224">
      <w:pPr>
        <w:tabs>
          <w:tab w:val="left" w:pos="5728"/>
        </w:tabs>
        <w:spacing w:line="360" w:lineRule="auto"/>
        <w:ind w:right="737"/>
        <w:rPr>
          <w:rFonts w:ascii="Garamond" w:eastAsia="Calibri" w:hAnsi="Garamond" w:cs="Times New Roman"/>
        </w:rPr>
      </w:pPr>
    </w:p>
    <w:p w14:paraId="689B790B" w14:textId="77777777"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 </w:t>
      </w:r>
    </w:p>
    <w:p w14:paraId="2F7F7EF4" w14:textId="77777777" w:rsidR="00162224" w:rsidRPr="003037D2" w:rsidRDefault="00162224" w:rsidP="00162224">
      <w:pPr>
        <w:keepNext/>
        <w:keepLines/>
        <w:spacing w:before="40" w:line="360" w:lineRule="auto"/>
        <w:ind w:firstLine="720"/>
        <w:outlineLvl w:val="1"/>
        <w:rPr>
          <w:rFonts w:ascii="Garamond" w:eastAsia="Times New Roman" w:hAnsi="Garamond" w:cs="Times New Roman"/>
          <w:b/>
          <w:bCs/>
          <w:sz w:val="28"/>
          <w:szCs w:val="28"/>
        </w:rPr>
      </w:pPr>
      <w:bookmarkStart w:id="58" w:name="_Toc3967185"/>
      <w:r w:rsidRPr="003037D2">
        <w:rPr>
          <w:rFonts w:ascii="Garamond" w:eastAsia="Times New Roman" w:hAnsi="Garamond" w:cs="Times New Roman"/>
          <w:b/>
          <w:bCs/>
          <w:sz w:val="28"/>
          <w:szCs w:val="28"/>
        </w:rPr>
        <w:t>IV. Pattern poems: Objects in Time</w:t>
      </w:r>
      <w:bookmarkEnd w:id="58"/>
      <w:r w:rsidRPr="003037D2">
        <w:rPr>
          <w:rFonts w:ascii="Garamond" w:eastAsia="Times New Roman" w:hAnsi="Garamond" w:cs="Times New Roman"/>
          <w:b/>
          <w:bCs/>
          <w:sz w:val="28"/>
          <w:szCs w:val="28"/>
        </w:rPr>
        <w:t xml:space="preserve">  </w:t>
      </w:r>
    </w:p>
    <w:p w14:paraId="493615F4" w14:textId="77777777" w:rsidR="00162224" w:rsidRPr="003037D2" w:rsidRDefault="00162224" w:rsidP="00162224">
      <w:pPr>
        <w:spacing w:line="360" w:lineRule="auto"/>
        <w:ind w:firstLine="720"/>
        <w:rPr>
          <w:rFonts w:ascii="Garamond" w:eastAsia="Calibri" w:hAnsi="Garamond" w:cs="Times New Roman"/>
        </w:rPr>
      </w:pPr>
    </w:p>
    <w:p w14:paraId="3AF51E23" w14:textId="566E7D15" w:rsidR="00162224" w:rsidRPr="003037D2" w:rsidRDefault="00162224" w:rsidP="004E7112">
      <w:pPr>
        <w:tabs>
          <w:tab w:val="left" w:pos="5728"/>
        </w:tabs>
        <w:spacing w:line="360" w:lineRule="auto"/>
        <w:ind w:firstLine="748"/>
        <w:rPr>
          <w:rFonts w:ascii="Garamond" w:eastAsia="Calibri" w:hAnsi="Garamond" w:cs="Times New Roman"/>
          <w:highlight w:val="cyan"/>
        </w:rPr>
      </w:pPr>
      <w:r w:rsidRPr="003037D2">
        <w:rPr>
          <w:rFonts w:ascii="Garamond" w:eastAsia="Calibri" w:hAnsi="Garamond" w:cs="Times New Roman"/>
        </w:rPr>
        <w:t>Herbert’s pattern poetry has long drawn critical attention, with ‘The Altar’ and ‘Easter-</w:t>
      </w:r>
      <w:proofErr w:type="spellStart"/>
      <w:r w:rsidRPr="003037D2">
        <w:rPr>
          <w:rFonts w:ascii="Garamond" w:eastAsia="Calibri" w:hAnsi="Garamond" w:cs="Times New Roman"/>
        </w:rPr>
        <w:t>Winges</w:t>
      </w:r>
      <w:proofErr w:type="spellEnd"/>
      <w:r w:rsidRPr="003037D2">
        <w:rPr>
          <w:rFonts w:ascii="Garamond" w:eastAsia="Calibri" w:hAnsi="Garamond" w:cs="Times New Roman"/>
        </w:rPr>
        <w:t xml:space="preserve">’ probably the most famous examples of this form in English. Many other poems in </w:t>
      </w:r>
      <w:r w:rsidRPr="003037D2">
        <w:rPr>
          <w:rFonts w:ascii="Garamond" w:eastAsia="Calibri" w:hAnsi="Garamond" w:cs="Times New Roman"/>
          <w:i/>
        </w:rPr>
        <w:t>The Temple</w:t>
      </w:r>
      <w:r w:rsidRPr="003037D2">
        <w:rPr>
          <w:rFonts w:ascii="Garamond" w:eastAsia="Calibri" w:hAnsi="Garamond" w:cs="Times New Roman"/>
        </w:rPr>
        <w:t xml:space="preserve"> reflect their subject matter in their shape on the page more subtly, as previously discussed with reference to ‘Sunday’. For example, Coburn Freer argues that the stanzas of ‘The Church-</w:t>
      </w:r>
      <w:proofErr w:type="spellStart"/>
      <w:r w:rsidRPr="003037D2">
        <w:rPr>
          <w:rFonts w:ascii="Garamond" w:eastAsia="Calibri" w:hAnsi="Garamond" w:cs="Times New Roman"/>
        </w:rPr>
        <w:t>Floore</w:t>
      </w:r>
      <w:proofErr w:type="spellEnd"/>
      <w:r w:rsidRPr="003037D2">
        <w:rPr>
          <w:rFonts w:ascii="Garamond" w:eastAsia="Calibri" w:hAnsi="Garamond" w:cs="Times New Roman"/>
        </w:rPr>
        <w:t>’ are inverted triangles which suggest the checked floor of the church.</w:t>
      </w:r>
      <w:r w:rsidRPr="003037D2">
        <w:rPr>
          <w:rFonts w:ascii="Garamond" w:eastAsia="Calibri" w:hAnsi="Garamond" w:cs="Times New Roman"/>
          <w:vertAlign w:val="superscript"/>
        </w:rPr>
        <w:footnoteReference w:id="553"/>
      </w:r>
      <w:r w:rsidRPr="003037D2">
        <w:rPr>
          <w:rFonts w:ascii="Garamond" w:eastAsia="Calibri" w:hAnsi="Garamond" w:cs="Times New Roman"/>
        </w:rPr>
        <w:t xml:space="preserve"> For T.S. Eliot and the later new historicists, these intricate forms were often taken as evidence of Herbert’s status as a minor poet, too concerned with game playing and ‘formal whimsy’ to achieve greatness.</w:t>
      </w:r>
      <w:r w:rsidRPr="003037D2">
        <w:rPr>
          <w:rFonts w:ascii="Garamond" w:eastAsia="Calibri" w:hAnsi="Garamond" w:cs="Times New Roman"/>
          <w:vertAlign w:val="superscript"/>
        </w:rPr>
        <w:footnoteReference w:id="554"/>
      </w:r>
      <w:r w:rsidRPr="003037D2">
        <w:rPr>
          <w:rFonts w:ascii="Garamond" w:eastAsia="Calibri" w:hAnsi="Garamond" w:cs="Times New Roman"/>
        </w:rPr>
        <w:t xml:space="preserve"> Eliot dismissed Herbert’s shape poems as ‘trifling’, ignoring the various debates that these poems key into.</w:t>
      </w:r>
      <w:r w:rsidRPr="003037D2">
        <w:rPr>
          <w:rFonts w:ascii="Garamond" w:eastAsia="Calibri" w:hAnsi="Garamond" w:cs="Times New Roman"/>
          <w:vertAlign w:val="superscript"/>
        </w:rPr>
        <w:footnoteReference w:id="555"/>
      </w:r>
      <w:r w:rsidRPr="003037D2">
        <w:rPr>
          <w:rFonts w:ascii="Garamond" w:eastAsia="Calibri" w:hAnsi="Garamond" w:cs="Times New Roman"/>
        </w:rPr>
        <w:t xml:space="preserve"> In a recent monograph, Daniel Doerksen contends that Herbert’s own description of </w:t>
      </w:r>
      <w:r w:rsidRPr="003037D2">
        <w:rPr>
          <w:rFonts w:ascii="Garamond" w:eastAsia="Calibri" w:hAnsi="Garamond" w:cs="Times New Roman"/>
          <w:i/>
        </w:rPr>
        <w:t xml:space="preserve">The Temple </w:t>
      </w:r>
      <w:r w:rsidRPr="003037D2">
        <w:rPr>
          <w:rFonts w:ascii="Garamond" w:eastAsia="Calibri" w:hAnsi="Garamond" w:cs="Times New Roman"/>
        </w:rPr>
        <w:t>as ‘a picture of many spiritual conflicts that have past betwixt God and my soul’ has not been taken seriously or critically enough.</w:t>
      </w:r>
      <w:r w:rsidRPr="003037D2">
        <w:rPr>
          <w:rFonts w:ascii="Garamond" w:eastAsia="Calibri" w:hAnsi="Garamond" w:cs="Times New Roman"/>
          <w:vertAlign w:val="superscript"/>
        </w:rPr>
        <w:footnoteReference w:id="556"/>
      </w:r>
      <w:r w:rsidRPr="003037D2">
        <w:rPr>
          <w:rFonts w:ascii="Garamond" w:eastAsia="Calibri" w:hAnsi="Garamond" w:cs="Times New Roman"/>
        </w:rPr>
        <w:t xml:space="preserve"> Although Doerksen is suggesting that we should pay more attention to the ‘conflicts’ enacted in Herbert’s verse, I would add to this that we need to be more aware of his picture making. The episodic nature of </w:t>
      </w:r>
      <w:r w:rsidRPr="003037D2">
        <w:rPr>
          <w:rFonts w:ascii="Garamond" w:eastAsia="Calibri" w:hAnsi="Garamond" w:cs="Times New Roman"/>
          <w:i/>
        </w:rPr>
        <w:t xml:space="preserve">The Temple </w:t>
      </w:r>
      <w:r w:rsidRPr="003037D2">
        <w:rPr>
          <w:rFonts w:ascii="Garamond" w:eastAsia="Calibri" w:hAnsi="Garamond" w:cs="Times New Roman"/>
        </w:rPr>
        <w:t xml:space="preserve">allows the reader access to the interior worlds of several individuals, or an individual at different times, grappling with God in a variety of ways. These are pictures, snapshots of a moment in time, as well as sometimes forming literal pictures as pattern poems. In order to understand these pattern poems, we need to review the influences which piqued Herbert’s interest in poetry that proclaims its subject visually as well as aurally. This section first examines how pattern poems affect the reading process, as revealed by reader response studies. Following this, I will discuss the legacy of pattern poetry in Britain and Herbert’s time, exploring how poetic theory envisaged a link between the shape of a poem on the page and the unit of meter, or time, which it consists of. We can then consider how Herbert’s pattern poetry explicitly engages with temporal issues, sitting as it does between understandings of the world as spoken and as seen. </w:t>
      </w:r>
    </w:p>
    <w:p w14:paraId="6891FF27" w14:textId="77777777" w:rsidR="00162224" w:rsidRPr="003037D2" w:rsidRDefault="00162224" w:rsidP="00162224">
      <w:pPr>
        <w:tabs>
          <w:tab w:val="left" w:pos="5728"/>
        </w:tabs>
        <w:spacing w:line="360" w:lineRule="auto"/>
        <w:ind w:firstLine="720"/>
        <w:rPr>
          <w:rFonts w:ascii="Garamond" w:eastAsia="Calibri" w:hAnsi="Garamond" w:cs="Times New Roman"/>
        </w:rPr>
      </w:pPr>
    </w:p>
    <w:p w14:paraId="43F65E39" w14:textId="77777777"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Pattern poetry both practically and intellectually engages with time. Sabine Gross carried out a scanning experiment using eye-tracking technology which demonstrated the adjustments to the temporal experience of reading occasioned by shape poetry. She argues that ‘pattern poems violate [the] fundamental law of written language and upset our customary economy of reading: the text generates meaning on both the symbolic and the iconic level, and the reader is asked to read it on both levels’.</w:t>
      </w:r>
      <w:r w:rsidRPr="003037D2">
        <w:rPr>
          <w:rFonts w:ascii="Garamond" w:eastAsia="Calibri" w:hAnsi="Garamond" w:cs="Times New Roman"/>
          <w:vertAlign w:val="superscript"/>
        </w:rPr>
        <w:footnoteReference w:id="557"/>
      </w:r>
      <w:r w:rsidRPr="003037D2">
        <w:rPr>
          <w:rFonts w:ascii="Garamond" w:eastAsia="Calibri" w:hAnsi="Garamond" w:cs="Times New Roman"/>
        </w:rPr>
        <w:t xml:space="preserve"> The meaning of a pattern poem is situated in both the symbolic and iconic modes, as the shapes of letters and words are interpreted both for their symbolic meaning and as images. Normally, readers approach a text sequentially, at least in the main part, in a move that could be seen as ‘reducing… a </w:t>
      </w:r>
      <w:proofErr w:type="gramStart"/>
      <w:r w:rsidRPr="003037D2">
        <w:rPr>
          <w:rFonts w:ascii="Garamond" w:eastAsia="Calibri" w:hAnsi="Garamond" w:cs="Times New Roman"/>
        </w:rPr>
        <w:t>two dimensional</w:t>
      </w:r>
      <w:proofErr w:type="gramEnd"/>
      <w:r w:rsidRPr="003037D2">
        <w:rPr>
          <w:rFonts w:ascii="Garamond" w:eastAsia="Calibri" w:hAnsi="Garamond" w:cs="Times New Roman"/>
        </w:rPr>
        <w:t xml:space="preserve"> surface to a linearity that can be loosely termed one-dimensional’.</w:t>
      </w:r>
      <w:r w:rsidRPr="003037D2">
        <w:rPr>
          <w:rFonts w:ascii="Garamond" w:eastAsia="Calibri" w:hAnsi="Garamond" w:cs="Times New Roman"/>
          <w:vertAlign w:val="superscript"/>
        </w:rPr>
        <w:footnoteReference w:id="558"/>
      </w:r>
      <w:r w:rsidRPr="003037D2">
        <w:rPr>
          <w:rFonts w:ascii="Garamond" w:eastAsia="Calibri" w:hAnsi="Garamond" w:cs="Times New Roman"/>
        </w:rPr>
        <w:t xml:space="preserve"> Pattern poems, and to a certain degree all poetry, challenge that linearity. The shape of a poem on the page provides advance warning of its form, meter, and sometimes genre.</w:t>
      </w:r>
      <w:r w:rsidRPr="003037D2">
        <w:rPr>
          <w:rFonts w:ascii="Garamond" w:eastAsia="Calibri" w:hAnsi="Garamond" w:cs="Times New Roman"/>
          <w:vertAlign w:val="superscript"/>
        </w:rPr>
        <w:footnoteReference w:id="559"/>
      </w:r>
      <w:r w:rsidRPr="003037D2">
        <w:rPr>
          <w:rFonts w:ascii="Garamond" w:eastAsia="Calibri" w:hAnsi="Garamond" w:cs="Times New Roman"/>
        </w:rPr>
        <w:t xml:space="preserve"> Pattern poems extend this spatiality, and, whilst this does not entirely release the reader from ‘the spatiotemporal sequence’, their expectations of ‘line-by-line horizontality’ are frustrated.</w:t>
      </w:r>
      <w:r w:rsidRPr="003037D2">
        <w:rPr>
          <w:rFonts w:ascii="Garamond" w:eastAsia="Calibri" w:hAnsi="Garamond" w:cs="Times New Roman"/>
          <w:vertAlign w:val="superscript"/>
        </w:rPr>
        <w:footnoteReference w:id="560"/>
      </w:r>
      <w:r w:rsidRPr="003037D2">
        <w:rPr>
          <w:rFonts w:ascii="Garamond" w:eastAsia="Calibri" w:hAnsi="Garamond" w:cs="Times New Roman"/>
        </w:rPr>
        <w:t xml:space="preserve"> </w:t>
      </w:r>
    </w:p>
    <w:p w14:paraId="5D898F7D" w14:textId="77777777" w:rsidR="00162224" w:rsidRPr="003037D2" w:rsidRDefault="00162224" w:rsidP="00162224">
      <w:pPr>
        <w:spacing w:line="360" w:lineRule="auto"/>
        <w:ind w:firstLine="720"/>
        <w:rPr>
          <w:rFonts w:ascii="Garamond" w:eastAsia="Calibri" w:hAnsi="Garamond" w:cs="Times New Roman"/>
        </w:rPr>
      </w:pPr>
    </w:p>
    <w:p w14:paraId="0152A600" w14:textId="675BFF94" w:rsidR="00162224" w:rsidRPr="003037D2" w:rsidRDefault="00162224" w:rsidP="00162224">
      <w:pPr>
        <w:spacing w:line="360" w:lineRule="auto"/>
        <w:ind w:firstLine="720"/>
        <w:rPr>
          <w:rFonts w:ascii="Garamond" w:eastAsia="Calibri" w:hAnsi="Garamond" w:cs="Times New Roman"/>
          <w:lang w:val="en"/>
        </w:rPr>
      </w:pPr>
      <w:r w:rsidRPr="003037D2">
        <w:rPr>
          <w:rFonts w:ascii="Garamond" w:eastAsia="Calibri" w:hAnsi="Garamond" w:cs="Times New Roman"/>
        </w:rPr>
        <w:t xml:space="preserve">Normally, reading translates the spatiality of a text into temporality. The physiological process of reading involves an alternate process of </w:t>
      </w:r>
      <w:r w:rsidRPr="003037D2">
        <w:rPr>
          <w:rFonts w:ascii="Garamond" w:eastAsia="Calibri" w:hAnsi="Garamond" w:cs="Times New Roman"/>
          <w:i/>
        </w:rPr>
        <w:t xml:space="preserve">saccades, </w:t>
      </w:r>
      <w:r w:rsidRPr="003037D2">
        <w:rPr>
          <w:rFonts w:ascii="Garamond" w:eastAsia="Calibri" w:hAnsi="Garamond" w:cs="Times New Roman"/>
        </w:rPr>
        <w:t xml:space="preserve">jumps, of about 30 milliseconds, and </w:t>
      </w:r>
      <w:r w:rsidRPr="003037D2">
        <w:rPr>
          <w:rFonts w:ascii="Garamond" w:eastAsia="Calibri" w:hAnsi="Garamond" w:cs="Times New Roman"/>
          <w:i/>
        </w:rPr>
        <w:t xml:space="preserve">fixations, </w:t>
      </w:r>
      <w:r w:rsidRPr="003037D2">
        <w:rPr>
          <w:rFonts w:ascii="Garamond" w:eastAsia="Calibri" w:hAnsi="Garamond" w:cs="Times New Roman"/>
        </w:rPr>
        <w:t>which normally last around 250 milliseconds.</w:t>
      </w:r>
      <w:r w:rsidRPr="003037D2">
        <w:rPr>
          <w:rFonts w:ascii="Garamond" w:eastAsia="Calibri" w:hAnsi="Garamond" w:cs="Times New Roman"/>
          <w:vertAlign w:val="superscript"/>
        </w:rPr>
        <w:footnoteReference w:id="561"/>
      </w:r>
      <w:r w:rsidRPr="003037D2">
        <w:rPr>
          <w:rFonts w:ascii="Garamond" w:eastAsia="Calibri" w:hAnsi="Garamond" w:cs="Times New Roman"/>
        </w:rPr>
        <w:t xml:space="preserve"> Gross’s experiment compared how readers approached poems that ‘do not invite iconic reading’ and pattern poems on a physiological level. Gross notes that when reading pattern poems, readers initially scan the text in a line-by-line process, but that they interrupt this action to fixate on the ‘external boundaries’ and </w:t>
      </w:r>
      <w:proofErr w:type="spellStart"/>
      <w:r w:rsidRPr="003037D2">
        <w:rPr>
          <w:rFonts w:ascii="Garamond" w:eastAsia="Calibri" w:hAnsi="Garamond" w:cs="Times New Roman"/>
        </w:rPr>
        <w:t>centre</w:t>
      </w:r>
      <w:proofErr w:type="spellEnd"/>
      <w:r w:rsidRPr="003037D2">
        <w:rPr>
          <w:rFonts w:ascii="Garamond" w:eastAsia="Calibri" w:hAnsi="Garamond" w:cs="Times New Roman"/>
        </w:rPr>
        <w:t xml:space="preserve"> of the text. Readers also scanned vertically, prompted by the ‘conspicuous horizontality’ of the text.</w:t>
      </w:r>
      <w:r w:rsidRPr="003037D2">
        <w:rPr>
          <w:rFonts w:ascii="Garamond" w:eastAsia="Calibri" w:hAnsi="Garamond" w:cs="Times New Roman"/>
          <w:vertAlign w:val="superscript"/>
        </w:rPr>
        <w:footnoteReference w:id="562"/>
      </w:r>
      <w:r w:rsidRPr="003037D2">
        <w:rPr>
          <w:rFonts w:ascii="Garamond" w:eastAsia="Calibri" w:hAnsi="Garamond" w:cs="Times New Roman"/>
        </w:rPr>
        <w:t xml:space="preserve"> The eye lingers, with the readers spending ‘significantly more time that would be required for mere comprehension even on simple configurations that yield their </w:t>
      </w:r>
      <w:r w:rsidRPr="003037D2">
        <w:rPr>
          <w:rFonts w:ascii="Garamond" w:eastAsia="Calibri" w:hAnsi="Garamond" w:cs="Times New Roman"/>
        </w:rPr>
        <w:lastRenderedPageBreak/>
        <w:t>meaning quickly’. Gross argues that ‘the doubling of signification’ (the fact that the poem operates on both an iconic and symbolic level) ‘breaks the speed of reading’.</w:t>
      </w:r>
      <w:r w:rsidRPr="003037D2">
        <w:rPr>
          <w:rFonts w:ascii="Garamond" w:eastAsia="Calibri" w:hAnsi="Garamond" w:cs="Times New Roman"/>
          <w:vertAlign w:val="superscript"/>
        </w:rPr>
        <w:t xml:space="preserve"> </w:t>
      </w:r>
      <w:r w:rsidRPr="003037D2">
        <w:rPr>
          <w:rFonts w:ascii="Garamond" w:eastAsia="Calibri" w:hAnsi="Garamond" w:cs="Times New Roman"/>
          <w:vertAlign w:val="superscript"/>
        </w:rPr>
        <w:footnoteReference w:id="563"/>
      </w:r>
      <w:r w:rsidRPr="003037D2">
        <w:rPr>
          <w:rFonts w:ascii="Garamond" w:eastAsia="Calibri" w:hAnsi="Garamond" w:cs="Times New Roman"/>
        </w:rPr>
        <w:t xml:space="preserve">  Mary-Anne Caws similarly argues that ‘to slow down the glance, optical poetry is particularly efficacious… impeding the linear rush from beginning to end… the relation of the optical to the verbal creates its own problems and thus its own creative delay within the text, holding it up, and slowing it down for greater insight’.</w:t>
      </w:r>
      <w:r w:rsidRPr="003037D2">
        <w:rPr>
          <w:rFonts w:ascii="Garamond" w:eastAsia="Calibri" w:hAnsi="Garamond" w:cs="Times New Roman"/>
          <w:vertAlign w:val="superscript"/>
        </w:rPr>
        <w:footnoteReference w:id="564"/>
      </w:r>
      <w:r w:rsidRPr="003037D2">
        <w:rPr>
          <w:rFonts w:ascii="Garamond" w:eastAsia="Calibri" w:hAnsi="Garamond" w:cs="Times New Roman"/>
        </w:rPr>
        <w:t xml:space="preserve"> In the words of Thomas Watson, one of the English innovators in the form, the process of writing pattern poetry also results in delay since it is time consuming. He claims that the knowledgeable reader can clearly observe ‘</w:t>
      </w:r>
      <w:r w:rsidRPr="003037D2">
        <w:rPr>
          <w:rFonts w:ascii="Garamond" w:eastAsia="Calibri" w:hAnsi="Garamond" w:cs="Times New Roman"/>
          <w:lang w:val="en"/>
        </w:rPr>
        <w:t>how much art and study the Author has bestowed [on it]’.</w:t>
      </w:r>
      <w:r w:rsidRPr="003037D2">
        <w:rPr>
          <w:rFonts w:ascii="Garamond" w:eastAsia="Calibri" w:hAnsi="Garamond" w:cs="Times New Roman"/>
          <w:vertAlign w:val="superscript"/>
          <w:lang w:val="en"/>
        </w:rPr>
        <w:footnoteReference w:id="565"/>
      </w:r>
      <w:r w:rsidRPr="003037D2">
        <w:rPr>
          <w:rFonts w:ascii="Garamond" w:eastAsia="Calibri" w:hAnsi="Garamond" w:cs="Times New Roman"/>
          <w:lang w:val="en"/>
        </w:rPr>
        <w:t xml:space="preserve"> </w:t>
      </w:r>
      <w:proofErr w:type="spellStart"/>
      <w:r w:rsidR="00635464" w:rsidRPr="003037D2">
        <w:rPr>
          <w:rFonts w:ascii="Garamond" w:eastAsia="Calibri" w:hAnsi="Garamond" w:cs="Times New Roman"/>
        </w:rPr>
        <w:t>Puttenham</w:t>
      </w:r>
      <w:proofErr w:type="spellEnd"/>
      <w:r w:rsidR="00635464" w:rsidRPr="003037D2">
        <w:rPr>
          <w:rFonts w:ascii="Garamond" w:eastAsia="Calibri" w:hAnsi="Garamond" w:cs="Times New Roman"/>
        </w:rPr>
        <w:t xml:space="preserve"> asserts that the visual changes in the poem’s shapes are brought about by ‘the situation of measures’.</w:t>
      </w:r>
      <w:r w:rsidR="00635464" w:rsidRPr="003037D2">
        <w:rPr>
          <w:rFonts w:ascii="Garamond" w:eastAsia="Calibri" w:hAnsi="Garamond" w:cs="Times New Roman"/>
          <w:vertAlign w:val="superscript"/>
        </w:rPr>
        <w:footnoteReference w:id="566"/>
      </w:r>
      <w:r w:rsidR="00635464" w:rsidRPr="003037D2">
        <w:rPr>
          <w:rFonts w:ascii="Garamond" w:eastAsia="Calibri" w:hAnsi="Garamond" w:cs="Times New Roman"/>
        </w:rPr>
        <w:t xml:space="preserve"> As </w:t>
      </w:r>
      <w:proofErr w:type="spellStart"/>
      <w:r w:rsidR="00635464" w:rsidRPr="003037D2">
        <w:rPr>
          <w:rFonts w:ascii="Garamond" w:eastAsia="Calibri" w:hAnsi="Garamond" w:cs="Times New Roman"/>
        </w:rPr>
        <w:t>Elsky</w:t>
      </w:r>
      <w:proofErr w:type="spellEnd"/>
      <w:r w:rsidR="00635464" w:rsidRPr="003037D2">
        <w:rPr>
          <w:rFonts w:ascii="Garamond" w:eastAsia="Calibri" w:hAnsi="Garamond" w:cs="Times New Roman"/>
        </w:rPr>
        <w:t xml:space="preserve"> has argued, this means the pattern only occurs as a result of manipulating the poetic units, and as such the shape is formed by altering the length of the time it takes to speak a line.</w:t>
      </w:r>
      <w:r w:rsidR="00635464" w:rsidRPr="003037D2">
        <w:rPr>
          <w:rFonts w:ascii="Garamond" w:eastAsia="Calibri" w:hAnsi="Garamond" w:cs="Times New Roman"/>
          <w:vertAlign w:val="superscript"/>
        </w:rPr>
        <w:footnoteReference w:id="567"/>
      </w:r>
      <w:r w:rsidR="00635464" w:rsidRPr="003037D2">
        <w:rPr>
          <w:rFonts w:ascii="Garamond" w:eastAsia="Calibri" w:hAnsi="Garamond" w:cs="Times New Roman"/>
        </w:rPr>
        <w:t xml:space="preserve"> </w:t>
      </w:r>
      <w:r w:rsidRPr="003037D2">
        <w:rPr>
          <w:rFonts w:ascii="Garamond" w:eastAsia="Calibri" w:hAnsi="Garamond" w:cs="Times New Roman"/>
          <w:lang w:val="en"/>
        </w:rPr>
        <w:t xml:space="preserve">Gross suggests that ‘the combination of symbolic and iconic… always presents a challenge to the reader’, as they have to switch between different modes of seeing. Readers must allow a double vision of how language should work, accepting it as both symbolic and descriptive.  </w:t>
      </w:r>
    </w:p>
    <w:p w14:paraId="5AB6FD94" w14:textId="77777777" w:rsidR="00162224" w:rsidRPr="003037D2" w:rsidRDefault="00162224" w:rsidP="00162224">
      <w:pPr>
        <w:spacing w:line="360" w:lineRule="auto"/>
        <w:ind w:firstLine="720"/>
        <w:rPr>
          <w:rFonts w:ascii="Garamond" w:eastAsia="Calibri" w:hAnsi="Garamond" w:cs="Times New Roman"/>
          <w:lang w:val="en"/>
        </w:rPr>
      </w:pPr>
    </w:p>
    <w:p w14:paraId="5AAD14A7" w14:textId="445B91E8" w:rsidR="00162224" w:rsidRPr="003037D2" w:rsidRDefault="00162224" w:rsidP="00635464">
      <w:pPr>
        <w:spacing w:line="360" w:lineRule="auto"/>
        <w:ind w:firstLine="720"/>
        <w:rPr>
          <w:rFonts w:ascii="Garamond" w:eastAsia="Calibri" w:hAnsi="Garamond" w:cs="Times New Roman"/>
        </w:rPr>
      </w:pPr>
      <w:r w:rsidRPr="003037D2">
        <w:rPr>
          <w:rFonts w:ascii="Garamond" w:eastAsia="Calibri" w:hAnsi="Garamond" w:cs="Times New Roman"/>
        </w:rPr>
        <w:t>Pattern poetry</w:t>
      </w:r>
      <w:r w:rsidRPr="003037D2">
        <w:rPr>
          <w:rFonts w:ascii="Garamond" w:eastAsia="Calibri" w:hAnsi="Garamond" w:cs="Times New Roman"/>
          <w:i/>
        </w:rPr>
        <w:t xml:space="preserve"> </w:t>
      </w:r>
      <w:r w:rsidRPr="003037D2">
        <w:rPr>
          <w:rFonts w:ascii="Garamond" w:eastAsia="Calibri" w:hAnsi="Garamond" w:cs="Times New Roman"/>
        </w:rPr>
        <w:t xml:space="preserve">had been popular on the continent for many decades by the time Herbert came to write his verses. It was known that both Greek and Latin poets had created shaped poetry, known respectively as </w:t>
      </w:r>
      <w:proofErr w:type="spellStart"/>
      <w:r w:rsidRPr="003037D2">
        <w:rPr>
          <w:rFonts w:ascii="Garamond" w:eastAsia="Calibri" w:hAnsi="Garamond" w:cs="Times New Roman"/>
          <w:i/>
        </w:rPr>
        <w:t>technopaigneia</w:t>
      </w:r>
      <w:proofErr w:type="spellEnd"/>
      <w:r w:rsidRPr="003037D2">
        <w:rPr>
          <w:rFonts w:ascii="Garamond" w:eastAsia="Calibri" w:hAnsi="Garamond" w:cs="Times New Roman"/>
          <w:i/>
        </w:rPr>
        <w:t xml:space="preserve"> </w:t>
      </w:r>
      <w:r w:rsidRPr="003037D2">
        <w:rPr>
          <w:rFonts w:ascii="Garamond" w:eastAsia="Calibri" w:hAnsi="Garamond" w:cs="Times New Roman"/>
        </w:rPr>
        <w:t xml:space="preserve">or </w:t>
      </w:r>
      <w:proofErr w:type="spellStart"/>
      <w:r w:rsidRPr="003037D2">
        <w:rPr>
          <w:rFonts w:ascii="Garamond" w:eastAsia="Calibri" w:hAnsi="Garamond" w:cs="Times New Roman"/>
          <w:i/>
        </w:rPr>
        <w:t>carmina</w:t>
      </w:r>
      <w:proofErr w:type="spellEnd"/>
      <w:r w:rsidRPr="003037D2">
        <w:rPr>
          <w:rFonts w:ascii="Garamond" w:eastAsia="Calibri" w:hAnsi="Garamond" w:cs="Times New Roman"/>
          <w:i/>
        </w:rPr>
        <w:t xml:space="preserve"> figurate</w:t>
      </w:r>
      <w:r w:rsidRPr="003037D2">
        <w:rPr>
          <w:rFonts w:ascii="Garamond" w:eastAsia="Calibri" w:hAnsi="Garamond" w:cs="Times New Roman"/>
        </w:rPr>
        <w:t>, normally forming simple images such as axes, altars, eggs, wings, lozenge, or in the case of Latin poetry, acrostics.</w:t>
      </w:r>
      <w:r w:rsidRPr="003037D2">
        <w:rPr>
          <w:rFonts w:ascii="Garamond" w:eastAsia="Calibri" w:hAnsi="Garamond" w:cs="Times New Roman"/>
          <w:vertAlign w:val="superscript"/>
        </w:rPr>
        <w:footnoteReference w:id="568"/>
      </w:r>
      <w:r w:rsidRPr="003037D2">
        <w:rPr>
          <w:rFonts w:ascii="Garamond" w:eastAsia="Calibri" w:hAnsi="Garamond" w:cs="Times New Roman"/>
        </w:rPr>
        <w:t xml:space="preserve"> Simmias of Rhodes is credited with creating the form of the </w:t>
      </w:r>
      <w:proofErr w:type="spellStart"/>
      <w:r w:rsidRPr="003037D2">
        <w:rPr>
          <w:rFonts w:ascii="Garamond" w:eastAsia="Calibri" w:hAnsi="Garamond" w:cs="Times New Roman"/>
          <w:i/>
        </w:rPr>
        <w:t>Pteryges</w:t>
      </w:r>
      <w:proofErr w:type="spellEnd"/>
      <w:r w:rsidRPr="003037D2">
        <w:rPr>
          <w:rFonts w:ascii="Garamond" w:eastAsia="Calibri" w:hAnsi="Garamond" w:cs="Times New Roman"/>
        </w:rPr>
        <w:t xml:space="preserve"> (Wings), the </w:t>
      </w:r>
      <w:proofErr w:type="spellStart"/>
      <w:r w:rsidRPr="003037D2">
        <w:rPr>
          <w:rFonts w:ascii="Garamond" w:eastAsia="Calibri" w:hAnsi="Garamond" w:cs="Times New Roman"/>
          <w:i/>
        </w:rPr>
        <w:t>Oon</w:t>
      </w:r>
      <w:proofErr w:type="spellEnd"/>
      <w:r w:rsidRPr="003037D2">
        <w:rPr>
          <w:rFonts w:ascii="Garamond" w:eastAsia="Calibri" w:hAnsi="Garamond" w:cs="Times New Roman"/>
        </w:rPr>
        <w:t xml:space="preserve"> (Egg), and the </w:t>
      </w:r>
      <w:proofErr w:type="spellStart"/>
      <w:r w:rsidRPr="003037D2">
        <w:rPr>
          <w:rFonts w:ascii="Garamond" w:eastAsia="Calibri" w:hAnsi="Garamond" w:cs="Times New Roman"/>
          <w:i/>
        </w:rPr>
        <w:t>Pelekys</w:t>
      </w:r>
      <w:proofErr w:type="spellEnd"/>
      <w:r w:rsidRPr="003037D2">
        <w:rPr>
          <w:rFonts w:ascii="Garamond" w:eastAsia="Calibri" w:hAnsi="Garamond" w:cs="Times New Roman"/>
        </w:rPr>
        <w:t xml:space="preserve"> (Axe), each of which is believed to have been originally inscribed on the object that they represent.</w:t>
      </w:r>
      <w:r w:rsidRPr="003037D2">
        <w:rPr>
          <w:rFonts w:ascii="Garamond" w:eastAsia="Calibri" w:hAnsi="Garamond" w:cs="Times New Roman"/>
          <w:vertAlign w:val="superscript"/>
        </w:rPr>
        <w:footnoteReference w:id="569"/>
      </w:r>
      <w:r w:rsidR="00BF285A" w:rsidRPr="003037D2">
        <w:rPr>
          <w:rFonts w:ascii="Garamond" w:eastAsia="Calibri" w:hAnsi="Garamond" w:cs="Times New Roman"/>
        </w:rPr>
        <w:t xml:space="preserve"> The first pattern poems published in England were neo-Latin verses by Richard Willes, in his 1573 </w:t>
      </w:r>
      <w:proofErr w:type="spellStart"/>
      <w:r w:rsidR="00BF285A" w:rsidRPr="003037D2">
        <w:rPr>
          <w:rFonts w:ascii="Garamond" w:eastAsia="Calibri" w:hAnsi="Garamond" w:cs="Times New Roman"/>
          <w:i/>
        </w:rPr>
        <w:t>Poematum</w:t>
      </w:r>
      <w:proofErr w:type="spellEnd"/>
      <w:r w:rsidR="00BF285A" w:rsidRPr="003037D2">
        <w:rPr>
          <w:rFonts w:ascii="Garamond" w:eastAsia="Calibri" w:hAnsi="Garamond" w:cs="Times New Roman"/>
          <w:i/>
        </w:rPr>
        <w:t xml:space="preserve"> Liber</w:t>
      </w:r>
      <w:r w:rsidR="00BF285A" w:rsidRPr="003037D2">
        <w:rPr>
          <w:rFonts w:ascii="Garamond" w:eastAsia="Calibri" w:hAnsi="Garamond" w:cs="Times New Roman"/>
        </w:rPr>
        <w:t xml:space="preserve">. Willes’ volume includes poems in the form of an altar, an egg, a sword, a pear, a pipe, wings, an inverted pyramid and an axe, followed by a defense of poetry and </w:t>
      </w:r>
      <w:r w:rsidR="00BF285A" w:rsidRPr="003037D2">
        <w:rPr>
          <w:rFonts w:ascii="Garamond" w:eastAsia="Calibri" w:hAnsi="Garamond" w:cs="Times New Roman"/>
        </w:rPr>
        <w:lastRenderedPageBreak/>
        <w:t>potted histories of each of the forms.</w:t>
      </w:r>
      <w:r w:rsidR="00BF285A" w:rsidRPr="003037D2">
        <w:rPr>
          <w:rStyle w:val="FootnoteReference"/>
          <w:rFonts w:ascii="Garamond" w:eastAsia="Calibri" w:hAnsi="Garamond" w:cs="Times New Roman"/>
        </w:rPr>
        <w:footnoteReference w:id="570"/>
      </w:r>
      <w:r w:rsidR="00BF285A" w:rsidRPr="003037D2">
        <w:rPr>
          <w:rFonts w:ascii="Garamond" w:eastAsia="Calibri" w:hAnsi="Garamond" w:cs="Times New Roman"/>
        </w:rPr>
        <w:t xml:space="preserve"> </w:t>
      </w:r>
      <w:r w:rsidR="00635464" w:rsidRPr="003037D2">
        <w:rPr>
          <w:rFonts w:ascii="Garamond" w:eastAsia="Calibri" w:hAnsi="Garamond" w:cs="Times New Roman"/>
        </w:rPr>
        <w:t xml:space="preserve">Gabriel Harvey attacked this work, describing it as ‘odd riming with many other trifling and childish </w:t>
      </w:r>
      <w:proofErr w:type="spellStart"/>
      <w:r w:rsidR="00635464" w:rsidRPr="003037D2">
        <w:rPr>
          <w:rFonts w:ascii="Garamond" w:eastAsia="Calibri" w:hAnsi="Garamond" w:cs="Times New Roman"/>
        </w:rPr>
        <w:t>toyes</w:t>
      </w:r>
      <w:proofErr w:type="spellEnd"/>
      <w:r w:rsidR="00635464" w:rsidRPr="003037D2">
        <w:rPr>
          <w:rFonts w:ascii="Garamond" w:eastAsia="Calibri" w:hAnsi="Garamond" w:cs="Times New Roman"/>
        </w:rPr>
        <w:t xml:space="preserve"> to make a verse… such ridiculous and </w:t>
      </w:r>
      <w:proofErr w:type="spellStart"/>
      <w:r w:rsidR="00635464" w:rsidRPr="003037D2">
        <w:rPr>
          <w:rFonts w:ascii="Garamond" w:eastAsia="Calibri" w:hAnsi="Garamond" w:cs="Times New Roman"/>
        </w:rPr>
        <w:t>madd</w:t>
      </w:r>
      <w:proofErr w:type="spellEnd"/>
      <w:r w:rsidR="00635464" w:rsidRPr="003037D2">
        <w:rPr>
          <w:rFonts w:ascii="Garamond" w:eastAsia="Calibri" w:hAnsi="Garamond" w:cs="Times New Roman"/>
        </w:rPr>
        <w:t xml:space="preserve"> </w:t>
      </w:r>
      <w:proofErr w:type="spellStart"/>
      <w:r w:rsidR="00635464" w:rsidRPr="003037D2">
        <w:rPr>
          <w:rFonts w:ascii="Garamond" w:eastAsia="Calibri" w:hAnsi="Garamond" w:cs="Times New Roman"/>
        </w:rPr>
        <w:t>gugawes</w:t>
      </w:r>
      <w:proofErr w:type="spellEnd"/>
      <w:r w:rsidR="00635464" w:rsidRPr="003037D2">
        <w:rPr>
          <w:rFonts w:ascii="Garamond" w:eastAsia="Calibri" w:hAnsi="Garamond" w:cs="Times New Roman"/>
        </w:rPr>
        <w:t xml:space="preserve"> and </w:t>
      </w:r>
      <w:proofErr w:type="spellStart"/>
      <w:r w:rsidR="00635464" w:rsidRPr="003037D2">
        <w:rPr>
          <w:rFonts w:ascii="Garamond" w:eastAsia="Calibri" w:hAnsi="Garamond" w:cs="Times New Roman"/>
        </w:rPr>
        <w:t>crochetters</w:t>
      </w:r>
      <w:proofErr w:type="spellEnd"/>
      <w:r w:rsidR="00635464" w:rsidRPr="003037D2">
        <w:rPr>
          <w:rFonts w:ascii="Garamond" w:eastAsia="Calibri" w:hAnsi="Garamond" w:cs="Times New Roman"/>
        </w:rPr>
        <w:t xml:space="preserve">… of late foolishly </w:t>
      </w:r>
      <w:proofErr w:type="spellStart"/>
      <w:r w:rsidR="00635464" w:rsidRPr="003037D2">
        <w:rPr>
          <w:rFonts w:ascii="Garamond" w:eastAsia="Calibri" w:hAnsi="Garamond" w:cs="Times New Roman"/>
        </w:rPr>
        <w:t>revied</w:t>
      </w:r>
      <w:proofErr w:type="spellEnd"/>
      <w:r w:rsidR="00635464" w:rsidRPr="003037D2">
        <w:rPr>
          <w:rFonts w:ascii="Garamond" w:eastAsia="Calibri" w:hAnsi="Garamond" w:cs="Times New Roman"/>
        </w:rPr>
        <w:t>’.</w:t>
      </w:r>
      <w:r w:rsidR="00635464" w:rsidRPr="003037D2">
        <w:rPr>
          <w:rStyle w:val="FootnoteReference"/>
          <w:rFonts w:ascii="Garamond" w:eastAsia="Calibri" w:hAnsi="Garamond" w:cs="Times New Roman"/>
        </w:rPr>
        <w:footnoteReference w:id="571"/>
      </w:r>
      <w:r w:rsidR="00635464" w:rsidRPr="003037D2">
        <w:rPr>
          <w:rFonts w:ascii="Garamond" w:eastAsia="Calibri" w:hAnsi="Garamond" w:cs="Times New Roman"/>
        </w:rPr>
        <w:t xml:space="preserve"> </w:t>
      </w:r>
    </w:p>
    <w:p w14:paraId="3CFE2362" w14:textId="77777777" w:rsidR="00162224" w:rsidRPr="003037D2" w:rsidRDefault="00162224" w:rsidP="00162224">
      <w:pPr>
        <w:spacing w:line="360" w:lineRule="auto"/>
        <w:rPr>
          <w:rFonts w:ascii="Garamond" w:eastAsia="Calibri" w:hAnsi="Garamond" w:cs="Times New Roman"/>
        </w:rPr>
      </w:pPr>
    </w:p>
    <w:p w14:paraId="7C3AF1B7" w14:textId="632631B3" w:rsidR="00C60B2D" w:rsidRPr="003037D2" w:rsidRDefault="00162224" w:rsidP="004E7112">
      <w:pPr>
        <w:spacing w:line="360" w:lineRule="auto"/>
        <w:rPr>
          <w:rFonts w:ascii="Garamond" w:hAnsi="Garamond"/>
        </w:rPr>
      </w:pPr>
      <w:r w:rsidRPr="003037D2">
        <w:rPr>
          <w:rFonts w:ascii="Garamond" w:eastAsia="Calibri" w:hAnsi="Garamond" w:cs="Times New Roman"/>
        </w:rPr>
        <w:tab/>
      </w:r>
      <w:r w:rsidR="005B54D5" w:rsidRPr="003037D2">
        <w:rPr>
          <w:rFonts w:ascii="Garamond" w:eastAsia="Calibri" w:hAnsi="Garamond" w:cs="Times New Roman"/>
        </w:rPr>
        <w:t>Pattern poetry is</w:t>
      </w:r>
      <w:r w:rsidR="0056185D" w:rsidRPr="003037D2">
        <w:rPr>
          <w:rFonts w:ascii="Garamond" w:eastAsia="Calibri" w:hAnsi="Garamond" w:cs="Times New Roman"/>
        </w:rPr>
        <w:t xml:space="preserve"> discussed at length in George </w:t>
      </w:r>
      <w:proofErr w:type="spellStart"/>
      <w:r w:rsidR="0056185D" w:rsidRPr="003037D2">
        <w:rPr>
          <w:rFonts w:ascii="Garamond" w:eastAsia="Calibri" w:hAnsi="Garamond" w:cs="Times New Roman"/>
        </w:rPr>
        <w:t>Puttenham’s</w:t>
      </w:r>
      <w:proofErr w:type="spellEnd"/>
      <w:r w:rsidR="0056185D" w:rsidRPr="003037D2">
        <w:rPr>
          <w:rFonts w:ascii="Garamond" w:eastAsia="Calibri" w:hAnsi="Garamond" w:cs="Times New Roman"/>
        </w:rPr>
        <w:t xml:space="preserve"> </w:t>
      </w:r>
      <w:r w:rsidRPr="003037D2">
        <w:rPr>
          <w:rFonts w:ascii="Garamond" w:eastAsia="Calibri" w:hAnsi="Garamond" w:cs="Times New Roman"/>
          <w:i/>
        </w:rPr>
        <w:t xml:space="preserve">Art of English </w:t>
      </w:r>
      <w:proofErr w:type="spellStart"/>
      <w:r w:rsidRPr="003037D2">
        <w:rPr>
          <w:rFonts w:ascii="Garamond" w:eastAsia="Calibri" w:hAnsi="Garamond" w:cs="Times New Roman"/>
          <w:i/>
        </w:rPr>
        <w:t>Poesey</w:t>
      </w:r>
      <w:proofErr w:type="spellEnd"/>
      <w:r w:rsidR="0056185D" w:rsidRPr="003037D2">
        <w:rPr>
          <w:rFonts w:ascii="Garamond" w:eastAsia="Calibri" w:hAnsi="Garamond" w:cs="Times New Roman"/>
          <w:i/>
        </w:rPr>
        <w:t xml:space="preserve">, </w:t>
      </w:r>
      <w:r w:rsidR="0056185D" w:rsidRPr="003037D2">
        <w:rPr>
          <w:rFonts w:ascii="Garamond" w:eastAsia="Calibri" w:hAnsi="Garamond" w:cs="Times New Roman"/>
        </w:rPr>
        <w:t xml:space="preserve">published anonymously in </w:t>
      </w:r>
      <w:r w:rsidRPr="003037D2">
        <w:rPr>
          <w:rFonts w:ascii="Garamond" w:eastAsia="Calibri" w:hAnsi="Garamond" w:cs="Times New Roman"/>
        </w:rPr>
        <w:t>1589</w:t>
      </w:r>
      <w:r w:rsidR="0056185D" w:rsidRPr="003037D2">
        <w:rPr>
          <w:rFonts w:ascii="Garamond" w:eastAsia="Calibri" w:hAnsi="Garamond" w:cs="Times New Roman"/>
        </w:rPr>
        <w:t>, despite the book itself attacking those who chose not to print their name with their works</w:t>
      </w:r>
      <w:r w:rsidR="00BF285A" w:rsidRPr="003037D2">
        <w:rPr>
          <w:rFonts w:ascii="Garamond" w:eastAsia="Calibri" w:hAnsi="Garamond" w:cs="Times New Roman"/>
        </w:rPr>
        <w:t>:</w:t>
      </w:r>
      <w:r w:rsidR="0056185D" w:rsidRPr="003037D2">
        <w:rPr>
          <w:rFonts w:ascii="Garamond" w:eastAsia="Calibri" w:hAnsi="Garamond" w:cs="Times New Roman"/>
        </w:rPr>
        <w:t xml:space="preserve"> ‘so many noble </w:t>
      </w:r>
      <w:proofErr w:type="spellStart"/>
      <w:r w:rsidR="0056185D" w:rsidRPr="003037D2">
        <w:rPr>
          <w:rFonts w:ascii="Garamond" w:eastAsia="Calibri" w:hAnsi="Garamond" w:cs="Times New Roman"/>
        </w:rPr>
        <w:t>Emperours</w:t>
      </w:r>
      <w:proofErr w:type="spellEnd"/>
      <w:r w:rsidR="0056185D" w:rsidRPr="003037D2">
        <w:rPr>
          <w:rFonts w:ascii="Garamond" w:eastAsia="Calibri" w:hAnsi="Garamond" w:cs="Times New Roman"/>
        </w:rPr>
        <w:t xml:space="preserve">, Kings and Princes have been studious of </w:t>
      </w:r>
      <w:proofErr w:type="spellStart"/>
      <w:r w:rsidR="0056185D" w:rsidRPr="003037D2">
        <w:rPr>
          <w:rFonts w:ascii="Garamond" w:eastAsia="Calibri" w:hAnsi="Garamond" w:cs="Times New Roman"/>
        </w:rPr>
        <w:t>Poesie</w:t>
      </w:r>
      <w:proofErr w:type="spellEnd"/>
      <w:r w:rsidR="00BF285A" w:rsidRPr="003037D2">
        <w:rPr>
          <w:rFonts w:ascii="Garamond" w:eastAsia="Calibri" w:hAnsi="Garamond" w:cs="Times New Roman"/>
        </w:rPr>
        <w:t>…</w:t>
      </w:r>
      <w:r w:rsidR="0056185D" w:rsidRPr="003037D2">
        <w:rPr>
          <w:rFonts w:ascii="Garamond" w:eastAsia="Calibri" w:hAnsi="Garamond" w:cs="Times New Roman"/>
        </w:rPr>
        <w:t xml:space="preserve"> let no other meaner person… be any whit </w:t>
      </w:r>
      <w:proofErr w:type="spellStart"/>
      <w:r w:rsidR="0056185D" w:rsidRPr="003037D2">
        <w:rPr>
          <w:rFonts w:ascii="Garamond" w:eastAsia="Calibri" w:hAnsi="Garamond" w:cs="Times New Roman"/>
        </w:rPr>
        <w:t>squeimish</w:t>
      </w:r>
      <w:proofErr w:type="spellEnd"/>
      <w:r w:rsidR="0056185D" w:rsidRPr="003037D2">
        <w:rPr>
          <w:rFonts w:ascii="Garamond" w:eastAsia="Calibri" w:hAnsi="Garamond" w:cs="Times New Roman"/>
        </w:rPr>
        <w:t xml:space="preserve"> to let it be </w:t>
      </w:r>
      <w:proofErr w:type="spellStart"/>
      <w:r w:rsidR="0056185D" w:rsidRPr="003037D2">
        <w:rPr>
          <w:rFonts w:ascii="Garamond" w:eastAsia="Calibri" w:hAnsi="Garamond" w:cs="Times New Roman"/>
        </w:rPr>
        <w:t>publisht</w:t>
      </w:r>
      <w:proofErr w:type="spellEnd"/>
      <w:r w:rsidR="0056185D" w:rsidRPr="003037D2">
        <w:rPr>
          <w:rFonts w:ascii="Garamond" w:eastAsia="Calibri" w:hAnsi="Garamond" w:cs="Times New Roman"/>
        </w:rPr>
        <w:t xml:space="preserve"> under their names, for reason serves it, and </w:t>
      </w:r>
      <w:proofErr w:type="spellStart"/>
      <w:r w:rsidR="0056185D" w:rsidRPr="003037D2">
        <w:rPr>
          <w:rFonts w:ascii="Garamond" w:eastAsia="Calibri" w:hAnsi="Garamond" w:cs="Times New Roman"/>
        </w:rPr>
        <w:t>modestie</w:t>
      </w:r>
      <w:proofErr w:type="spellEnd"/>
      <w:r w:rsidR="0056185D" w:rsidRPr="003037D2">
        <w:rPr>
          <w:rFonts w:ascii="Garamond" w:eastAsia="Calibri" w:hAnsi="Garamond" w:cs="Times New Roman"/>
        </w:rPr>
        <w:t xml:space="preserve"> doth not </w:t>
      </w:r>
      <w:proofErr w:type="spellStart"/>
      <w:r w:rsidR="0056185D" w:rsidRPr="003037D2">
        <w:rPr>
          <w:rFonts w:ascii="Garamond" w:eastAsia="Calibri" w:hAnsi="Garamond" w:cs="Times New Roman"/>
        </w:rPr>
        <w:t>repugne</w:t>
      </w:r>
      <w:proofErr w:type="spellEnd"/>
      <w:r w:rsidR="0056185D" w:rsidRPr="003037D2">
        <w:rPr>
          <w:rFonts w:ascii="Garamond" w:eastAsia="Calibri" w:hAnsi="Garamond" w:cs="Times New Roman"/>
        </w:rPr>
        <w:t>’.</w:t>
      </w:r>
      <w:r w:rsidR="0056185D" w:rsidRPr="003037D2">
        <w:rPr>
          <w:rStyle w:val="FootnoteReference"/>
          <w:rFonts w:ascii="Garamond" w:eastAsia="Calibri" w:hAnsi="Garamond" w:cs="Times New Roman"/>
        </w:rPr>
        <w:footnoteReference w:id="572"/>
      </w:r>
      <w:r w:rsidR="005B54D5" w:rsidRPr="003037D2">
        <w:rPr>
          <w:rFonts w:ascii="Garamond" w:eastAsia="Calibri" w:hAnsi="Garamond" w:cs="Times New Roman"/>
        </w:rPr>
        <w:t xml:space="preserve"> </w:t>
      </w:r>
      <w:r w:rsidR="005B54D5" w:rsidRPr="003037D2">
        <w:rPr>
          <w:rFonts w:ascii="Garamond" w:eastAsia="Calibri" w:hAnsi="Garamond" w:cs="Times New Roman"/>
          <w:i/>
        </w:rPr>
        <w:t xml:space="preserve">The Art </w:t>
      </w:r>
      <w:r w:rsidR="005B54D5" w:rsidRPr="003037D2">
        <w:rPr>
          <w:rFonts w:ascii="Garamond" w:eastAsia="Calibri" w:hAnsi="Garamond" w:cs="Times New Roman"/>
        </w:rPr>
        <w:t xml:space="preserve">is a peculiar work, </w:t>
      </w:r>
      <w:proofErr w:type="spellStart"/>
      <w:r w:rsidR="005B54D5" w:rsidRPr="003037D2">
        <w:rPr>
          <w:rFonts w:ascii="Garamond" w:eastAsia="Calibri" w:hAnsi="Garamond" w:cs="Times New Roman"/>
        </w:rPr>
        <w:t>magestierial</w:t>
      </w:r>
      <w:proofErr w:type="spellEnd"/>
      <w:r w:rsidR="005B54D5" w:rsidRPr="003037D2">
        <w:rPr>
          <w:rFonts w:ascii="Garamond" w:eastAsia="Calibri" w:hAnsi="Garamond" w:cs="Times New Roman"/>
        </w:rPr>
        <w:t xml:space="preserve"> in size but </w:t>
      </w:r>
      <w:r w:rsidR="00447637" w:rsidRPr="003037D2">
        <w:rPr>
          <w:rFonts w:ascii="Garamond" w:eastAsia="Calibri" w:hAnsi="Garamond" w:cs="Times New Roman"/>
        </w:rPr>
        <w:t xml:space="preserve">primarily concerned with displaying the unnamed author’s classical learning. The volume is </w:t>
      </w:r>
      <w:r w:rsidR="005B54D5" w:rsidRPr="003037D2">
        <w:rPr>
          <w:rFonts w:ascii="Garamond" w:eastAsia="Calibri" w:hAnsi="Garamond" w:cs="Times New Roman"/>
        </w:rPr>
        <w:t xml:space="preserve">filled with dissembling and posturing </w:t>
      </w:r>
      <w:r w:rsidR="00447637" w:rsidRPr="003037D2">
        <w:rPr>
          <w:rFonts w:ascii="Garamond" w:eastAsia="Calibri" w:hAnsi="Garamond" w:cs="Times New Roman"/>
        </w:rPr>
        <w:t xml:space="preserve">whilst simultaneously attacking this behavior in the </w:t>
      </w:r>
      <w:r w:rsidR="005B54D5" w:rsidRPr="003037D2">
        <w:rPr>
          <w:rFonts w:ascii="Garamond" w:eastAsia="Calibri" w:hAnsi="Garamond" w:cs="Times New Roman"/>
        </w:rPr>
        <w:t>court.</w:t>
      </w:r>
      <w:r w:rsidR="002C2583" w:rsidRPr="003037D2">
        <w:rPr>
          <w:rFonts w:ascii="Garamond" w:eastAsia="Calibri" w:hAnsi="Garamond" w:cs="Times New Roman"/>
        </w:rPr>
        <w:t xml:space="preserve"> The author addresses the Queen directly, dedicating several poems to her and prominent courtiers, and boasts of having been accepted in courts around Europe.</w:t>
      </w:r>
      <w:r w:rsidR="005B54D5" w:rsidRPr="003037D2">
        <w:rPr>
          <w:rFonts w:ascii="Garamond" w:eastAsia="Calibri" w:hAnsi="Garamond" w:cs="Times New Roman"/>
        </w:rPr>
        <w:t xml:space="preserve"> </w:t>
      </w:r>
      <w:r w:rsidR="00447637" w:rsidRPr="003037D2">
        <w:rPr>
          <w:rFonts w:ascii="Garamond" w:eastAsia="Calibri" w:hAnsi="Garamond" w:cs="Times New Roman"/>
        </w:rPr>
        <w:t xml:space="preserve">In a recent critical edition, </w:t>
      </w:r>
      <w:r w:rsidR="00447637" w:rsidRPr="003037D2">
        <w:rPr>
          <w:rFonts w:ascii="Garamond" w:hAnsi="Garamond"/>
        </w:rPr>
        <w:t xml:space="preserve">Wayne A. </w:t>
      </w:r>
      <w:proofErr w:type="spellStart"/>
      <w:r w:rsidR="00447637" w:rsidRPr="003037D2">
        <w:rPr>
          <w:rFonts w:ascii="Garamond" w:hAnsi="Garamond"/>
        </w:rPr>
        <w:t>Rebhorn</w:t>
      </w:r>
      <w:proofErr w:type="spellEnd"/>
      <w:r w:rsidR="00447637" w:rsidRPr="003037D2">
        <w:rPr>
          <w:rFonts w:ascii="Garamond" w:hAnsi="Garamond"/>
        </w:rPr>
        <w:t xml:space="preserve"> and Frank Whigham characterize the work as ‘aggressively weird fan dance mixing supplication, anxiety, scorn, envy, the undisguised espousal of dissembling, and proud, even exhibitionist, display… all at once’.</w:t>
      </w:r>
      <w:r w:rsidR="00447637" w:rsidRPr="003037D2">
        <w:rPr>
          <w:rStyle w:val="FootnoteReference"/>
          <w:rFonts w:ascii="Garamond" w:hAnsi="Garamond"/>
        </w:rPr>
        <w:footnoteReference w:id="573"/>
      </w:r>
      <w:r w:rsidR="00447637" w:rsidRPr="003037D2">
        <w:rPr>
          <w:rFonts w:ascii="Garamond" w:hAnsi="Garamond"/>
        </w:rPr>
        <w:t xml:space="preserve"> </w:t>
      </w:r>
      <w:proofErr w:type="spellStart"/>
      <w:r w:rsidR="00447637" w:rsidRPr="003037D2">
        <w:rPr>
          <w:rFonts w:ascii="Garamond" w:hAnsi="Garamond"/>
        </w:rPr>
        <w:t>Puttenham</w:t>
      </w:r>
      <w:proofErr w:type="spellEnd"/>
      <w:r w:rsidR="00447637" w:rsidRPr="003037D2">
        <w:rPr>
          <w:rFonts w:ascii="Garamond" w:hAnsi="Garamond"/>
        </w:rPr>
        <w:t xml:space="preserve"> frequently cites his own poetry without acknowledging it as such, perhaps trying to rehabilitate himself into society following a series of scandals: he had been excommunicated by the Church four times, pros</w:t>
      </w:r>
      <w:r w:rsidR="004E7112">
        <w:rPr>
          <w:rFonts w:ascii="Garamond" w:hAnsi="Garamond"/>
        </w:rPr>
        <w:t xml:space="preserve">ecuted for mistreating his wife, </w:t>
      </w:r>
      <w:r w:rsidR="00447637" w:rsidRPr="003037D2">
        <w:rPr>
          <w:rFonts w:ascii="Garamond" w:hAnsi="Garamond"/>
        </w:rPr>
        <w:t xml:space="preserve">imprisoned for failing to pay her alimony, </w:t>
      </w:r>
      <w:r w:rsidR="002C2583" w:rsidRPr="003037D2">
        <w:rPr>
          <w:rFonts w:ascii="Garamond" w:hAnsi="Garamond"/>
        </w:rPr>
        <w:t>and was</w:t>
      </w:r>
      <w:r w:rsidR="00447637" w:rsidRPr="003037D2">
        <w:rPr>
          <w:rFonts w:ascii="Garamond" w:hAnsi="Garamond"/>
        </w:rPr>
        <w:t xml:space="preserve"> a known sexual predator.</w:t>
      </w:r>
      <w:r w:rsidR="00447637" w:rsidRPr="003037D2">
        <w:rPr>
          <w:rStyle w:val="FootnoteReference"/>
          <w:rFonts w:ascii="Garamond" w:hAnsi="Garamond"/>
        </w:rPr>
        <w:footnoteReference w:id="574"/>
      </w:r>
      <w:r w:rsidR="00447637" w:rsidRPr="003037D2">
        <w:rPr>
          <w:rFonts w:ascii="Garamond" w:hAnsi="Garamond"/>
        </w:rPr>
        <w:t xml:space="preserve"> </w:t>
      </w:r>
      <w:r w:rsidR="004E7112">
        <w:rPr>
          <w:rFonts w:ascii="Garamond" w:hAnsi="Garamond"/>
        </w:rPr>
        <w:t xml:space="preserve">The exact date that the volume was composed is unknown. </w:t>
      </w:r>
      <w:r w:rsidR="002C2583" w:rsidRPr="003037D2">
        <w:rPr>
          <w:rFonts w:ascii="Garamond" w:hAnsi="Garamond"/>
        </w:rPr>
        <w:t>Ben Jonson is quoted as saying that ‘the old book that goes about [</w:t>
      </w:r>
      <w:r w:rsidR="002C2583" w:rsidRPr="003037D2">
        <w:rPr>
          <w:rFonts w:ascii="Garamond" w:hAnsi="Garamond"/>
          <w:i/>
        </w:rPr>
        <w:t>The Art</w:t>
      </w:r>
      <w:r w:rsidR="002C2583" w:rsidRPr="003037D2">
        <w:rPr>
          <w:rFonts w:ascii="Garamond" w:hAnsi="Garamond"/>
        </w:rPr>
        <w:t xml:space="preserve">] </w:t>
      </w:r>
      <w:proofErr w:type="spellStart"/>
      <w:r w:rsidR="002C2583" w:rsidRPr="003037D2">
        <w:rPr>
          <w:rFonts w:ascii="Garamond" w:hAnsi="Garamond"/>
        </w:rPr>
        <w:t>wa</w:t>
      </w:r>
      <w:proofErr w:type="spellEnd"/>
      <w:r w:rsidR="002C2583" w:rsidRPr="003037D2">
        <w:rPr>
          <w:rFonts w:ascii="Garamond" w:hAnsi="Garamond"/>
        </w:rPr>
        <w:t xml:space="preserve"> done 20 </w:t>
      </w:r>
      <w:proofErr w:type="spellStart"/>
      <w:r w:rsidR="002C2583" w:rsidRPr="003037D2">
        <w:rPr>
          <w:rFonts w:ascii="Garamond" w:hAnsi="Garamond"/>
        </w:rPr>
        <w:t>yeeers</w:t>
      </w:r>
      <w:proofErr w:type="spellEnd"/>
      <w:r w:rsidR="002C2583" w:rsidRPr="003037D2">
        <w:rPr>
          <w:rFonts w:ascii="Garamond" w:hAnsi="Garamond"/>
        </w:rPr>
        <w:t xml:space="preserve"> since &amp; long in </w:t>
      </w:r>
      <w:proofErr w:type="spellStart"/>
      <w:r w:rsidR="002C2583" w:rsidRPr="003037D2">
        <w:rPr>
          <w:rFonts w:ascii="Garamond" w:hAnsi="Garamond"/>
        </w:rPr>
        <w:t>wrytte</w:t>
      </w:r>
      <w:proofErr w:type="spellEnd"/>
      <w:r w:rsidR="002C2583" w:rsidRPr="003037D2">
        <w:rPr>
          <w:rFonts w:ascii="Garamond" w:hAnsi="Garamond"/>
        </w:rPr>
        <w:t xml:space="preserve"> as a secret’</w:t>
      </w:r>
      <w:r w:rsidR="00C60B2D" w:rsidRPr="003037D2">
        <w:rPr>
          <w:rFonts w:ascii="Garamond" w:hAnsi="Garamond"/>
        </w:rPr>
        <w:t xml:space="preserve">, suggesting that the volume was written as early as 1569. Certainly, most of the texts that </w:t>
      </w:r>
      <w:proofErr w:type="spellStart"/>
      <w:r w:rsidR="00C60B2D" w:rsidRPr="003037D2">
        <w:rPr>
          <w:rFonts w:ascii="Garamond" w:hAnsi="Garamond"/>
        </w:rPr>
        <w:t>Puttenham</w:t>
      </w:r>
      <w:proofErr w:type="spellEnd"/>
      <w:r w:rsidR="00C60B2D" w:rsidRPr="003037D2">
        <w:rPr>
          <w:rFonts w:ascii="Garamond" w:hAnsi="Garamond"/>
        </w:rPr>
        <w:t xml:space="preserve"> engages date before the Elizabethan High Renaissance, with his main source being </w:t>
      </w:r>
      <w:proofErr w:type="spellStart"/>
      <w:r w:rsidR="00C60B2D" w:rsidRPr="003037D2">
        <w:rPr>
          <w:rFonts w:ascii="Garamond" w:hAnsi="Garamond"/>
        </w:rPr>
        <w:t>Tottel’s</w:t>
      </w:r>
      <w:proofErr w:type="spellEnd"/>
      <w:r w:rsidR="00C60B2D" w:rsidRPr="003037D2">
        <w:rPr>
          <w:rFonts w:ascii="Garamond" w:hAnsi="Garamond"/>
        </w:rPr>
        <w:t xml:space="preserve"> 1557 </w:t>
      </w:r>
      <w:proofErr w:type="spellStart"/>
      <w:r w:rsidR="00C60B2D" w:rsidRPr="003037D2">
        <w:rPr>
          <w:rFonts w:ascii="Garamond" w:hAnsi="Garamond"/>
        </w:rPr>
        <w:t>miscelanny</w:t>
      </w:r>
      <w:proofErr w:type="spellEnd"/>
      <w:r w:rsidR="00C60B2D" w:rsidRPr="003037D2">
        <w:rPr>
          <w:rFonts w:ascii="Garamond" w:hAnsi="Garamond"/>
        </w:rPr>
        <w:t>.</w:t>
      </w:r>
      <w:r w:rsidR="00C60B2D" w:rsidRPr="003037D2">
        <w:rPr>
          <w:rStyle w:val="FootnoteReference"/>
          <w:rFonts w:ascii="Garamond" w:hAnsi="Garamond"/>
        </w:rPr>
        <w:t xml:space="preserve"> </w:t>
      </w:r>
      <w:r w:rsidR="00C60B2D" w:rsidRPr="003037D2">
        <w:rPr>
          <w:rFonts w:ascii="Garamond" w:hAnsi="Garamond"/>
        </w:rPr>
        <w:t xml:space="preserve">However, some portions can be dated to the 1580s, </w:t>
      </w:r>
      <w:r w:rsidR="004E7112">
        <w:rPr>
          <w:rFonts w:ascii="Garamond" w:hAnsi="Garamond"/>
        </w:rPr>
        <w:t xml:space="preserve">responding to </w:t>
      </w:r>
      <w:r w:rsidR="00C60B2D" w:rsidRPr="003037D2">
        <w:rPr>
          <w:rFonts w:ascii="Garamond" w:hAnsi="Garamond"/>
        </w:rPr>
        <w:t>later</w:t>
      </w:r>
      <w:r w:rsidR="00505362" w:rsidRPr="003037D2">
        <w:rPr>
          <w:rFonts w:ascii="Garamond" w:hAnsi="Garamond"/>
        </w:rPr>
        <w:t xml:space="preserve"> </w:t>
      </w:r>
      <w:r w:rsidR="004E7112">
        <w:rPr>
          <w:rFonts w:ascii="Garamond" w:hAnsi="Garamond"/>
        </w:rPr>
        <w:t>writings</w:t>
      </w:r>
      <w:r w:rsidR="00C60B2D" w:rsidRPr="003037D2">
        <w:rPr>
          <w:rFonts w:ascii="Garamond" w:hAnsi="Garamond"/>
        </w:rPr>
        <w:t>.</w:t>
      </w:r>
      <w:bookmarkStart w:id="61" w:name="_Ref3889038"/>
      <w:r w:rsidR="00C60B2D" w:rsidRPr="003037D2">
        <w:rPr>
          <w:rStyle w:val="FootnoteReference"/>
          <w:rFonts w:ascii="Garamond" w:hAnsi="Garamond"/>
        </w:rPr>
        <w:footnoteReference w:id="575"/>
      </w:r>
      <w:bookmarkEnd w:id="61"/>
    </w:p>
    <w:p w14:paraId="53244226" w14:textId="77777777" w:rsidR="00C60B2D" w:rsidRPr="003037D2" w:rsidRDefault="00C60B2D" w:rsidP="00162224">
      <w:pPr>
        <w:spacing w:line="360" w:lineRule="auto"/>
        <w:rPr>
          <w:rFonts w:ascii="Garamond" w:hAnsi="Garamond"/>
        </w:rPr>
      </w:pPr>
    </w:p>
    <w:p w14:paraId="205AAF17" w14:textId="718BCFB5" w:rsidR="005B54D5" w:rsidRPr="003037D2" w:rsidRDefault="002C2583" w:rsidP="004E7112">
      <w:pPr>
        <w:spacing w:line="360" w:lineRule="auto"/>
        <w:ind w:firstLine="720"/>
        <w:rPr>
          <w:rFonts w:ascii="Garamond" w:eastAsia="Calibri" w:hAnsi="Garamond" w:cs="Times New Roman"/>
        </w:rPr>
      </w:pPr>
      <w:r w:rsidRPr="003037D2">
        <w:rPr>
          <w:rFonts w:ascii="Garamond" w:eastAsia="Calibri" w:hAnsi="Garamond" w:cs="Times New Roman"/>
        </w:rPr>
        <w:t xml:space="preserve"> </w:t>
      </w:r>
      <w:proofErr w:type="spellStart"/>
      <w:r w:rsidR="0056185D" w:rsidRPr="003037D2">
        <w:rPr>
          <w:rFonts w:ascii="Garamond" w:eastAsia="Calibri" w:hAnsi="Garamond" w:cs="Times New Roman"/>
        </w:rPr>
        <w:t>P</w:t>
      </w:r>
      <w:r w:rsidR="00162224" w:rsidRPr="003037D2">
        <w:rPr>
          <w:rFonts w:ascii="Garamond" w:eastAsia="Calibri" w:hAnsi="Garamond" w:cs="Times New Roman"/>
        </w:rPr>
        <w:t>uttenham</w:t>
      </w:r>
      <w:proofErr w:type="spellEnd"/>
      <w:r w:rsidR="00162224" w:rsidRPr="003037D2">
        <w:rPr>
          <w:rFonts w:ascii="Garamond" w:eastAsia="Calibri" w:hAnsi="Garamond" w:cs="Times New Roman"/>
        </w:rPr>
        <w:t xml:space="preserve"> declared that the tone or mood of a poem could be composed following ‘ocular examples’, stating ‘it </w:t>
      </w:r>
      <w:proofErr w:type="spellStart"/>
      <w:r w:rsidR="00162224" w:rsidRPr="003037D2">
        <w:rPr>
          <w:rFonts w:ascii="Garamond" w:eastAsia="Calibri" w:hAnsi="Garamond" w:cs="Times New Roman"/>
        </w:rPr>
        <w:t>falleth</w:t>
      </w:r>
      <w:proofErr w:type="spellEnd"/>
      <w:r w:rsidR="00162224" w:rsidRPr="003037D2">
        <w:rPr>
          <w:rFonts w:ascii="Garamond" w:eastAsia="Calibri" w:hAnsi="Garamond" w:cs="Times New Roman"/>
        </w:rPr>
        <w:t xml:space="preserve"> out most times your ocular proportion doth declare the nature of the audible: for if it please the </w:t>
      </w:r>
      <w:proofErr w:type="spellStart"/>
      <w:r w:rsidR="00162224" w:rsidRPr="003037D2">
        <w:rPr>
          <w:rFonts w:ascii="Garamond" w:eastAsia="Calibri" w:hAnsi="Garamond" w:cs="Times New Roman"/>
        </w:rPr>
        <w:t>eare</w:t>
      </w:r>
      <w:proofErr w:type="spellEnd"/>
      <w:r w:rsidR="00162224" w:rsidRPr="003037D2">
        <w:rPr>
          <w:rFonts w:ascii="Garamond" w:eastAsia="Calibri" w:hAnsi="Garamond" w:cs="Times New Roman"/>
        </w:rPr>
        <w:t xml:space="preserve"> well, the same represented by delineation to the view </w:t>
      </w:r>
      <w:proofErr w:type="spellStart"/>
      <w:r w:rsidR="00162224" w:rsidRPr="003037D2">
        <w:rPr>
          <w:rFonts w:ascii="Garamond" w:eastAsia="Calibri" w:hAnsi="Garamond" w:cs="Times New Roman"/>
        </w:rPr>
        <w:t>pleaseth</w:t>
      </w:r>
      <w:proofErr w:type="spellEnd"/>
      <w:r w:rsidR="00162224" w:rsidRPr="003037D2">
        <w:rPr>
          <w:rFonts w:ascii="Garamond" w:eastAsia="Calibri" w:hAnsi="Garamond" w:cs="Times New Roman"/>
        </w:rPr>
        <w:t xml:space="preserve"> the eye well’.</w:t>
      </w:r>
      <w:r w:rsidR="00162224" w:rsidRPr="003037D2">
        <w:rPr>
          <w:rFonts w:ascii="Garamond" w:eastAsia="Calibri" w:hAnsi="Garamond" w:cs="Times New Roman"/>
          <w:vertAlign w:val="superscript"/>
        </w:rPr>
        <w:footnoteReference w:id="576"/>
      </w:r>
      <w:r w:rsidR="00162224" w:rsidRPr="003037D2">
        <w:rPr>
          <w:rFonts w:ascii="Garamond" w:eastAsia="Calibri" w:hAnsi="Garamond" w:cs="Times New Roman"/>
        </w:rPr>
        <w:t xml:space="preserve"> He believed that proportion between the poetic object and the mind was naturally pleasing to the reader, declaring, ‘this lovely </w:t>
      </w:r>
      <w:proofErr w:type="spellStart"/>
      <w:r w:rsidR="00162224" w:rsidRPr="003037D2">
        <w:rPr>
          <w:rFonts w:ascii="Garamond" w:eastAsia="Calibri" w:hAnsi="Garamond" w:cs="Times New Roman"/>
        </w:rPr>
        <w:t>conformitie</w:t>
      </w:r>
      <w:proofErr w:type="spellEnd"/>
      <w:r w:rsidR="00162224" w:rsidRPr="003037D2">
        <w:rPr>
          <w:rFonts w:ascii="Garamond" w:eastAsia="Calibri" w:hAnsi="Garamond" w:cs="Times New Roman"/>
        </w:rPr>
        <w:t xml:space="preserve">, or proportion, or </w:t>
      </w:r>
      <w:proofErr w:type="spellStart"/>
      <w:r w:rsidR="00162224" w:rsidRPr="003037D2">
        <w:rPr>
          <w:rFonts w:ascii="Garamond" w:eastAsia="Calibri" w:hAnsi="Garamond" w:cs="Times New Roman"/>
        </w:rPr>
        <w:t>conveniencie</w:t>
      </w:r>
      <w:proofErr w:type="spellEnd"/>
      <w:r w:rsidR="00162224" w:rsidRPr="003037D2">
        <w:rPr>
          <w:rFonts w:ascii="Garamond" w:eastAsia="Calibri" w:hAnsi="Garamond" w:cs="Times New Roman"/>
        </w:rPr>
        <w:t xml:space="preserve"> between the sense and the sensible hath nature </w:t>
      </w:r>
      <w:proofErr w:type="spellStart"/>
      <w:r w:rsidR="00162224" w:rsidRPr="003037D2">
        <w:rPr>
          <w:rFonts w:ascii="Garamond" w:eastAsia="Calibri" w:hAnsi="Garamond" w:cs="Times New Roman"/>
        </w:rPr>
        <w:t>herselfe</w:t>
      </w:r>
      <w:proofErr w:type="spellEnd"/>
      <w:r w:rsidR="00162224" w:rsidRPr="003037D2">
        <w:rPr>
          <w:rFonts w:ascii="Garamond" w:eastAsia="Calibri" w:hAnsi="Garamond" w:cs="Times New Roman"/>
        </w:rPr>
        <w:t xml:space="preserve"> first most carefully observed in all her own works’.</w:t>
      </w:r>
      <w:r w:rsidR="00162224" w:rsidRPr="003037D2">
        <w:rPr>
          <w:rFonts w:ascii="Garamond" w:eastAsia="Calibri" w:hAnsi="Garamond" w:cs="Times New Roman"/>
          <w:vertAlign w:val="superscript"/>
        </w:rPr>
        <w:footnoteReference w:id="577"/>
      </w:r>
      <w:r w:rsidR="00162224" w:rsidRPr="003037D2">
        <w:rPr>
          <w:rFonts w:ascii="Garamond" w:eastAsia="Calibri" w:hAnsi="Garamond" w:cs="Times New Roman"/>
        </w:rPr>
        <w:t xml:space="preserve"> </w:t>
      </w:r>
      <w:proofErr w:type="spellStart"/>
      <w:r w:rsidR="00162224" w:rsidRPr="003037D2">
        <w:rPr>
          <w:rFonts w:ascii="Garamond" w:eastAsia="Calibri" w:hAnsi="Garamond" w:cs="Times New Roman"/>
        </w:rPr>
        <w:t>Puttenham</w:t>
      </w:r>
      <w:proofErr w:type="spellEnd"/>
      <w:r w:rsidR="00162224" w:rsidRPr="003037D2">
        <w:rPr>
          <w:rFonts w:ascii="Garamond" w:eastAsia="Calibri" w:hAnsi="Garamond" w:cs="Times New Roman"/>
        </w:rPr>
        <w:t xml:space="preserve"> gave several visual examples of the various forms these ‘Geometrical Figures’ could take, including ‘The </w:t>
      </w:r>
      <w:proofErr w:type="spellStart"/>
      <w:r w:rsidR="00162224" w:rsidRPr="003037D2">
        <w:rPr>
          <w:rFonts w:ascii="Garamond" w:eastAsia="Calibri" w:hAnsi="Garamond" w:cs="Times New Roman"/>
        </w:rPr>
        <w:t>Lozange</w:t>
      </w:r>
      <w:proofErr w:type="spellEnd"/>
      <w:r w:rsidR="00162224" w:rsidRPr="003037D2">
        <w:rPr>
          <w:rFonts w:ascii="Garamond" w:eastAsia="Calibri" w:hAnsi="Garamond" w:cs="Times New Roman"/>
        </w:rPr>
        <w:t xml:space="preserve">, The </w:t>
      </w:r>
      <w:proofErr w:type="spellStart"/>
      <w:r w:rsidR="00162224" w:rsidRPr="003037D2">
        <w:rPr>
          <w:rFonts w:ascii="Garamond" w:eastAsia="Calibri" w:hAnsi="Garamond" w:cs="Times New Roman"/>
        </w:rPr>
        <w:t>Fuzie</w:t>
      </w:r>
      <w:proofErr w:type="spellEnd"/>
      <w:r w:rsidR="00162224" w:rsidRPr="003037D2">
        <w:rPr>
          <w:rFonts w:ascii="Garamond" w:eastAsia="Calibri" w:hAnsi="Garamond" w:cs="Times New Roman"/>
        </w:rPr>
        <w:t xml:space="preserve"> or spindle… The </w:t>
      </w:r>
      <w:proofErr w:type="spellStart"/>
      <w:r w:rsidR="00162224" w:rsidRPr="003037D2">
        <w:rPr>
          <w:rFonts w:ascii="Garamond" w:eastAsia="Calibri" w:hAnsi="Garamond" w:cs="Times New Roman"/>
        </w:rPr>
        <w:t>Tricque</w:t>
      </w:r>
      <w:r w:rsidR="008F16FC">
        <w:rPr>
          <w:rFonts w:ascii="Garamond" w:eastAsia="Calibri" w:hAnsi="Garamond" w:cs="Times New Roman"/>
        </w:rPr>
        <w:t>t</w:t>
      </w:r>
      <w:proofErr w:type="spellEnd"/>
      <w:r w:rsidR="00162224" w:rsidRPr="003037D2">
        <w:rPr>
          <w:rFonts w:ascii="Garamond" w:eastAsia="Calibri" w:hAnsi="Garamond" w:cs="Times New Roman"/>
        </w:rPr>
        <w:t xml:space="preserve"> displayed… [and] The </w:t>
      </w:r>
      <w:proofErr w:type="spellStart"/>
      <w:r w:rsidR="00162224" w:rsidRPr="003037D2">
        <w:rPr>
          <w:rFonts w:ascii="Garamond" w:eastAsia="Calibri" w:hAnsi="Garamond" w:cs="Times New Roman"/>
        </w:rPr>
        <w:t>Lozange</w:t>
      </w:r>
      <w:proofErr w:type="spellEnd"/>
      <w:r w:rsidR="00162224" w:rsidRPr="003037D2">
        <w:rPr>
          <w:rFonts w:ascii="Garamond" w:eastAsia="Calibri" w:hAnsi="Garamond" w:cs="Times New Roman"/>
        </w:rPr>
        <w:t xml:space="preserve"> </w:t>
      </w:r>
      <w:proofErr w:type="spellStart"/>
      <w:r w:rsidR="00162224" w:rsidRPr="003037D2">
        <w:rPr>
          <w:rFonts w:ascii="Garamond" w:eastAsia="Calibri" w:hAnsi="Garamond" w:cs="Times New Roman"/>
        </w:rPr>
        <w:t>rabbated</w:t>
      </w:r>
      <w:proofErr w:type="spellEnd"/>
      <w:r w:rsidR="008F16FC">
        <w:rPr>
          <w:rFonts w:ascii="Garamond" w:eastAsia="Calibri" w:hAnsi="Garamond" w:cs="Times New Roman"/>
        </w:rPr>
        <w:t>’</w:t>
      </w:r>
      <w:r w:rsidR="00162224" w:rsidRPr="003037D2">
        <w:rPr>
          <w:rFonts w:ascii="Garamond" w:eastAsia="Calibri" w:hAnsi="Garamond" w:cs="Times New Roman"/>
        </w:rPr>
        <w:t xml:space="preserve">, and noted that ‘The </w:t>
      </w:r>
      <w:proofErr w:type="spellStart"/>
      <w:r w:rsidR="00162224" w:rsidRPr="003037D2">
        <w:rPr>
          <w:rFonts w:ascii="Garamond" w:eastAsia="Calibri" w:hAnsi="Garamond" w:cs="Times New Roman"/>
          <w:i/>
        </w:rPr>
        <w:t>Lozange</w:t>
      </w:r>
      <w:proofErr w:type="spellEnd"/>
      <w:r w:rsidR="00162224" w:rsidRPr="003037D2">
        <w:rPr>
          <w:rFonts w:ascii="Garamond" w:eastAsia="Calibri" w:hAnsi="Garamond" w:cs="Times New Roman"/>
          <w:i/>
        </w:rPr>
        <w:t xml:space="preserve"> </w:t>
      </w:r>
      <w:r w:rsidR="00162224" w:rsidRPr="003037D2">
        <w:rPr>
          <w:rFonts w:ascii="Garamond" w:eastAsia="Calibri" w:hAnsi="Garamond" w:cs="Times New Roman"/>
        </w:rPr>
        <w:t>is the most beautiful figure’.</w:t>
      </w:r>
      <w:r w:rsidR="00162224" w:rsidRPr="003037D2">
        <w:rPr>
          <w:rFonts w:ascii="Garamond" w:eastAsia="Calibri" w:hAnsi="Garamond" w:cs="Times New Roman"/>
          <w:vertAlign w:val="superscript"/>
        </w:rPr>
        <w:footnoteReference w:id="578"/>
      </w:r>
      <w:r w:rsidR="00162224" w:rsidRPr="003037D2">
        <w:rPr>
          <w:rFonts w:ascii="Garamond" w:eastAsia="Calibri" w:hAnsi="Garamond" w:cs="Times New Roman"/>
        </w:rPr>
        <w:t xml:space="preserve"> (See </w:t>
      </w:r>
      <w:r w:rsidR="00162224" w:rsidRPr="003037D2">
        <w:rPr>
          <w:rFonts w:ascii="Garamond" w:eastAsia="Calibri" w:hAnsi="Garamond" w:cs="Times New Roman"/>
        </w:rPr>
        <w:fldChar w:fldCharType="begin"/>
      </w:r>
      <w:r w:rsidR="00162224" w:rsidRPr="003037D2">
        <w:rPr>
          <w:rFonts w:ascii="Garamond" w:eastAsia="Calibri" w:hAnsi="Garamond" w:cs="Times New Roman"/>
        </w:rPr>
        <w:instrText xml:space="preserve"> REF _Ref506992201 \h  \* MERGEFORMAT </w:instrText>
      </w:r>
      <w:r w:rsidR="00162224" w:rsidRPr="003037D2">
        <w:rPr>
          <w:rFonts w:ascii="Garamond" w:eastAsia="Calibri" w:hAnsi="Garamond" w:cs="Times New Roman"/>
        </w:rPr>
      </w:r>
      <w:r w:rsidR="00162224"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37</w:t>
      </w:r>
      <w:r w:rsidR="00162224" w:rsidRPr="003037D2">
        <w:rPr>
          <w:rFonts w:ascii="Garamond" w:eastAsia="Calibri" w:hAnsi="Garamond" w:cs="Times New Roman"/>
        </w:rPr>
        <w:fldChar w:fldCharType="end"/>
      </w:r>
      <w:r w:rsidR="00ED0F4C">
        <w:rPr>
          <w:rFonts w:ascii="Garamond" w:eastAsia="Calibri" w:hAnsi="Garamond" w:cs="Times New Roman"/>
        </w:rPr>
        <w:t>.</w:t>
      </w:r>
      <w:r w:rsidR="00162224" w:rsidRPr="003037D2">
        <w:rPr>
          <w:rFonts w:ascii="Garamond" w:eastAsia="Calibri" w:hAnsi="Garamond" w:cs="Times New Roman"/>
        </w:rPr>
        <w:t xml:space="preserve">) He suggests that these forms are currently ‘nothing pleasant to an English </w:t>
      </w:r>
      <w:proofErr w:type="spellStart"/>
      <w:r w:rsidR="00162224" w:rsidRPr="003037D2">
        <w:rPr>
          <w:rFonts w:ascii="Garamond" w:eastAsia="Calibri" w:hAnsi="Garamond" w:cs="Times New Roman"/>
        </w:rPr>
        <w:t>eare</w:t>
      </w:r>
      <w:proofErr w:type="spellEnd"/>
      <w:r w:rsidR="00162224" w:rsidRPr="003037D2">
        <w:rPr>
          <w:rFonts w:ascii="Garamond" w:eastAsia="Calibri" w:hAnsi="Garamond" w:cs="Times New Roman"/>
        </w:rPr>
        <w:t>, but time and usage will make them acceptable enough, as it doth in all other new guises’.</w:t>
      </w:r>
      <w:r w:rsidR="00162224" w:rsidRPr="003037D2">
        <w:rPr>
          <w:rFonts w:ascii="Garamond" w:eastAsia="Calibri" w:hAnsi="Garamond" w:cs="Times New Roman"/>
          <w:vertAlign w:val="superscript"/>
        </w:rPr>
        <w:footnoteReference w:id="579"/>
      </w:r>
      <w:r w:rsidR="00162224" w:rsidRPr="003037D2">
        <w:rPr>
          <w:rFonts w:ascii="Garamond" w:eastAsia="Calibri" w:hAnsi="Garamond" w:cs="Times New Roman"/>
        </w:rPr>
        <w:t xml:space="preserve"> </w:t>
      </w:r>
      <w:r w:rsidR="00505362" w:rsidRPr="003037D2">
        <w:rPr>
          <w:rFonts w:ascii="Garamond" w:eastAsia="Calibri" w:hAnsi="Garamond" w:cs="Times New Roman"/>
        </w:rPr>
        <w:t xml:space="preserve">In a recent article, </w:t>
      </w:r>
      <w:r w:rsidR="00505362" w:rsidRPr="003037D2">
        <w:rPr>
          <w:rFonts w:ascii="Garamond" w:hAnsi="Garamond"/>
        </w:rPr>
        <w:t>Berta Cano-</w:t>
      </w:r>
      <w:proofErr w:type="spellStart"/>
      <w:r w:rsidR="00505362" w:rsidRPr="003037D2">
        <w:rPr>
          <w:rFonts w:ascii="Garamond" w:hAnsi="Garamond"/>
        </w:rPr>
        <w:t>Echevarría</w:t>
      </w:r>
      <w:proofErr w:type="spellEnd"/>
      <w:r w:rsidR="00505362" w:rsidRPr="003037D2">
        <w:rPr>
          <w:rFonts w:ascii="Garamond" w:eastAsia="Calibri" w:hAnsi="Garamond" w:cs="Times New Roman"/>
        </w:rPr>
        <w:t xml:space="preserve"> hypothesizes that </w:t>
      </w:r>
      <w:proofErr w:type="spellStart"/>
      <w:r w:rsidR="00505362" w:rsidRPr="003037D2">
        <w:rPr>
          <w:rFonts w:ascii="Garamond" w:eastAsia="Calibri" w:hAnsi="Garamond" w:cs="Times New Roman"/>
        </w:rPr>
        <w:t>Puttenham</w:t>
      </w:r>
      <w:proofErr w:type="spellEnd"/>
      <w:r w:rsidR="00505362" w:rsidRPr="003037D2">
        <w:rPr>
          <w:rFonts w:ascii="Garamond" w:eastAsia="Calibri" w:hAnsi="Garamond" w:cs="Times New Roman"/>
        </w:rPr>
        <w:t xml:space="preserve"> may well have had sight of Willes’s </w:t>
      </w:r>
      <w:proofErr w:type="spellStart"/>
      <w:r w:rsidR="00505362" w:rsidRPr="003037D2">
        <w:rPr>
          <w:rFonts w:ascii="Garamond" w:eastAsia="Calibri" w:hAnsi="Garamond" w:cs="Times New Roman"/>
          <w:i/>
        </w:rPr>
        <w:t>Poematum</w:t>
      </w:r>
      <w:proofErr w:type="spellEnd"/>
      <w:r w:rsidR="00505362" w:rsidRPr="003037D2">
        <w:rPr>
          <w:rFonts w:ascii="Garamond" w:eastAsia="Calibri" w:hAnsi="Garamond" w:cs="Times New Roman"/>
          <w:i/>
        </w:rPr>
        <w:t xml:space="preserve"> Liber </w:t>
      </w:r>
      <w:r w:rsidR="00505362" w:rsidRPr="003037D2">
        <w:rPr>
          <w:rFonts w:ascii="Garamond" w:eastAsia="Calibri" w:hAnsi="Garamond" w:cs="Times New Roman"/>
        </w:rPr>
        <w:t xml:space="preserve">before composing this section of </w:t>
      </w:r>
      <w:r w:rsidR="00505362" w:rsidRPr="003037D2">
        <w:rPr>
          <w:rFonts w:ascii="Garamond" w:eastAsia="Calibri" w:hAnsi="Garamond" w:cs="Times New Roman"/>
          <w:i/>
        </w:rPr>
        <w:t xml:space="preserve">The Art, </w:t>
      </w:r>
      <w:r w:rsidR="00505362" w:rsidRPr="003037D2">
        <w:rPr>
          <w:rFonts w:ascii="Garamond" w:eastAsia="Calibri" w:hAnsi="Garamond" w:cs="Times New Roman"/>
        </w:rPr>
        <w:t>which dates from the late 1580s.</w:t>
      </w:r>
      <w:r w:rsidR="00505362" w:rsidRPr="003037D2">
        <w:rPr>
          <w:rStyle w:val="FootnoteReference"/>
          <w:rFonts w:ascii="Garamond" w:eastAsia="Calibri" w:hAnsi="Garamond" w:cs="Times New Roman"/>
        </w:rPr>
        <w:footnoteReference w:id="580"/>
      </w:r>
      <w:r w:rsidR="00505362" w:rsidRPr="003037D2">
        <w:rPr>
          <w:rFonts w:ascii="Garamond" w:eastAsia="Calibri" w:hAnsi="Garamond" w:cs="Times New Roman"/>
        </w:rPr>
        <w:t xml:space="preserve"> However, </w:t>
      </w:r>
      <w:proofErr w:type="spellStart"/>
      <w:r w:rsidR="00505362" w:rsidRPr="003037D2">
        <w:rPr>
          <w:rFonts w:ascii="Garamond" w:eastAsia="Calibri" w:hAnsi="Garamond" w:cs="Times New Roman"/>
        </w:rPr>
        <w:t>Puttenham</w:t>
      </w:r>
      <w:proofErr w:type="spellEnd"/>
      <w:r w:rsidR="00505362" w:rsidRPr="003037D2">
        <w:rPr>
          <w:rFonts w:ascii="Garamond" w:eastAsia="Calibri" w:hAnsi="Garamond" w:cs="Times New Roman"/>
        </w:rPr>
        <w:t xml:space="preserve"> ignores the developing awareness of pattern poetry in England, instead positioning himself as bringing something entirely new to the field. In his history, </w:t>
      </w:r>
      <w:r w:rsidR="00BF285A" w:rsidRPr="003037D2">
        <w:rPr>
          <w:rFonts w:ascii="Garamond" w:eastAsia="Calibri" w:hAnsi="Garamond" w:cs="Times New Roman"/>
        </w:rPr>
        <w:t>the lineage of the pattern poem is traced back to ‘</w:t>
      </w:r>
      <w:proofErr w:type="spellStart"/>
      <w:r w:rsidR="00BF285A" w:rsidRPr="003037D2">
        <w:rPr>
          <w:rFonts w:ascii="Garamond" w:eastAsia="Calibri" w:hAnsi="Garamond" w:cs="Times New Roman"/>
        </w:rPr>
        <w:t>Orientall</w:t>
      </w:r>
      <w:proofErr w:type="spellEnd"/>
      <w:r w:rsidR="00BF285A" w:rsidRPr="003037D2">
        <w:rPr>
          <w:rFonts w:ascii="Garamond" w:eastAsia="Calibri" w:hAnsi="Garamond" w:cs="Times New Roman"/>
        </w:rPr>
        <w:t>’ origins,</w:t>
      </w:r>
      <w:r w:rsidR="00505362" w:rsidRPr="003037D2">
        <w:rPr>
          <w:rFonts w:ascii="Garamond" w:eastAsia="Calibri" w:hAnsi="Garamond" w:cs="Times New Roman"/>
        </w:rPr>
        <w:t xml:space="preserve"> denying the connection between the ‘Geometrical Figures’ and the Greco-Latin tradition. </w:t>
      </w:r>
      <w:proofErr w:type="spellStart"/>
      <w:r w:rsidR="00505362" w:rsidRPr="003037D2">
        <w:rPr>
          <w:rFonts w:ascii="Garamond" w:eastAsia="Calibri" w:hAnsi="Garamond" w:cs="Times New Roman"/>
        </w:rPr>
        <w:t>Puttenham</w:t>
      </w:r>
      <w:proofErr w:type="spellEnd"/>
      <w:r w:rsidR="00505362" w:rsidRPr="003037D2">
        <w:rPr>
          <w:rFonts w:ascii="Garamond" w:eastAsia="Calibri" w:hAnsi="Garamond" w:cs="Times New Roman"/>
        </w:rPr>
        <w:t xml:space="preserve"> claims to have met a </w:t>
      </w:r>
      <w:proofErr w:type="spellStart"/>
      <w:r w:rsidR="00505362" w:rsidRPr="003037D2">
        <w:rPr>
          <w:rFonts w:ascii="Garamond" w:eastAsia="Calibri" w:hAnsi="Garamond" w:cs="Times New Roman"/>
        </w:rPr>
        <w:t>a</w:t>
      </w:r>
      <w:proofErr w:type="spellEnd"/>
      <w:r w:rsidR="00505362" w:rsidRPr="003037D2">
        <w:rPr>
          <w:rFonts w:ascii="Garamond" w:eastAsia="Calibri" w:hAnsi="Garamond" w:cs="Times New Roman"/>
        </w:rPr>
        <w:t xml:space="preserve"> traveler in Italy, who has ‘</w:t>
      </w:r>
      <w:proofErr w:type="spellStart"/>
      <w:r w:rsidR="00505362" w:rsidRPr="003037D2">
        <w:rPr>
          <w:rFonts w:ascii="Garamond" w:eastAsia="Calibri" w:hAnsi="Garamond" w:cs="Times New Roman"/>
        </w:rPr>
        <w:t>seene</w:t>
      </w:r>
      <w:proofErr w:type="spellEnd"/>
      <w:r w:rsidR="00505362" w:rsidRPr="003037D2">
        <w:rPr>
          <w:rFonts w:ascii="Garamond" w:eastAsia="Calibri" w:hAnsi="Garamond" w:cs="Times New Roman"/>
        </w:rPr>
        <w:t xml:space="preserve"> the courts of the great princes of China and </w:t>
      </w:r>
      <w:proofErr w:type="spellStart"/>
      <w:r w:rsidR="00505362" w:rsidRPr="003037D2">
        <w:rPr>
          <w:rFonts w:ascii="Garamond" w:eastAsia="Calibri" w:hAnsi="Garamond" w:cs="Times New Roman"/>
        </w:rPr>
        <w:t>Tartarie</w:t>
      </w:r>
      <w:proofErr w:type="spellEnd"/>
      <w:r w:rsidR="00505362" w:rsidRPr="003037D2">
        <w:rPr>
          <w:rFonts w:ascii="Garamond" w:eastAsia="Calibri" w:hAnsi="Garamond" w:cs="Times New Roman"/>
        </w:rPr>
        <w:t xml:space="preserve">’ and tells him: </w:t>
      </w:r>
    </w:p>
    <w:p w14:paraId="3F2C432C" w14:textId="60A548CD" w:rsidR="00505362" w:rsidRDefault="00505362" w:rsidP="00505362">
      <w:pPr>
        <w:ind w:left="737" w:right="737"/>
        <w:rPr>
          <w:rFonts w:ascii="Garamond" w:hAnsi="Garamond"/>
        </w:rPr>
      </w:pPr>
      <w:r w:rsidRPr="003037D2">
        <w:rPr>
          <w:rFonts w:ascii="Garamond" w:hAnsi="Garamond"/>
        </w:rPr>
        <w:t xml:space="preserve">that they are in all the </w:t>
      </w:r>
      <w:proofErr w:type="spellStart"/>
      <w:r w:rsidRPr="003037D2">
        <w:rPr>
          <w:rFonts w:ascii="Garamond" w:hAnsi="Garamond"/>
        </w:rPr>
        <w:t>inuentions</w:t>
      </w:r>
      <w:proofErr w:type="spellEnd"/>
      <w:r w:rsidRPr="003037D2">
        <w:rPr>
          <w:rFonts w:ascii="Garamond" w:hAnsi="Garamond"/>
        </w:rPr>
        <w:t xml:space="preserve"> most </w:t>
      </w:r>
      <w:proofErr w:type="spellStart"/>
      <w:r w:rsidRPr="003037D2">
        <w:rPr>
          <w:rFonts w:ascii="Garamond" w:hAnsi="Garamond"/>
        </w:rPr>
        <w:t>wittie</w:t>
      </w:r>
      <w:proofErr w:type="spellEnd"/>
      <w:r w:rsidRPr="003037D2">
        <w:rPr>
          <w:rFonts w:ascii="Garamond" w:hAnsi="Garamond"/>
        </w:rPr>
        <w:t xml:space="preserve">, and have the </w:t>
      </w:r>
      <w:proofErr w:type="spellStart"/>
      <w:r w:rsidRPr="003037D2">
        <w:rPr>
          <w:rFonts w:ascii="Garamond" w:hAnsi="Garamond"/>
        </w:rPr>
        <w:t>vse</w:t>
      </w:r>
      <w:proofErr w:type="spellEnd"/>
      <w:r w:rsidRPr="003037D2">
        <w:rPr>
          <w:rFonts w:ascii="Garamond" w:hAnsi="Garamond"/>
        </w:rPr>
        <w:t xml:space="preserve"> of </w:t>
      </w:r>
      <w:proofErr w:type="spellStart"/>
      <w:r w:rsidRPr="003037D2">
        <w:rPr>
          <w:rFonts w:ascii="Garamond" w:hAnsi="Garamond"/>
        </w:rPr>
        <w:t>Poesie</w:t>
      </w:r>
      <w:proofErr w:type="spellEnd"/>
      <w:r w:rsidRPr="003037D2">
        <w:rPr>
          <w:rFonts w:ascii="Garamond" w:hAnsi="Garamond"/>
        </w:rPr>
        <w:t xml:space="preserve"> or riming, but do not delight so much as we do in long tedious descriptions, and therefore when they will </w:t>
      </w:r>
      <w:proofErr w:type="spellStart"/>
      <w:r w:rsidRPr="003037D2">
        <w:rPr>
          <w:rFonts w:ascii="Garamond" w:hAnsi="Garamond"/>
        </w:rPr>
        <w:t>vtter</w:t>
      </w:r>
      <w:proofErr w:type="spellEnd"/>
      <w:r w:rsidRPr="003037D2">
        <w:rPr>
          <w:rFonts w:ascii="Garamond" w:hAnsi="Garamond"/>
        </w:rPr>
        <w:t xml:space="preserve"> any </w:t>
      </w:r>
      <w:proofErr w:type="spellStart"/>
      <w:r w:rsidRPr="003037D2">
        <w:rPr>
          <w:rFonts w:ascii="Garamond" w:hAnsi="Garamond"/>
        </w:rPr>
        <w:t>pretie</w:t>
      </w:r>
      <w:proofErr w:type="spellEnd"/>
      <w:r w:rsidRPr="003037D2">
        <w:rPr>
          <w:rFonts w:ascii="Garamond" w:hAnsi="Garamond"/>
        </w:rPr>
        <w:t xml:space="preserve"> conceit, they reduce it into </w:t>
      </w:r>
      <w:proofErr w:type="spellStart"/>
      <w:r w:rsidRPr="003037D2">
        <w:rPr>
          <w:rFonts w:ascii="Garamond" w:hAnsi="Garamond"/>
        </w:rPr>
        <w:t>metricall</w:t>
      </w:r>
      <w:proofErr w:type="spellEnd"/>
      <w:r w:rsidRPr="003037D2">
        <w:rPr>
          <w:rFonts w:ascii="Garamond" w:hAnsi="Garamond"/>
        </w:rPr>
        <w:t xml:space="preserve"> feet, and put it in </w:t>
      </w:r>
      <w:proofErr w:type="spellStart"/>
      <w:r w:rsidRPr="003037D2">
        <w:rPr>
          <w:rFonts w:ascii="Garamond" w:hAnsi="Garamond"/>
        </w:rPr>
        <w:t>forme</w:t>
      </w:r>
      <w:proofErr w:type="spellEnd"/>
      <w:r w:rsidRPr="003037D2">
        <w:rPr>
          <w:rFonts w:ascii="Garamond" w:hAnsi="Garamond"/>
        </w:rPr>
        <w:t xml:space="preserve"> of a </w:t>
      </w:r>
      <w:proofErr w:type="spellStart"/>
      <w:r w:rsidRPr="003037D2">
        <w:rPr>
          <w:rFonts w:ascii="Garamond" w:hAnsi="Garamond"/>
        </w:rPr>
        <w:t>Lozange</w:t>
      </w:r>
      <w:proofErr w:type="spellEnd"/>
      <w:r w:rsidRPr="003037D2">
        <w:rPr>
          <w:rFonts w:ascii="Garamond" w:hAnsi="Garamond"/>
        </w:rPr>
        <w:t xml:space="preserve"> or square, or such other figure, and so </w:t>
      </w:r>
      <w:proofErr w:type="spellStart"/>
      <w:r w:rsidRPr="003037D2">
        <w:rPr>
          <w:rFonts w:ascii="Garamond" w:hAnsi="Garamond"/>
        </w:rPr>
        <w:t>engrauen</w:t>
      </w:r>
      <w:proofErr w:type="spellEnd"/>
      <w:r w:rsidRPr="003037D2">
        <w:rPr>
          <w:rFonts w:ascii="Garamond" w:hAnsi="Garamond"/>
        </w:rPr>
        <w:t xml:space="preserve"> in gold, </w:t>
      </w:r>
      <w:proofErr w:type="spellStart"/>
      <w:r w:rsidRPr="003037D2">
        <w:rPr>
          <w:rFonts w:ascii="Garamond" w:hAnsi="Garamond"/>
        </w:rPr>
        <w:t>siluer</w:t>
      </w:r>
      <w:proofErr w:type="spellEnd"/>
      <w:r w:rsidRPr="003037D2">
        <w:rPr>
          <w:rFonts w:ascii="Garamond" w:hAnsi="Garamond"/>
        </w:rPr>
        <w:t xml:space="preserve"> or </w:t>
      </w:r>
      <w:proofErr w:type="spellStart"/>
      <w:r w:rsidRPr="003037D2">
        <w:rPr>
          <w:rFonts w:ascii="Garamond" w:hAnsi="Garamond"/>
        </w:rPr>
        <w:t>iuorie</w:t>
      </w:r>
      <w:proofErr w:type="spellEnd"/>
      <w:r w:rsidRPr="003037D2">
        <w:rPr>
          <w:rFonts w:ascii="Garamond" w:hAnsi="Garamond"/>
        </w:rPr>
        <w:t xml:space="preserve">, and sometimes with letters of </w:t>
      </w:r>
      <w:proofErr w:type="spellStart"/>
      <w:r w:rsidRPr="003037D2">
        <w:rPr>
          <w:rFonts w:ascii="Garamond" w:hAnsi="Garamond"/>
        </w:rPr>
        <w:t>ametist</w:t>
      </w:r>
      <w:proofErr w:type="spellEnd"/>
      <w:r w:rsidRPr="003037D2">
        <w:rPr>
          <w:rFonts w:ascii="Garamond" w:hAnsi="Garamond"/>
        </w:rPr>
        <w:t xml:space="preserve">, </w:t>
      </w:r>
      <w:proofErr w:type="spellStart"/>
      <w:r w:rsidRPr="003037D2">
        <w:rPr>
          <w:rFonts w:ascii="Garamond" w:hAnsi="Garamond"/>
        </w:rPr>
        <w:t>rubie</w:t>
      </w:r>
      <w:proofErr w:type="spellEnd"/>
      <w:r w:rsidRPr="003037D2">
        <w:rPr>
          <w:rFonts w:ascii="Garamond" w:hAnsi="Garamond"/>
        </w:rPr>
        <w:t xml:space="preserve">, </w:t>
      </w:r>
      <w:proofErr w:type="spellStart"/>
      <w:r w:rsidRPr="003037D2">
        <w:rPr>
          <w:rFonts w:ascii="Garamond" w:hAnsi="Garamond"/>
        </w:rPr>
        <w:t>emeralde</w:t>
      </w:r>
      <w:proofErr w:type="spellEnd"/>
      <w:r w:rsidRPr="003037D2">
        <w:rPr>
          <w:rFonts w:ascii="Garamond" w:hAnsi="Garamond"/>
        </w:rPr>
        <w:t xml:space="preserve"> or </w:t>
      </w:r>
      <w:proofErr w:type="spellStart"/>
      <w:r w:rsidRPr="003037D2">
        <w:rPr>
          <w:rFonts w:ascii="Garamond" w:hAnsi="Garamond"/>
        </w:rPr>
        <w:t>topas</w:t>
      </w:r>
      <w:proofErr w:type="spellEnd"/>
      <w:r w:rsidRPr="003037D2">
        <w:rPr>
          <w:rFonts w:ascii="Garamond" w:hAnsi="Garamond"/>
        </w:rPr>
        <w:t xml:space="preserve"> </w:t>
      </w:r>
      <w:proofErr w:type="spellStart"/>
      <w:r w:rsidRPr="003037D2">
        <w:rPr>
          <w:rFonts w:ascii="Garamond" w:hAnsi="Garamond"/>
        </w:rPr>
        <w:t>curiousely</w:t>
      </w:r>
      <w:proofErr w:type="spellEnd"/>
      <w:r w:rsidRPr="003037D2">
        <w:rPr>
          <w:rFonts w:ascii="Garamond" w:hAnsi="Garamond"/>
        </w:rPr>
        <w:t xml:space="preserve"> </w:t>
      </w:r>
      <w:r w:rsidRPr="003037D2">
        <w:rPr>
          <w:rFonts w:ascii="Garamond" w:hAnsi="Garamond"/>
        </w:rPr>
        <w:lastRenderedPageBreak/>
        <w:t xml:space="preserve">cemented and </w:t>
      </w:r>
      <w:proofErr w:type="spellStart"/>
      <w:r w:rsidRPr="003037D2">
        <w:rPr>
          <w:rFonts w:ascii="Garamond" w:hAnsi="Garamond"/>
        </w:rPr>
        <w:t>peeced</w:t>
      </w:r>
      <w:proofErr w:type="spellEnd"/>
      <w:r w:rsidRPr="003037D2">
        <w:rPr>
          <w:rFonts w:ascii="Garamond" w:hAnsi="Garamond"/>
        </w:rPr>
        <w:t xml:space="preserve"> together, they </w:t>
      </w:r>
      <w:proofErr w:type="spellStart"/>
      <w:r w:rsidRPr="003037D2">
        <w:rPr>
          <w:rFonts w:ascii="Garamond" w:hAnsi="Garamond"/>
        </w:rPr>
        <w:t>sende</w:t>
      </w:r>
      <w:proofErr w:type="spellEnd"/>
      <w:r w:rsidRPr="003037D2">
        <w:rPr>
          <w:rFonts w:ascii="Garamond" w:hAnsi="Garamond"/>
        </w:rPr>
        <w:t xml:space="preserve"> them in </w:t>
      </w:r>
      <w:proofErr w:type="spellStart"/>
      <w:r w:rsidRPr="003037D2">
        <w:rPr>
          <w:rFonts w:ascii="Garamond" w:hAnsi="Garamond"/>
        </w:rPr>
        <w:t>chaines</w:t>
      </w:r>
      <w:proofErr w:type="spellEnd"/>
      <w:r w:rsidRPr="003037D2">
        <w:rPr>
          <w:rFonts w:ascii="Garamond" w:hAnsi="Garamond"/>
        </w:rPr>
        <w:t xml:space="preserve">, bracelets, collars and girdles to their mistresses to </w:t>
      </w:r>
      <w:proofErr w:type="spellStart"/>
      <w:r w:rsidRPr="003037D2">
        <w:rPr>
          <w:rFonts w:ascii="Garamond" w:hAnsi="Garamond"/>
        </w:rPr>
        <w:t>weare</w:t>
      </w:r>
      <w:proofErr w:type="spellEnd"/>
      <w:r w:rsidRPr="003037D2">
        <w:rPr>
          <w:rFonts w:ascii="Garamond" w:hAnsi="Garamond"/>
        </w:rPr>
        <w:t xml:space="preserve"> for a remembrance.</w:t>
      </w:r>
      <w:r w:rsidRPr="003037D2">
        <w:rPr>
          <w:rStyle w:val="FootnoteReference"/>
          <w:rFonts w:ascii="Garamond" w:hAnsi="Garamond"/>
        </w:rPr>
        <w:footnoteReference w:id="581"/>
      </w:r>
    </w:p>
    <w:p w14:paraId="3FE6CEFE" w14:textId="77777777" w:rsidR="00667CD5" w:rsidRPr="003037D2" w:rsidRDefault="00667CD5" w:rsidP="00505362">
      <w:pPr>
        <w:ind w:left="737" w:right="737"/>
        <w:rPr>
          <w:rFonts w:ascii="Garamond" w:eastAsia="Calibri" w:hAnsi="Garamond" w:cs="Times New Roman"/>
        </w:rPr>
      </w:pPr>
    </w:p>
    <w:p w14:paraId="40C0971F" w14:textId="0EF70207" w:rsidR="005B54D5" w:rsidRPr="003037D2" w:rsidRDefault="00505362" w:rsidP="00162224">
      <w:pPr>
        <w:spacing w:line="360" w:lineRule="auto"/>
        <w:rPr>
          <w:rFonts w:ascii="Garamond" w:eastAsia="Calibri" w:hAnsi="Garamond" w:cs="Times New Roman"/>
        </w:rPr>
      </w:pPr>
      <w:r w:rsidRPr="003037D2">
        <w:rPr>
          <w:rFonts w:ascii="Garamond" w:eastAsia="Calibri" w:hAnsi="Garamond" w:cs="Times New Roman"/>
        </w:rPr>
        <w:t xml:space="preserve">Whilst this encounter could seem plausible, </w:t>
      </w:r>
      <w:proofErr w:type="spellStart"/>
      <w:r w:rsidRPr="003037D2">
        <w:rPr>
          <w:rFonts w:ascii="Garamond" w:eastAsia="Calibri" w:hAnsi="Garamond" w:cs="Times New Roman"/>
        </w:rPr>
        <w:t>Puttenham</w:t>
      </w:r>
      <w:proofErr w:type="spellEnd"/>
      <w:r w:rsidRPr="003037D2">
        <w:rPr>
          <w:rFonts w:ascii="Garamond" w:eastAsia="Calibri" w:hAnsi="Garamond" w:cs="Times New Roman"/>
        </w:rPr>
        <w:t xml:space="preserve"> then claims to have ‘translated word for word and as </w:t>
      </w:r>
      <w:proofErr w:type="spellStart"/>
      <w:r w:rsidRPr="003037D2">
        <w:rPr>
          <w:rFonts w:ascii="Garamond" w:eastAsia="Calibri" w:hAnsi="Garamond" w:cs="Times New Roman"/>
        </w:rPr>
        <w:t>neere</w:t>
      </w:r>
      <w:proofErr w:type="spellEnd"/>
      <w:r w:rsidRPr="003037D2">
        <w:rPr>
          <w:rFonts w:ascii="Garamond" w:eastAsia="Calibri" w:hAnsi="Garamond" w:cs="Times New Roman"/>
        </w:rPr>
        <w:t xml:space="preserve"> as I could followed both the phrase and the figure, which is somewhat hard to </w:t>
      </w:r>
      <w:proofErr w:type="spellStart"/>
      <w:r w:rsidRPr="003037D2">
        <w:rPr>
          <w:rFonts w:ascii="Garamond" w:eastAsia="Calibri" w:hAnsi="Garamond" w:cs="Times New Roman"/>
        </w:rPr>
        <w:t>performe</w:t>
      </w:r>
      <w:proofErr w:type="spellEnd"/>
      <w:r w:rsidRPr="003037D2">
        <w:rPr>
          <w:rFonts w:ascii="Garamond" w:eastAsia="Calibri" w:hAnsi="Garamond" w:cs="Times New Roman"/>
        </w:rPr>
        <w:t>, because of the restraint of the figure’.</w:t>
      </w:r>
      <w:r w:rsidRPr="003037D2">
        <w:rPr>
          <w:rStyle w:val="FootnoteReference"/>
          <w:rFonts w:ascii="Garamond" w:eastAsia="Calibri" w:hAnsi="Garamond" w:cs="Times New Roman"/>
        </w:rPr>
        <w:footnoteReference w:id="582"/>
      </w:r>
      <w:r w:rsidRPr="003037D2">
        <w:rPr>
          <w:rFonts w:ascii="Garamond" w:eastAsia="Calibri" w:hAnsi="Garamond" w:cs="Times New Roman"/>
        </w:rPr>
        <w:t xml:space="preserve"> It seems unlikely, learned though he was, that </w:t>
      </w:r>
      <w:proofErr w:type="spellStart"/>
      <w:r w:rsidRPr="003037D2">
        <w:rPr>
          <w:rFonts w:ascii="Garamond" w:eastAsia="Calibri" w:hAnsi="Garamond" w:cs="Times New Roman"/>
        </w:rPr>
        <w:t>Puttenham</w:t>
      </w:r>
      <w:proofErr w:type="spellEnd"/>
      <w:r w:rsidRPr="003037D2">
        <w:rPr>
          <w:rFonts w:ascii="Garamond" w:eastAsia="Calibri" w:hAnsi="Garamond" w:cs="Times New Roman"/>
        </w:rPr>
        <w:t xml:space="preserve"> would have such a command of ‘oriental’ languages as to act as a translator. </w:t>
      </w:r>
      <w:r w:rsidRPr="003037D2">
        <w:rPr>
          <w:rFonts w:ascii="Garamond" w:hAnsi="Garamond"/>
        </w:rPr>
        <w:t>Cano-</w:t>
      </w:r>
      <w:proofErr w:type="spellStart"/>
      <w:r w:rsidRPr="003037D2">
        <w:rPr>
          <w:rFonts w:ascii="Garamond" w:hAnsi="Garamond"/>
        </w:rPr>
        <w:t>Echevarría</w:t>
      </w:r>
      <w:proofErr w:type="spellEnd"/>
      <w:r w:rsidRPr="003037D2">
        <w:rPr>
          <w:rFonts w:ascii="Garamond" w:hAnsi="Garamond"/>
        </w:rPr>
        <w:t xml:space="preserve"> argues that </w:t>
      </w:r>
      <w:proofErr w:type="spellStart"/>
      <w:r w:rsidRPr="003037D2">
        <w:rPr>
          <w:rFonts w:ascii="Garamond" w:hAnsi="Garamond"/>
        </w:rPr>
        <w:t>Puttenham’s</w:t>
      </w:r>
      <w:proofErr w:type="spellEnd"/>
      <w:r w:rsidRPr="003037D2">
        <w:rPr>
          <w:rFonts w:ascii="Garamond" w:hAnsi="Garamond"/>
        </w:rPr>
        <w:t xml:space="preserve"> most ‘influential contribution to pattern poetry’ was his nomenclature, which he describes ‘as if he were explaining a given model that had been transmitted to him with the explicit purpose of being passed on to future generations of English poets’. She suggests that ‘by providing shaped poems with a new, faked genealogy, </w:t>
      </w:r>
      <w:proofErr w:type="spellStart"/>
      <w:r w:rsidRPr="003037D2">
        <w:rPr>
          <w:rFonts w:ascii="Garamond" w:hAnsi="Garamond"/>
        </w:rPr>
        <w:t>Puttenham</w:t>
      </w:r>
      <w:proofErr w:type="spellEnd"/>
      <w:r w:rsidRPr="003037D2">
        <w:rPr>
          <w:rFonts w:ascii="Garamond" w:hAnsi="Garamond"/>
        </w:rPr>
        <w:t xml:space="preserve"> was proposing a rebirth of the patterned forms’ which could sidestep the censure that Willes had already received.</w:t>
      </w:r>
      <w:r w:rsidRPr="003037D2">
        <w:rPr>
          <w:rStyle w:val="FootnoteReference"/>
          <w:rFonts w:ascii="Garamond" w:hAnsi="Garamond"/>
        </w:rPr>
        <w:footnoteReference w:id="583"/>
      </w:r>
      <w:r w:rsidRPr="003037D2">
        <w:rPr>
          <w:rFonts w:ascii="Garamond" w:hAnsi="Garamond"/>
        </w:rPr>
        <w:t xml:space="preserve"> </w:t>
      </w:r>
    </w:p>
    <w:p w14:paraId="0EB25661" w14:textId="77777777" w:rsidR="00505362" w:rsidRPr="003037D2" w:rsidRDefault="00505362" w:rsidP="00162224">
      <w:pPr>
        <w:spacing w:line="360" w:lineRule="auto"/>
        <w:rPr>
          <w:rFonts w:ascii="Garamond" w:eastAsia="Calibri" w:hAnsi="Garamond" w:cs="Times New Roman"/>
        </w:rPr>
      </w:pPr>
    </w:p>
    <w:p w14:paraId="6DD0AC4C" w14:textId="096FDA32" w:rsidR="00635464" w:rsidRPr="003037D2" w:rsidRDefault="00162224" w:rsidP="00635464">
      <w:pPr>
        <w:spacing w:line="360" w:lineRule="auto"/>
        <w:ind w:firstLine="720"/>
        <w:rPr>
          <w:rFonts w:ascii="Garamond" w:eastAsia="Calibri" w:hAnsi="Garamond" w:cs="Times New Roman"/>
        </w:rPr>
      </w:pPr>
      <w:r w:rsidRPr="003037D2">
        <w:rPr>
          <w:rFonts w:ascii="Garamond" w:eastAsia="Calibri" w:hAnsi="Garamond" w:cs="Times New Roman"/>
        </w:rPr>
        <w:t xml:space="preserve">It would seem that (in </w:t>
      </w:r>
      <w:proofErr w:type="spellStart"/>
      <w:r w:rsidRPr="003037D2">
        <w:rPr>
          <w:rFonts w:ascii="Garamond" w:eastAsia="Calibri" w:hAnsi="Garamond" w:cs="Times New Roman"/>
        </w:rPr>
        <w:t>Puttenham’s</w:t>
      </w:r>
      <w:proofErr w:type="spellEnd"/>
      <w:r w:rsidRPr="003037D2">
        <w:rPr>
          <w:rFonts w:ascii="Garamond" w:eastAsia="Calibri" w:hAnsi="Garamond" w:cs="Times New Roman"/>
        </w:rPr>
        <w:t xml:space="preserve"> terms) the form never became </w:t>
      </w:r>
      <w:r w:rsidR="00BF285A" w:rsidRPr="003037D2">
        <w:rPr>
          <w:rFonts w:ascii="Garamond" w:eastAsia="Calibri" w:hAnsi="Garamond" w:cs="Times New Roman"/>
        </w:rPr>
        <w:t xml:space="preserve">fully </w:t>
      </w:r>
      <w:r w:rsidRPr="003037D2">
        <w:rPr>
          <w:rFonts w:ascii="Garamond" w:eastAsia="Calibri" w:hAnsi="Garamond" w:cs="Times New Roman"/>
        </w:rPr>
        <w:t>‘pleasant to [the] English ear’</w:t>
      </w:r>
      <w:r w:rsidR="00896124" w:rsidRPr="003037D2">
        <w:rPr>
          <w:rFonts w:ascii="Garamond" w:eastAsia="Calibri" w:hAnsi="Garamond" w:cs="Times New Roman"/>
        </w:rPr>
        <w:t xml:space="preserve">, as there are only limited examples to be found, dying out in popularity entirely by the </w:t>
      </w:r>
      <w:r w:rsidR="008F16FC">
        <w:rPr>
          <w:rFonts w:ascii="Garamond" w:eastAsia="Calibri" w:hAnsi="Garamond" w:cs="Times New Roman"/>
        </w:rPr>
        <w:t>eighteenth</w:t>
      </w:r>
      <w:r w:rsidR="00896124" w:rsidRPr="003037D2">
        <w:rPr>
          <w:rFonts w:ascii="Garamond" w:eastAsia="Calibri" w:hAnsi="Garamond" w:cs="Times New Roman"/>
        </w:rPr>
        <w:t xml:space="preserve"> century</w:t>
      </w:r>
      <w:r w:rsidRPr="003037D2">
        <w:rPr>
          <w:rFonts w:ascii="Garamond" w:eastAsia="Calibri" w:hAnsi="Garamond" w:cs="Times New Roman"/>
        </w:rPr>
        <w:t>.</w:t>
      </w:r>
      <w:r w:rsidR="00896124" w:rsidRPr="003037D2">
        <w:rPr>
          <w:rFonts w:ascii="Garamond" w:eastAsia="Calibri" w:hAnsi="Garamond" w:cs="Times New Roman"/>
        </w:rPr>
        <w:t xml:space="preserve"> This may be due to the media in which pattern poetry was written.</w:t>
      </w:r>
      <w:r w:rsidRPr="003037D2">
        <w:rPr>
          <w:rFonts w:ascii="Garamond" w:eastAsia="Calibri" w:hAnsi="Garamond" w:cs="Times New Roman"/>
        </w:rPr>
        <w:t xml:space="preserve"> Juliet Fleming has suggested that manuscript pattern poetry or ‘posy’ inscribed on objects and </w:t>
      </w:r>
      <w:proofErr w:type="spellStart"/>
      <w:r w:rsidRPr="003037D2">
        <w:rPr>
          <w:rFonts w:ascii="Garamond" w:eastAsia="Calibri" w:hAnsi="Garamond" w:cs="Times New Roman"/>
        </w:rPr>
        <w:t>jewellery</w:t>
      </w:r>
      <w:proofErr w:type="spellEnd"/>
      <w:r w:rsidRPr="003037D2">
        <w:rPr>
          <w:rFonts w:ascii="Garamond" w:eastAsia="Calibri" w:hAnsi="Garamond" w:cs="Times New Roman"/>
        </w:rPr>
        <w:t xml:space="preserve"> may have been disproportionately lost, as it the form was most suited to occasional verse.</w:t>
      </w:r>
      <w:r w:rsidRPr="003037D2">
        <w:rPr>
          <w:rFonts w:ascii="Garamond" w:eastAsia="Calibri" w:hAnsi="Garamond" w:cs="Times New Roman"/>
          <w:vertAlign w:val="superscript"/>
        </w:rPr>
        <w:footnoteReference w:id="584"/>
      </w:r>
      <w:r w:rsidRPr="003037D2">
        <w:rPr>
          <w:rFonts w:ascii="Garamond" w:eastAsia="Calibri" w:hAnsi="Garamond" w:cs="Times New Roman"/>
        </w:rPr>
        <w:t xml:space="preserve"> </w:t>
      </w:r>
      <w:r w:rsidR="00635464" w:rsidRPr="003037D2">
        <w:rPr>
          <w:rFonts w:ascii="Garamond" w:eastAsia="Calibri" w:hAnsi="Garamond" w:cs="Times New Roman"/>
        </w:rPr>
        <w:t xml:space="preserve">Thomas Watson brought the form into the vernacular with his ‘Sonnet LXXXI: A </w:t>
      </w:r>
      <w:proofErr w:type="spellStart"/>
      <w:r w:rsidR="00635464" w:rsidRPr="003037D2">
        <w:rPr>
          <w:rFonts w:ascii="Garamond" w:eastAsia="Calibri" w:hAnsi="Garamond" w:cs="Times New Roman"/>
        </w:rPr>
        <w:t>Pasquine</w:t>
      </w:r>
      <w:proofErr w:type="spellEnd"/>
      <w:r w:rsidR="00635464" w:rsidRPr="003037D2">
        <w:rPr>
          <w:rFonts w:ascii="Garamond" w:eastAsia="Calibri" w:hAnsi="Garamond" w:cs="Times New Roman"/>
        </w:rPr>
        <w:t xml:space="preserve"> Pillar erected in the despite of Love’ in </w:t>
      </w:r>
      <w:proofErr w:type="spellStart"/>
      <w:r w:rsidR="00635464" w:rsidRPr="003037D2">
        <w:rPr>
          <w:rFonts w:ascii="Garamond" w:eastAsia="Calibri" w:hAnsi="Garamond" w:cs="Times New Roman"/>
          <w:i/>
        </w:rPr>
        <w:t>Hekatompathia</w:t>
      </w:r>
      <w:proofErr w:type="spellEnd"/>
      <w:r w:rsidR="00635464" w:rsidRPr="003037D2">
        <w:rPr>
          <w:rFonts w:ascii="Garamond" w:eastAsia="Calibri" w:hAnsi="Garamond" w:cs="Times New Roman"/>
          <w:i/>
        </w:rPr>
        <w:t xml:space="preserve"> </w:t>
      </w:r>
      <w:r w:rsidR="00635464" w:rsidRPr="003037D2">
        <w:rPr>
          <w:rFonts w:ascii="Garamond" w:eastAsia="Calibri" w:hAnsi="Garamond" w:cs="Times New Roman"/>
        </w:rPr>
        <w:t>(1582), likely after coming into contact with Italian and French examples of the form after travelling in Europe. (</w:t>
      </w:r>
      <w:r w:rsidR="00635464" w:rsidRPr="003037D2">
        <w:rPr>
          <w:rFonts w:ascii="Garamond" w:eastAsia="Calibri" w:hAnsi="Garamond" w:cs="Times New Roman"/>
        </w:rPr>
        <w:fldChar w:fldCharType="begin"/>
      </w:r>
      <w:r w:rsidR="00635464" w:rsidRPr="003037D2">
        <w:rPr>
          <w:rFonts w:ascii="Garamond" w:eastAsia="Calibri" w:hAnsi="Garamond" w:cs="Times New Roman"/>
        </w:rPr>
        <w:instrText xml:space="preserve"> REF _Ref506993078 \h  \* MERGEFORMAT </w:instrText>
      </w:r>
      <w:r w:rsidR="00635464" w:rsidRPr="003037D2">
        <w:rPr>
          <w:rFonts w:ascii="Garamond" w:eastAsia="Calibri" w:hAnsi="Garamond" w:cs="Times New Roman"/>
        </w:rPr>
      </w:r>
      <w:r w:rsidR="00635464"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38</w:t>
      </w:r>
      <w:r w:rsidR="00635464" w:rsidRPr="003037D2">
        <w:rPr>
          <w:rFonts w:ascii="Garamond" w:eastAsia="Calibri" w:hAnsi="Garamond" w:cs="Times New Roman"/>
        </w:rPr>
        <w:fldChar w:fldCharType="end"/>
      </w:r>
      <w:r w:rsidR="00635464" w:rsidRPr="003037D2">
        <w:rPr>
          <w:rFonts w:ascii="Garamond" w:eastAsia="Calibri" w:hAnsi="Garamond" w:cs="Times New Roman"/>
        </w:rPr>
        <w:t xml:space="preserve">) Watson prefaces his sonnet with a third person introduction, guiding his reader in how to approach it, and boasting of the effort that has gone into producing it: </w:t>
      </w:r>
    </w:p>
    <w:p w14:paraId="796EC4C2" w14:textId="073063E2" w:rsidR="00635464" w:rsidRDefault="00635464" w:rsidP="00635464">
      <w:pPr>
        <w:ind w:left="737" w:right="737"/>
        <w:rPr>
          <w:rFonts w:ascii="Garamond" w:eastAsia="Calibri" w:hAnsi="Garamond" w:cs="Times New Roman"/>
          <w:lang w:val="en"/>
        </w:rPr>
      </w:pPr>
      <w:r w:rsidRPr="003037D2">
        <w:rPr>
          <w:rFonts w:ascii="Garamond" w:eastAsia="Calibri" w:hAnsi="Garamond" w:cs="Times New Roman"/>
          <w:lang w:val="en"/>
        </w:rPr>
        <w:t xml:space="preserve">all such as are of indifferent </w:t>
      </w:r>
      <w:proofErr w:type="spellStart"/>
      <w:r w:rsidRPr="003037D2">
        <w:rPr>
          <w:rFonts w:ascii="Garamond" w:eastAsia="Calibri" w:hAnsi="Garamond" w:cs="Times New Roman"/>
          <w:lang w:val="en"/>
        </w:rPr>
        <w:t>capacitie</w:t>
      </w:r>
      <w:proofErr w:type="spellEnd"/>
      <w:r w:rsidRPr="003037D2">
        <w:rPr>
          <w:rFonts w:ascii="Garamond" w:eastAsia="Calibri" w:hAnsi="Garamond" w:cs="Times New Roman"/>
          <w:lang w:val="en"/>
        </w:rPr>
        <w:t xml:space="preserve">, and have some </w:t>
      </w:r>
      <w:proofErr w:type="spellStart"/>
      <w:r w:rsidRPr="003037D2">
        <w:rPr>
          <w:rFonts w:ascii="Garamond" w:eastAsia="Calibri" w:hAnsi="Garamond" w:cs="Times New Roman"/>
          <w:lang w:val="en"/>
        </w:rPr>
        <w:t>skille</w:t>
      </w:r>
      <w:proofErr w:type="spellEnd"/>
      <w:r w:rsidRPr="003037D2">
        <w:rPr>
          <w:rFonts w:ascii="Garamond" w:eastAsia="Calibri" w:hAnsi="Garamond" w:cs="Times New Roman"/>
          <w:lang w:val="en"/>
        </w:rPr>
        <w:t xml:space="preserve"> in </w:t>
      </w:r>
      <w:proofErr w:type="spellStart"/>
      <w:r w:rsidRPr="003037D2">
        <w:rPr>
          <w:rFonts w:ascii="Garamond" w:eastAsia="Calibri" w:hAnsi="Garamond" w:cs="Times New Roman"/>
          <w:lang w:val="en"/>
        </w:rPr>
        <w:t>Arithmetike</w:t>
      </w:r>
      <w:proofErr w:type="spellEnd"/>
      <w:r w:rsidRPr="003037D2">
        <w:rPr>
          <w:rFonts w:ascii="Garamond" w:eastAsia="Calibri" w:hAnsi="Garamond" w:cs="Times New Roman"/>
          <w:lang w:val="en"/>
        </w:rPr>
        <w:t xml:space="preserve">, by viewing this Sonnet following compiled by rule and number into the </w:t>
      </w:r>
      <w:proofErr w:type="spellStart"/>
      <w:r w:rsidRPr="003037D2">
        <w:rPr>
          <w:rFonts w:ascii="Garamond" w:eastAsia="Calibri" w:hAnsi="Garamond" w:cs="Times New Roman"/>
          <w:lang w:val="en"/>
        </w:rPr>
        <w:t>forme</w:t>
      </w:r>
      <w:proofErr w:type="spellEnd"/>
      <w:r w:rsidRPr="003037D2">
        <w:rPr>
          <w:rFonts w:ascii="Garamond" w:eastAsia="Calibri" w:hAnsi="Garamond" w:cs="Times New Roman"/>
          <w:lang w:val="en"/>
        </w:rPr>
        <w:t xml:space="preserve"> of a </w:t>
      </w:r>
      <w:proofErr w:type="spellStart"/>
      <w:r w:rsidRPr="003037D2">
        <w:rPr>
          <w:rFonts w:ascii="Garamond" w:eastAsia="Calibri" w:hAnsi="Garamond" w:cs="Times New Roman"/>
          <w:lang w:val="en"/>
        </w:rPr>
        <w:t>piller</w:t>
      </w:r>
      <w:proofErr w:type="spellEnd"/>
      <w:r w:rsidRPr="003037D2">
        <w:rPr>
          <w:rFonts w:ascii="Garamond" w:eastAsia="Calibri" w:hAnsi="Garamond" w:cs="Times New Roman"/>
          <w:lang w:val="en"/>
        </w:rPr>
        <w:t>, may soon judge how much art and study the Author has bestowed in the same.</w:t>
      </w:r>
    </w:p>
    <w:p w14:paraId="66749251" w14:textId="77777777" w:rsidR="00667CD5" w:rsidRPr="003037D2" w:rsidRDefault="00667CD5" w:rsidP="00635464">
      <w:pPr>
        <w:ind w:left="737" w:right="737"/>
        <w:rPr>
          <w:rFonts w:ascii="Garamond" w:eastAsia="Calibri" w:hAnsi="Garamond" w:cs="Times New Roman"/>
          <w:lang w:val="en"/>
        </w:rPr>
      </w:pPr>
    </w:p>
    <w:p w14:paraId="297F4F13" w14:textId="5DF50D99" w:rsidR="00635464" w:rsidRPr="003037D2" w:rsidRDefault="00635464" w:rsidP="00635464">
      <w:pPr>
        <w:spacing w:line="360" w:lineRule="auto"/>
        <w:rPr>
          <w:rFonts w:ascii="Garamond" w:eastAsia="Calibri" w:hAnsi="Garamond" w:cs="Times New Roman"/>
        </w:rPr>
      </w:pPr>
      <w:r w:rsidRPr="003037D2">
        <w:rPr>
          <w:rFonts w:ascii="Garamond" w:eastAsia="Calibri" w:hAnsi="Garamond" w:cs="Times New Roman"/>
        </w:rPr>
        <w:t xml:space="preserve">He explains that the poem is structured by ‘antithetical or </w:t>
      </w:r>
      <w:proofErr w:type="spellStart"/>
      <w:r w:rsidRPr="003037D2">
        <w:rPr>
          <w:rFonts w:ascii="Garamond" w:eastAsia="Calibri" w:hAnsi="Garamond" w:cs="Times New Roman"/>
        </w:rPr>
        <w:t>Antisillabicall</w:t>
      </w:r>
      <w:proofErr w:type="spellEnd"/>
      <w:r w:rsidRPr="003037D2">
        <w:rPr>
          <w:rFonts w:ascii="Garamond" w:eastAsia="Calibri" w:hAnsi="Garamond" w:cs="Times New Roman"/>
        </w:rPr>
        <w:t xml:space="preserve">’ </w:t>
      </w:r>
      <w:proofErr w:type="gramStart"/>
      <w:r w:rsidRPr="003037D2">
        <w:rPr>
          <w:rFonts w:ascii="Garamond" w:eastAsia="Calibri" w:hAnsi="Garamond" w:cs="Times New Roman"/>
        </w:rPr>
        <w:t>means, and</w:t>
      </w:r>
      <w:proofErr w:type="gramEnd"/>
      <w:r w:rsidRPr="003037D2">
        <w:rPr>
          <w:rFonts w:ascii="Garamond" w:eastAsia="Calibri" w:hAnsi="Garamond" w:cs="Times New Roman"/>
        </w:rPr>
        <w:t xml:space="preserve"> provides both shaped and unshaped versions of the poem, printed on the recto and verso of the same leaf. Craig Farrell argues that this layout means ‘the reader is almost </w:t>
      </w:r>
      <w:r w:rsidRPr="003037D2">
        <w:rPr>
          <w:rFonts w:ascii="Garamond" w:eastAsia="Calibri" w:hAnsi="Garamond" w:cs="Times New Roman"/>
        </w:rPr>
        <w:lastRenderedPageBreak/>
        <w:t>obligated to turn the page forwards and backwards in the course of reading’.</w:t>
      </w:r>
      <w:r w:rsidRPr="003037D2">
        <w:rPr>
          <w:rFonts w:ascii="Garamond" w:eastAsia="Calibri" w:hAnsi="Garamond" w:cs="Times New Roman"/>
          <w:vertAlign w:val="superscript"/>
        </w:rPr>
        <w:footnoteReference w:id="585"/>
      </w:r>
      <w:r w:rsidRPr="003037D2">
        <w:rPr>
          <w:rFonts w:ascii="Garamond" w:eastAsia="Calibri" w:hAnsi="Garamond" w:cs="Times New Roman"/>
        </w:rPr>
        <w:t xml:space="preserve"> Despite these guides to reading, it seems that the poem, and Watson’s works in general were unpopular, receiving only one printing, although Christian </w:t>
      </w:r>
      <w:proofErr w:type="spellStart"/>
      <w:r w:rsidRPr="003037D2">
        <w:rPr>
          <w:rFonts w:ascii="Garamond" w:eastAsia="Calibri" w:hAnsi="Garamond" w:cs="Times New Roman"/>
        </w:rPr>
        <w:t>Algar</w:t>
      </w:r>
      <w:proofErr w:type="spellEnd"/>
      <w:r w:rsidRPr="003037D2">
        <w:rPr>
          <w:rFonts w:ascii="Garamond" w:eastAsia="Calibri" w:hAnsi="Garamond" w:cs="Times New Roman"/>
        </w:rPr>
        <w:t xml:space="preserve"> has identified a manuscript copy of ‘A </w:t>
      </w:r>
      <w:proofErr w:type="spellStart"/>
      <w:r w:rsidRPr="003037D2">
        <w:rPr>
          <w:rFonts w:ascii="Garamond" w:eastAsia="Calibri" w:hAnsi="Garamond" w:cs="Times New Roman"/>
        </w:rPr>
        <w:t>Pasquine</w:t>
      </w:r>
      <w:proofErr w:type="spellEnd"/>
      <w:r w:rsidRPr="003037D2">
        <w:rPr>
          <w:rFonts w:ascii="Garamond" w:eastAsia="Calibri" w:hAnsi="Garamond" w:cs="Times New Roman"/>
        </w:rPr>
        <w:t xml:space="preserve"> Pillar’ in the British Library’s holdings, suggesting that some readers were diverted enough by the forms to make their own copies.</w:t>
      </w:r>
      <w:r w:rsidRPr="003037D2">
        <w:rPr>
          <w:rFonts w:ascii="Garamond" w:eastAsia="Calibri" w:hAnsi="Garamond" w:cs="Times New Roman"/>
          <w:vertAlign w:val="superscript"/>
        </w:rPr>
        <w:footnoteReference w:id="586"/>
      </w:r>
      <w:r w:rsidRPr="003037D2">
        <w:rPr>
          <w:rFonts w:ascii="Garamond" w:eastAsia="Calibri" w:hAnsi="Garamond" w:cs="Times New Roman"/>
        </w:rPr>
        <w:t xml:space="preserve"> </w:t>
      </w:r>
    </w:p>
    <w:p w14:paraId="1D178E49" w14:textId="77777777" w:rsidR="00635464" w:rsidRPr="003037D2" w:rsidRDefault="00635464" w:rsidP="00635464">
      <w:pPr>
        <w:spacing w:line="360" w:lineRule="auto"/>
        <w:rPr>
          <w:rFonts w:ascii="Garamond" w:eastAsia="Calibri" w:hAnsi="Garamond" w:cs="Times New Roman"/>
        </w:rPr>
      </w:pPr>
    </w:p>
    <w:p w14:paraId="1156CF40" w14:textId="50C608F5"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Andrew Willet’s </w:t>
      </w:r>
      <w:proofErr w:type="spellStart"/>
      <w:r w:rsidRPr="003037D2">
        <w:rPr>
          <w:rFonts w:ascii="Garamond" w:eastAsia="Calibri" w:hAnsi="Garamond" w:cs="Times New Roman"/>
          <w:i/>
        </w:rPr>
        <w:t>Sacrorum</w:t>
      </w:r>
      <w:proofErr w:type="spellEnd"/>
      <w:r w:rsidRPr="003037D2">
        <w:rPr>
          <w:rFonts w:ascii="Garamond" w:eastAsia="Calibri" w:hAnsi="Garamond" w:cs="Times New Roman"/>
          <w:i/>
        </w:rPr>
        <w:t xml:space="preserve"> </w:t>
      </w:r>
      <w:proofErr w:type="spellStart"/>
      <w:r w:rsidRPr="003037D2">
        <w:rPr>
          <w:rFonts w:ascii="Garamond" w:eastAsia="Calibri" w:hAnsi="Garamond" w:cs="Times New Roman"/>
          <w:i/>
        </w:rPr>
        <w:t>Emblematum</w:t>
      </w:r>
      <w:proofErr w:type="spellEnd"/>
      <w:r w:rsidRPr="003037D2">
        <w:rPr>
          <w:rFonts w:ascii="Garamond" w:eastAsia="Calibri" w:hAnsi="Garamond" w:cs="Times New Roman"/>
          <w:i/>
        </w:rPr>
        <w:t xml:space="preserve"> </w:t>
      </w:r>
      <w:r w:rsidRPr="003037D2">
        <w:rPr>
          <w:rFonts w:ascii="Garamond" w:eastAsia="Calibri" w:hAnsi="Garamond" w:cs="Times New Roman"/>
        </w:rPr>
        <w:t>(1592) included a net-shaped poem describing the church as a fisher of men, a pillar poem praising Elizabeth and a ‘</w:t>
      </w:r>
      <w:proofErr w:type="spellStart"/>
      <w:r w:rsidRPr="003037D2">
        <w:rPr>
          <w:rFonts w:ascii="Garamond" w:eastAsia="Calibri" w:hAnsi="Garamond" w:cs="Times New Roman"/>
        </w:rPr>
        <w:t>Tricq</w:t>
      </w:r>
      <w:r w:rsidR="00284281">
        <w:rPr>
          <w:rFonts w:ascii="Garamond" w:eastAsia="Calibri" w:hAnsi="Garamond" w:cs="Times New Roman"/>
        </w:rPr>
        <w:t>u</w:t>
      </w:r>
      <w:bookmarkStart w:id="62" w:name="_GoBack"/>
      <w:bookmarkEnd w:id="62"/>
      <w:r w:rsidRPr="003037D2">
        <w:rPr>
          <w:rFonts w:ascii="Garamond" w:eastAsia="Calibri" w:hAnsi="Garamond" w:cs="Times New Roman"/>
        </w:rPr>
        <w:t>e</w:t>
      </w:r>
      <w:r w:rsidR="008F16FC">
        <w:rPr>
          <w:rFonts w:ascii="Garamond" w:eastAsia="Calibri" w:hAnsi="Garamond" w:cs="Times New Roman"/>
        </w:rPr>
        <w:t>t</w:t>
      </w:r>
      <w:proofErr w:type="spellEnd"/>
      <w:r w:rsidRPr="003037D2">
        <w:rPr>
          <w:rFonts w:ascii="Garamond" w:eastAsia="Calibri" w:hAnsi="Garamond" w:cs="Times New Roman"/>
        </w:rPr>
        <w:t xml:space="preserve"> displayed’ explaining the iconographic significance of a deer on a coat of arms. (See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_Ref506973082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39</w:t>
      </w:r>
      <w:r w:rsidRPr="003037D2">
        <w:rPr>
          <w:rFonts w:ascii="Garamond" w:eastAsia="Calibri" w:hAnsi="Garamond" w:cs="Times New Roman"/>
        </w:rPr>
        <w:fldChar w:fldCharType="end"/>
      </w:r>
      <w:r w:rsidRPr="003037D2">
        <w:rPr>
          <w:rFonts w:ascii="Garamond" w:eastAsia="Calibri" w:hAnsi="Garamond" w:cs="Times New Roman"/>
        </w:rPr>
        <w:t xml:space="preserve"> and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_Ref506973086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40</w:t>
      </w:r>
      <w:r w:rsidRPr="003037D2">
        <w:rPr>
          <w:rFonts w:ascii="Garamond" w:eastAsia="Calibri" w:hAnsi="Garamond" w:cs="Times New Roman"/>
        </w:rPr>
        <w:fldChar w:fldCharType="end"/>
      </w:r>
      <w:r w:rsidR="00ED0F4C">
        <w:rPr>
          <w:rFonts w:ascii="Garamond" w:eastAsia="Calibri" w:hAnsi="Garamond" w:cs="Times New Roman"/>
        </w:rPr>
        <w:t>.</w:t>
      </w:r>
      <w:r w:rsidRPr="003037D2">
        <w:rPr>
          <w:rFonts w:ascii="Garamond" w:eastAsia="Calibri" w:hAnsi="Garamond" w:cs="Times New Roman"/>
        </w:rPr>
        <w:t xml:space="preserve">) </w:t>
      </w:r>
      <w:proofErr w:type="spellStart"/>
      <w:r w:rsidRPr="003037D2">
        <w:rPr>
          <w:rFonts w:ascii="Garamond" w:eastAsia="Calibri" w:hAnsi="Garamond" w:cs="Times New Roman"/>
        </w:rPr>
        <w:t>Algar</w:t>
      </w:r>
      <w:proofErr w:type="spellEnd"/>
      <w:r w:rsidRPr="003037D2">
        <w:rPr>
          <w:rFonts w:ascii="Garamond" w:eastAsia="Calibri" w:hAnsi="Garamond" w:cs="Times New Roman"/>
        </w:rPr>
        <w:t xml:space="preserve"> attributes the lack of pattern poetry in English to British attitudes of iconophobia, although he highlights a surprising supporter in John Vicars (1580-1652), a parliamentarian poet and schoolmaster, and ‘militant Presbyterian Iconoclast’.</w:t>
      </w:r>
      <w:r w:rsidRPr="003037D2">
        <w:rPr>
          <w:rFonts w:ascii="Garamond" w:eastAsia="Calibri" w:hAnsi="Garamond" w:cs="Times New Roman"/>
          <w:vertAlign w:val="superscript"/>
        </w:rPr>
        <w:footnoteReference w:id="587"/>
      </w:r>
      <w:r w:rsidRPr="003037D2">
        <w:rPr>
          <w:rFonts w:ascii="Garamond" w:eastAsia="Calibri" w:hAnsi="Garamond" w:cs="Times New Roman"/>
        </w:rPr>
        <w:t xml:space="preserve"> During the 1640s, Vicars published a series of news book pamphlets, one of which specifically attacked image making, as he ‘gleefully chronicled incidents of the removal of images, crucifixes, popish books and Babylonish trinkets’.</w:t>
      </w:r>
      <w:r w:rsidRPr="003037D2">
        <w:rPr>
          <w:rFonts w:ascii="Garamond" w:eastAsia="Calibri" w:hAnsi="Garamond" w:cs="Times New Roman"/>
          <w:vertAlign w:val="superscript"/>
        </w:rPr>
        <w:footnoteReference w:id="588"/>
      </w:r>
      <w:r w:rsidRPr="003037D2">
        <w:rPr>
          <w:rFonts w:ascii="Garamond" w:eastAsia="Calibri" w:hAnsi="Garamond" w:cs="Times New Roman"/>
        </w:rPr>
        <w:t xml:space="preserve"> However, Vicars also created his own pattern poetry, most notably a dedicatory shaped poem to the Houses of Parliament at the beginning of his volume of poetry </w:t>
      </w:r>
      <w:r w:rsidRPr="003037D2">
        <w:rPr>
          <w:rFonts w:ascii="Garamond" w:eastAsia="Calibri" w:hAnsi="Garamond" w:cs="Times New Roman"/>
          <w:i/>
        </w:rPr>
        <w:t xml:space="preserve">God in the Mount, or </w:t>
      </w:r>
      <w:proofErr w:type="spellStart"/>
      <w:r w:rsidRPr="003037D2">
        <w:rPr>
          <w:rFonts w:ascii="Garamond" w:eastAsia="Calibri" w:hAnsi="Garamond" w:cs="Times New Roman"/>
          <w:i/>
        </w:rPr>
        <w:t>Jehova-jireh</w:t>
      </w:r>
      <w:proofErr w:type="spellEnd"/>
      <w:r w:rsidRPr="003037D2">
        <w:rPr>
          <w:rFonts w:ascii="Garamond" w:eastAsia="Calibri" w:hAnsi="Garamond" w:cs="Times New Roman"/>
          <w:i/>
        </w:rPr>
        <w:t xml:space="preserve"> </w:t>
      </w:r>
      <w:r w:rsidRPr="003037D2">
        <w:rPr>
          <w:rFonts w:ascii="Garamond" w:eastAsia="Calibri" w:hAnsi="Garamond" w:cs="Times New Roman"/>
        </w:rPr>
        <w:t xml:space="preserve">(1641). The poem is difficult to read, and less successful in its typesetting that Herbert’s simpler shapes, making use of many m-dashes and Fleur de Lys to define the form upon the pages. (See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_Ref506991238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41</w:t>
      </w:r>
      <w:r w:rsidRPr="003037D2">
        <w:rPr>
          <w:rFonts w:ascii="Garamond" w:eastAsia="Calibri" w:hAnsi="Garamond" w:cs="Times New Roman"/>
        </w:rPr>
        <w:fldChar w:fldCharType="end"/>
      </w:r>
      <w:r w:rsidR="00ED0F4C">
        <w:rPr>
          <w:rFonts w:ascii="Garamond" w:eastAsia="Calibri" w:hAnsi="Garamond" w:cs="Times New Roman"/>
        </w:rPr>
        <w:t>.</w:t>
      </w:r>
      <w:r w:rsidRPr="003037D2">
        <w:rPr>
          <w:rFonts w:ascii="Garamond" w:eastAsia="Calibri" w:hAnsi="Garamond" w:cs="Times New Roman"/>
        </w:rPr>
        <w:t xml:space="preserve">) The title page of </w:t>
      </w:r>
      <w:r w:rsidRPr="003037D2">
        <w:rPr>
          <w:rFonts w:ascii="Garamond" w:eastAsia="Calibri" w:hAnsi="Garamond" w:cs="Times New Roman"/>
          <w:i/>
        </w:rPr>
        <w:t xml:space="preserve">God in the Mount </w:t>
      </w:r>
      <w:r w:rsidRPr="003037D2">
        <w:rPr>
          <w:rFonts w:ascii="Garamond" w:eastAsia="Calibri" w:hAnsi="Garamond" w:cs="Times New Roman"/>
        </w:rPr>
        <w:t>similarly visually recreates the ‘mount’ itself. The triangle of text, or ‘</w:t>
      </w:r>
      <w:r w:rsidRPr="003037D2">
        <w:rPr>
          <w:rFonts w:ascii="Garamond" w:eastAsia="Calibri" w:hAnsi="Garamond" w:cs="Times New Roman"/>
          <w:i/>
        </w:rPr>
        <w:t xml:space="preserve">Panegyric </w:t>
      </w:r>
      <w:proofErr w:type="spellStart"/>
      <w:r w:rsidRPr="003037D2">
        <w:rPr>
          <w:rFonts w:ascii="Garamond" w:eastAsia="Calibri" w:hAnsi="Garamond" w:cs="Times New Roman"/>
          <w:i/>
        </w:rPr>
        <w:t>Piramides</w:t>
      </w:r>
      <w:proofErr w:type="spellEnd"/>
      <w:r w:rsidRPr="003037D2">
        <w:rPr>
          <w:rFonts w:ascii="Garamond" w:eastAsia="Calibri" w:hAnsi="Garamond" w:cs="Times New Roman"/>
          <w:i/>
        </w:rPr>
        <w:t>’</w:t>
      </w:r>
      <w:r w:rsidRPr="003037D2">
        <w:rPr>
          <w:rFonts w:ascii="Garamond" w:eastAsia="Calibri" w:hAnsi="Garamond" w:cs="Times New Roman"/>
        </w:rPr>
        <w:t xml:space="preserve"> is founded on biblical quotations, with God’s name placed at the top, supported by ‘the miraculous </w:t>
      </w:r>
      <w:proofErr w:type="spellStart"/>
      <w:r w:rsidRPr="003037D2">
        <w:rPr>
          <w:rFonts w:ascii="Garamond" w:eastAsia="Calibri" w:hAnsi="Garamond" w:cs="Times New Roman"/>
          <w:i/>
        </w:rPr>
        <w:t>Parliamentare</w:t>
      </w:r>
      <w:proofErr w:type="spellEnd"/>
      <w:r w:rsidRPr="003037D2">
        <w:rPr>
          <w:rFonts w:ascii="Garamond" w:eastAsia="Calibri" w:hAnsi="Garamond" w:cs="Times New Roman"/>
          <w:i/>
        </w:rPr>
        <w:t xml:space="preserve"> Mercies’ </w:t>
      </w:r>
      <w:r w:rsidRPr="003037D2">
        <w:rPr>
          <w:rFonts w:ascii="Garamond" w:eastAsia="Calibri" w:hAnsi="Garamond" w:cs="Times New Roman"/>
        </w:rPr>
        <w:t xml:space="preserve">and ‘the </w:t>
      </w:r>
      <w:proofErr w:type="spellStart"/>
      <w:r w:rsidRPr="003037D2">
        <w:rPr>
          <w:rFonts w:ascii="Garamond" w:eastAsia="Calibri" w:hAnsi="Garamond" w:cs="Times New Roman"/>
        </w:rPr>
        <w:t>unworthie</w:t>
      </w:r>
      <w:proofErr w:type="spellEnd"/>
      <w:r w:rsidRPr="003037D2">
        <w:rPr>
          <w:rFonts w:ascii="Garamond" w:eastAsia="Calibri" w:hAnsi="Garamond" w:cs="Times New Roman"/>
        </w:rPr>
        <w:t xml:space="preserve"> admirer of them… John Vicars’. (See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_Ref506991271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42</w:t>
      </w:r>
      <w:r w:rsidRPr="003037D2">
        <w:rPr>
          <w:rFonts w:ascii="Garamond" w:eastAsia="Calibri" w:hAnsi="Garamond" w:cs="Times New Roman"/>
        </w:rPr>
        <w:fldChar w:fldCharType="end"/>
      </w:r>
      <w:r w:rsidR="00ED0F4C">
        <w:rPr>
          <w:rFonts w:ascii="Garamond" w:eastAsia="Calibri" w:hAnsi="Garamond" w:cs="Times New Roman"/>
        </w:rPr>
        <w:t>.</w:t>
      </w:r>
      <w:r w:rsidRPr="003037D2">
        <w:rPr>
          <w:rFonts w:ascii="Garamond" w:eastAsia="Calibri" w:hAnsi="Garamond" w:cs="Times New Roman"/>
        </w:rPr>
        <w:t xml:space="preserve">) The Pyramid is surrounded at its peak by three floating biblical quotations, boxed in by lines of printer’s devices, forcibly reminding the reader of the Holy Trinity. Similarly, Vicars produced what </w:t>
      </w:r>
      <w:proofErr w:type="spellStart"/>
      <w:r w:rsidRPr="003037D2">
        <w:rPr>
          <w:rFonts w:ascii="Garamond" w:eastAsia="Calibri" w:hAnsi="Garamond" w:cs="Times New Roman"/>
        </w:rPr>
        <w:t>Algar</w:t>
      </w:r>
      <w:proofErr w:type="spellEnd"/>
      <w:r w:rsidRPr="003037D2">
        <w:rPr>
          <w:rFonts w:ascii="Garamond" w:eastAsia="Calibri" w:hAnsi="Garamond" w:cs="Times New Roman"/>
        </w:rPr>
        <w:t xml:space="preserve"> terms an ‘iconoclast’s monumental tribute to The </w:t>
      </w:r>
      <w:proofErr w:type="spellStart"/>
      <w:r w:rsidRPr="003037D2">
        <w:rPr>
          <w:rFonts w:ascii="Garamond" w:eastAsia="Calibri" w:hAnsi="Garamond" w:cs="Times New Roman"/>
        </w:rPr>
        <w:t>Trinitie</w:t>
      </w:r>
      <w:proofErr w:type="spellEnd"/>
      <w:r w:rsidRPr="003037D2">
        <w:rPr>
          <w:rFonts w:ascii="Garamond" w:eastAsia="Calibri" w:hAnsi="Garamond" w:cs="Times New Roman"/>
        </w:rPr>
        <w:t>’: a pillar of text, highly reminiscent of Herbert’s ‘The Altar</w:t>
      </w:r>
      <w:r w:rsidR="00896124" w:rsidRPr="003037D2">
        <w:rPr>
          <w:rFonts w:ascii="Garamond" w:eastAsia="Calibri" w:hAnsi="Garamond" w:cs="Times New Roman"/>
        </w:rPr>
        <w:t>’</w:t>
      </w:r>
      <w:r w:rsidRPr="003037D2">
        <w:rPr>
          <w:rFonts w:ascii="Garamond" w:eastAsia="Calibri" w:hAnsi="Garamond" w:cs="Times New Roman"/>
        </w:rPr>
        <w:t xml:space="preserve">. (See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_Ref506991285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43</w:t>
      </w:r>
      <w:r w:rsidRPr="003037D2">
        <w:rPr>
          <w:rFonts w:ascii="Garamond" w:eastAsia="Calibri" w:hAnsi="Garamond" w:cs="Times New Roman"/>
        </w:rPr>
        <w:fldChar w:fldCharType="end"/>
      </w:r>
      <w:r w:rsidR="00ED0F4C">
        <w:rPr>
          <w:rFonts w:ascii="Garamond" w:eastAsia="Calibri" w:hAnsi="Garamond" w:cs="Times New Roman"/>
        </w:rPr>
        <w:t>.</w:t>
      </w:r>
      <w:r w:rsidRPr="003037D2">
        <w:rPr>
          <w:rFonts w:ascii="Garamond" w:eastAsia="Calibri" w:hAnsi="Garamond" w:cs="Times New Roman"/>
        </w:rPr>
        <w:t xml:space="preserve">) Both act as memorials, making visible a theological or pastoral principle on the page. </w:t>
      </w:r>
    </w:p>
    <w:p w14:paraId="4A598C09" w14:textId="77777777" w:rsidR="00162224" w:rsidRPr="003037D2" w:rsidRDefault="00162224" w:rsidP="00162224">
      <w:pPr>
        <w:spacing w:line="360" w:lineRule="auto"/>
        <w:ind w:firstLine="720"/>
        <w:rPr>
          <w:rFonts w:ascii="Garamond" w:eastAsia="Calibri" w:hAnsi="Garamond" w:cs="Times New Roman"/>
        </w:rPr>
      </w:pPr>
    </w:p>
    <w:p w14:paraId="685E218A" w14:textId="408F45B7" w:rsidR="00162224" w:rsidRPr="003037D2" w:rsidRDefault="00162224" w:rsidP="00470D01">
      <w:pPr>
        <w:spacing w:line="360" w:lineRule="auto"/>
        <w:ind w:firstLine="720"/>
        <w:rPr>
          <w:rFonts w:ascii="Garamond" w:eastAsia="Calibri" w:hAnsi="Garamond" w:cs="Times New Roman"/>
          <w:lang w:val="en"/>
        </w:rPr>
      </w:pPr>
      <w:r w:rsidRPr="003037D2">
        <w:rPr>
          <w:rFonts w:ascii="Garamond" w:eastAsia="Calibri" w:hAnsi="Garamond" w:cs="Times New Roman"/>
          <w:lang w:val="en"/>
        </w:rPr>
        <w:lastRenderedPageBreak/>
        <w:t>Herbert’s most famous pattern poem ‘Easter-Wings’ disrupts the temporal process of reading abruptly. In the printed edition the lines of text are positioned horizontally, meaning the reader must physically turn the book to read the poem. This poem has been termed by Hollander and Summers as the most successful pattern poem of the English Renaissance. Summers declares that as well as ‘seeing’ the wings, ‘we see how they are made: the process of imp</w:t>
      </w:r>
      <w:r w:rsidR="00470D01">
        <w:rPr>
          <w:rFonts w:ascii="Garamond" w:eastAsia="Calibri" w:hAnsi="Garamond" w:cs="Times New Roman"/>
          <w:lang w:val="en"/>
        </w:rPr>
        <w:t>overishment and enrichment, of “</w:t>
      </w:r>
      <w:r w:rsidRPr="003037D2">
        <w:rPr>
          <w:rFonts w:ascii="Garamond" w:eastAsia="Calibri" w:hAnsi="Garamond" w:cs="Times New Roman"/>
          <w:lang w:val="en"/>
        </w:rPr>
        <w:t>thinking</w:t>
      </w:r>
      <w:r w:rsidR="00470D01">
        <w:rPr>
          <w:rFonts w:ascii="Garamond" w:eastAsia="Calibri" w:hAnsi="Garamond" w:cs="Times New Roman"/>
          <w:lang w:val="en"/>
        </w:rPr>
        <w:t>”</w:t>
      </w:r>
      <w:r w:rsidRPr="003037D2">
        <w:rPr>
          <w:rFonts w:ascii="Garamond" w:eastAsia="Calibri" w:hAnsi="Garamond" w:cs="Times New Roman"/>
          <w:lang w:val="en"/>
        </w:rPr>
        <w:t xml:space="preserve"> and expansion which makes </w:t>
      </w:r>
      <w:r w:rsidR="00470D01">
        <w:rPr>
          <w:rFonts w:ascii="Garamond" w:eastAsia="Calibri" w:hAnsi="Garamond" w:cs="Times New Roman"/>
          <w:lang w:val="en"/>
        </w:rPr>
        <w:t>“</w:t>
      </w:r>
      <w:r w:rsidRPr="003037D2">
        <w:rPr>
          <w:rFonts w:ascii="Garamond" w:eastAsia="Calibri" w:hAnsi="Garamond" w:cs="Times New Roman"/>
          <w:lang w:val="en"/>
        </w:rPr>
        <w:t>flight</w:t>
      </w:r>
      <w:r w:rsidR="00470D01">
        <w:rPr>
          <w:rFonts w:ascii="Garamond" w:eastAsia="Calibri" w:hAnsi="Garamond" w:cs="Times New Roman"/>
          <w:lang w:val="en"/>
        </w:rPr>
        <w:t>”</w:t>
      </w:r>
      <w:r w:rsidRPr="003037D2">
        <w:rPr>
          <w:rFonts w:ascii="Garamond" w:eastAsia="Calibri" w:hAnsi="Garamond" w:cs="Times New Roman"/>
          <w:lang w:val="en"/>
        </w:rPr>
        <w:t xml:space="preserve"> possible’.</w:t>
      </w:r>
      <w:r w:rsidRPr="003037D2">
        <w:rPr>
          <w:rFonts w:ascii="Garamond" w:eastAsia="Calibri" w:hAnsi="Garamond" w:cs="Times New Roman"/>
          <w:vertAlign w:val="superscript"/>
          <w:lang w:val="en"/>
        </w:rPr>
        <w:footnoteReference w:id="589"/>
      </w:r>
      <w:r w:rsidRPr="003037D2">
        <w:rPr>
          <w:rFonts w:ascii="Garamond" w:eastAsia="Calibri" w:hAnsi="Garamond" w:cs="Times New Roman"/>
          <w:lang w:val="en"/>
        </w:rPr>
        <w:t xml:space="preserve"> It is worth noting that both the Bodleian and Dr. Williams manuscripts position these lines vertically, which somewhat obscures the ‘wing’ shape of the poem, making it instead a pair of ‘</w:t>
      </w:r>
      <w:proofErr w:type="spellStart"/>
      <w:r w:rsidRPr="003037D2">
        <w:rPr>
          <w:rFonts w:ascii="Garamond" w:eastAsia="Calibri" w:hAnsi="Garamond" w:cs="Times New Roman"/>
          <w:lang w:val="en"/>
        </w:rPr>
        <w:t>trifquer</w:t>
      </w:r>
      <w:proofErr w:type="spellEnd"/>
      <w:r w:rsidRPr="003037D2">
        <w:rPr>
          <w:rFonts w:ascii="Garamond" w:eastAsia="Calibri" w:hAnsi="Garamond" w:cs="Times New Roman"/>
          <w:lang w:val="en"/>
        </w:rPr>
        <w:t xml:space="preserve"> displayed’, in </w:t>
      </w:r>
      <w:proofErr w:type="spellStart"/>
      <w:r w:rsidRPr="003037D2">
        <w:rPr>
          <w:rFonts w:ascii="Garamond" w:eastAsia="Calibri" w:hAnsi="Garamond" w:cs="Times New Roman"/>
          <w:lang w:val="en"/>
        </w:rPr>
        <w:t>Puttenham’s</w:t>
      </w:r>
      <w:proofErr w:type="spellEnd"/>
      <w:r w:rsidRPr="003037D2">
        <w:rPr>
          <w:rFonts w:ascii="Garamond" w:eastAsia="Calibri" w:hAnsi="Garamond" w:cs="Times New Roman"/>
          <w:lang w:val="en"/>
        </w:rPr>
        <w:t xml:space="preserve"> terms.</w:t>
      </w:r>
      <w:r w:rsidRPr="003037D2">
        <w:rPr>
          <w:rFonts w:ascii="Garamond" w:eastAsia="Calibri" w:hAnsi="Garamond" w:cs="Times New Roman"/>
          <w:vertAlign w:val="superscript"/>
        </w:rPr>
        <w:footnoteReference w:id="590"/>
      </w:r>
      <w:r w:rsidRPr="003037D2">
        <w:rPr>
          <w:rFonts w:ascii="Garamond" w:eastAsia="Calibri" w:hAnsi="Garamond" w:cs="Times New Roman"/>
        </w:rPr>
        <w:t xml:space="preserve"> </w:t>
      </w:r>
      <w:r w:rsidRPr="003037D2">
        <w:rPr>
          <w:rFonts w:ascii="Garamond" w:eastAsia="Calibri" w:hAnsi="Garamond" w:cs="Times New Roman"/>
          <w:lang w:val="en"/>
        </w:rPr>
        <w:t xml:space="preserve"> The first printed edition of </w:t>
      </w:r>
      <w:r w:rsidRPr="003037D2">
        <w:rPr>
          <w:rFonts w:ascii="Garamond" w:eastAsia="Calibri" w:hAnsi="Garamond" w:cs="Times New Roman"/>
          <w:i/>
          <w:lang w:val="en"/>
        </w:rPr>
        <w:t>The Temple</w:t>
      </w:r>
      <w:r w:rsidRPr="003037D2">
        <w:rPr>
          <w:rFonts w:ascii="Garamond" w:eastAsia="Calibri" w:hAnsi="Garamond" w:cs="Times New Roman"/>
          <w:lang w:val="en"/>
        </w:rPr>
        <w:t xml:space="preserve"> (1633) orientates them horizontally, with each of the two sets of wings placed on its own page facing one another. The orientation of the poem has been a source of critical debate: Coburn Freer argues that early editors, and indeed more recent ones as well, were naïve in assuming that Herbert’s aim was to ‘draw’ wings.</w:t>
      </w:r>
      <w:r w:rsidRPr="003037D2">
        <w:rPr>
          <w:rFonts w:ascii="Garamond" w:eastAsia="Calibri" w:hAnsi="Garamond" w:cs="Times New Roman"/>
          <w:vertAlign w:val="superscript"/>
          <w:lang w:val="en"/>
        </w:rPr>
        <w:footnoteReference w:id="591"/>
      </w:r>
      <w:r w:rsidRPr="003037D2">
        <w:rPr>
          <w:rFonts w:ascii="Garamond" w:eastAsia="Calibri" w:hAnsi="Garamond" w:cs="Times New Roman"/>
          <w:lang w:val="en"/>
        </w:rPr>
        <w:t xml:space="preserve"> The image is never purely of wings, even in this orientation. Rosalie Colie summarizes the triple aspect of the emblem as ‘hourglass, angel’s wings, lark flight’.</w:t>
      </w:r>
      <w:r w:rsidRPr="003037D2">
        <w:rPr>
          <w:rFonts w:ascii="Garamond" w:eastAsia="Calibri" w:hAnsi="Garamond" w:cs="Times New Roman"/>
          <w:vertAlign w:val="superscript"/>
          <w:lang w:val="en"/>
        </w:rPr>
        <w:footnoteReference w:id="592"/>
      </w:r>
      <w:r w:rsidRPr="003037D2">
        <w:rPr>
          <w:rFonts w:ascii="Garamond" w:eastAsia="Calibri" w:hAnsi="Garamond" w:cs="Times New Roman"/>
          <w:lang w:val="en"/>
        </w:rPr>
        <w:t xml:space="preserve"> When orientated vertically, these multiple significances are gradually revealed as the reader interacts with the page: two wings clearly seen as the double page spread is opened, two hourglasses revealed as the book is turned, the bounding flight of the lark as the eyes follow down the page, and then as the reader turns the leaves of the book, the pages themselves opening and closing like wings. Craig Farrell, discussing the ‘poetics of page turning’, offers a reading for either layout. He suggests that in the vertically printed version, as in the manuscripts, ‘the two stanzas act as a single set of wings, beating as the page opens and </w:t>
      </w:r>
      <w:proofErr w:type="gramStart"/>
      <w:r w:rsidRPr="003037D2">
        <w:rPr>
          <w:rFonts w:ascii="Garamond" w:eastAsia="Calibri" w:hAnsi="Garamond" w:cs="Times New Roman"/>
          <w:lang w:val="en"/>
        </w:rPr>
        <w:t>closes’</w:t>
      </w:r>
      <w:proofErr w:type="gramEnd"/>
      <w:r w:rsidRPr="003037D2">
        <w:rPr>
          <w:rFonts w:ascii="Garamond" w:eastAsia="Calibri" w:hAnsi="Garamond" w:cs="Times New Roman"/>
          <w:lang w:val="en"/>
        </w:rPr>
        <w:t>. He sees the turning of the page enacting ‘precisely the act the speaker has wished for… [propelling] the reader and speaker into the next poem’, ‘Holy Baptism’. In the horizontal printing, there are two sets of wings, which are brought together as the reader turns the page, performing the joining or ‘imping’ of God and man, as the two stanzas described first a cosmological and then personal experience.</w:t>
      </w:r>
      <w:r w:rsidRPr="003037D2">
        <w:rPr>
          <w:rFonts w:ascii="Garamond" w:eastAsia="Calibri" w:hAnsi="Garamond" w:cs="Times New Roman"/>
          <w:vertAlign w:val="superscript"/>
          <w:lang w:val="en"/>
        </w:rPr>
        <w:footnoteReference w:id="593"/>
      </w:r>
      <w:r w:rsidRPr="003037D2">
        <w:rPr>
          <w:rFonts w:ascii="Garamond" w:eastAsia="Calibri" w:hAnsi="Garamond" w:cs="Times New Roman"/>
          <w:lang w:val="en"/>
        </w:rPr>
        <w:t xml:space="preserve"> Both the Dr. Williams and Bodleian manuscripts titles each of the stanzas separately, and the stanzas are placed on facing </w:t>
      </w:r>
      <w:r w:rsidRPr="003037D2">
        <w:rPr>
          <w:rFonts w:ascii="Garamond" w:eastAsia="Calibri" w:hAnsi="Garamond" w:cs="Times New Roman"/>
          <w:lang w:val="en"/>
        </w:rPr>
        <w:lastRenderedPageBreak/>
        <w:t xml:space="preserve">pages, suggesting that they were initially intended to be read as two distinct poems. This titling convention was preserved in the 1633 printed </w:t>
      </w:r>
      <w:proofErr w:type="gramStart"/>
      <w:r w:rsidRPr="003037D2">
        <w:rPr>
          <w:rFonts w:ascii="Garamond" w:eastAsia="Calibri" w:hAnsi="Garamond" w:cs="Times New Roman"/>
          <w:lang w:val="en"/>
        </w:rPr>
        <w:t>edition, and</w:t>
      </w:r>
      <w:proofErr w:type="gramEnd"/>
      <w:r w:rsidRPr="003037D2">
        <w:rPr>
          <w:rFonts w:ascii="Garamond" w:eastAsia="Calibri" w:hAnsi="Garamond" w:cs="Times New Roman"/>
          <w:lang w:val="en"/>
        </w:rPr>
        <w:t xml:space="preserve"> continued in printings throughout the seventeenth century.</w:t>
      </w:r>
      <w:r w:rsidRPr="003037D2">
        <w:rPr>
          <w:rFonts w:ascii="Garamond" w:eastAsia="Calibri" w:hAnsi="Garamond" w:cs="Times New Roman"/>
          <w:vertAlign w:val="superscript"/>
          <w:lang w:val="en"/>
        </w:rPr>
        <w:footnoteReference w:id="594"/>
      </w:r>
      <w:r w:rsidRPr="003037D2">
        <w:rPr>
          <w:rFonts w:ascii="Garamond" w:eastAsia="Calibri" w:hAnsi="Garamond" w:cs="Times New Roman"/>
          <w:lang w:val="en"/>
        </w:rPr>
        <w:t xml:space="preserve"> Arguably, the separation of the stanzas into two separate poems increases the sense of </w:t>
      </w:r>
      <w:r w:rsidRPr="003037D2">
        <w:rPr>
          <w:rFonts w:ascii="Garamond" w:eastAsia="Calibri" w:hAnsi="Garamond" w:cs="Times New Roman"/>
          <w:i/>
          <w:lang w:val="en"/>
        </w:rPr>
        <w:t xml:space="preserve">The Temple </w:t>
      </w:r>
      <w:r w:rsidRPr="003037D2">
        <w:rPr>
          <w:rFonts w:ascii="Garamond" w:eastAsia="Calibri" w:hAnsi="Garamond" w:cs="Times New Roman"/>
          <w:lang w:val="en"/>
        </w:rPr>
        <w:t xml:space="preserve">as a commonplace book. Indeed, the next two poems in the volume, ‘Holy Baptism’ I and II, similarly offers two perspectives on the same topic.  </w:t>
      </w:r>
    </w:p>
    <w:p w14:paraId="7E399707" w14:textId="77777777" w:rsidR="00162224" w:rsidRPr="003037D2" w:rsidRDefault="00162224" w:rsidP="00162224">
      <w:pPr>
        <w:spacing w:line="360" w:lineRule="auto"/>
        <w:ind w:firstLine="720"/>
        <w:rPr>
          <w:rFonts w:ascii="Garamond" w:eastAsia="Calibri" w:hAnsi="Garamond" w:cs="Times New Roman"/>
          <w:lang w:val="en"/>
        </w:rPr>
      </w:pPr>
    </w:p>
    <w:p w14:paraId="0263D6F7" w14:textId="465A5F9F" w:rsidR="00162224" w:rsidRPr="003037D2" w:rsidRDefault="00162224" w:rsidP="00162224">
      <w:pPr>
        <w:spacing w:line="360" w:lineRule="auto"/>
        <w:ind w:firstLine="720"/>
        <w:rPr>
          <w:rFonts w:ascii="Garamond" w:eastAsia="Calibri" w:hAnsi="Garamond" w:cs="Times New Roman"/>
          <w:lang w:val="en"/>
        </w:rPr>
      </w:pPr>
      <w:r w:rsidRPr="003037D2">
        <w:rPr>
          <w:rFonts w:ascii="Garamond" w:eastAsia="Calibri" w:hAnsi="Garamond" w:cs="Times New Roman"/>
          <w:lang w:val="en"/>
        </w:rPr>
        <w:t xml:space="preserve">As well as interrupting the reader’s movement through the book by requiring them to turn the text to read the poem and causing their reading patterns to alter, ‘Easter-Wings’ foregrounds the temporal aspects of devotion in </w:t>
      </w:r>
      <w:proofErr w:type="gramStart"/>
      <w:r w:rsidRPr="003037D2">
        <w:rPr>
          <w:rFonts w:ascii="Garamond" w:eastAsia="Calibri" w:hAnsi="Garamond" w:cs="Times New Roman"/>
          <w:lang w:val="en"/>
        </w:rPr>
        <w:t>a number of</w:t>
      </w:r>
      <w:proofErr w:type="gramEnd"/>
      <w:r w:rsidRPr="003037D2">
        <w:rPr>
          <w:rFonts w:ascii="Garamond" w:eastAsia="Calibri" w:hAnsi="Garamond" w:cs="Times New Roman"/>
          <w:lang w:val="en"/>
        </w:rPr>
        <w:t xml:space="preserve"> ways. The poem addresses the decay implicit in a post-</w:t>
      </w:r>
      <w:proofErr w:type="spellStart"/>
      <w:r w:rsidRPr="003037D2">
        <w:rPr>
          <w:rFonts w:ascii="Garamond" w:eastAsia="Calibri" w:hAnsi="Garamond" w:cs="Times New Roman"/>
          <w:lang w:val="en"/>
        </w:rPr>
        <w:t>lapsarian</w:t>
      </w:r>
      <w:proofErr w:type="spellEnd"/>
      <w:r w:rsidRPr="003037D2">
        <w:rPr>
          <w:rFonts w:ascii="Garamond" w:eastAsia="Calibri" w:hAnsi="Garamond" w:cs="Times New Roman"/>
          <w:lang w:val="en"/>
        </w:rPr>
        <w:t xml:space="preserve"> universe, moving from the creation, to the fall, to the state of man in the present in the space of three lines. Sixteenth and seventeenth-century visual representations of the expulsion from Eden often contained </w:t>
      </w:r>
      <w:r w:rsidRPr="003037D2">
        <w:rPr>
          <w:rFonts w:ascii="Garamond" w:eastAsia="Calibri" w:hAnsi="Garamond" w:cs="Times New Roman"/>
          <w:i/>
          <w:lang w:val="en"/>
        </w:rPr>
        <w:t xml:space="preserve">memento mori </w:t>
      </w:r>
      <w:r w:rsidRPr="003037D2">
        <w:rPr>
          <w:rFonts w:ascii="Garamond" w:eastAsia="Calibri" w:hAnsi="Garamond" w:cs="Times New Roman"/>
          <w:lang w:val="en"/>
        </w:rPr>
        <w:t xml:space="preserve">or other figures of Time, normally in skeletal form. In Hans </w:t>
      </w:r>
      <w:proofErr w:type="spellStart"/>
      <w:r w:rsidRPr="003037D2">
        <w:rPr>
          <w:rFonts w:ascii="Garamond" w:eastAsia="Calibri" w:hAnsi="Garamond" w:cs="Times New Roman"/>
          <w:lang w:val="en"/>
        </w:rPr>
        <w:t>Sebald</w:t>
      </w:r>
      <w:proofErr w:type="spellEnd"/>
      <w:r w:rsidRPr="003037D2">
        <w:rPr>
          <w:rFonts w:ascii="Garamond" w:eastAsia="Calibri" w:hAnsi="Garamond" w:cs="Times New Roman"/>
          <w:lang w:val="en"/>
        </w:rPr>
        <w:t xml:space="preserve"> </w:t>
      </w:r>
      <w:proofErr w:type="spellStart"/>
      <w:r w:rsidRPr="003037D2">
        <w:rPr>
          <w:rFonts w:ascii="Garamond" w:eastAsia="Calibri" w:hAnsi="Garamond" w:cs="Times New Roman"/>
          <w:lang w:val="en"/>
        </w:rPr>
        <w:t>Behal’s</w:t>
      </w:r>
      <w:proofErr w:type="spellEnd"/>
      <w:r w:rsidRPr="003037D2">
        <w:rPr>
          <w:rFonts w:ascii="Garamond" w:eastAsia="Calibri" w:hAnsi="Garamond" w:cs="Times New Roman"/>
          <w:lang w:val="en"/>
        </w:rPr>
        <w:t xml:space="preserve"> engraving ‘The Fall of Man’ a statuesque Adam and Eve exchange an apple on either side of a skeleton tree. (See </w:t>
      </w:r>
      <w:r w:rsidRPr="003037D2">
        <w:rPr>
          <w:rFonts w:ascii="Garamond" w:eastAsia="Calibri" w:hAnsi="Garamond" w:cs="Times New Roman"/>
          <w:lang w:val="en"/>
        </w:rPr>
        <w:fldChar w:fldCharType="begin"/>
      </w:r>
      <w:r w:rsidRPr="003037D2">
        <w:rPr>
          <w:rFonts w:ascii="Garamond" w:eastAsia="Calibri" w:hAnsi="Garamond" w:cs="Times New Roman"/>
          <w:lang w:val="en"/>
        </w:rPr>
        <w:instrText xml:space="preserve"> REF _Ref507009666 \h  \* MERGEFORMAT </w:instrText>
      </w:r>
      <w:r w:rsidRPr="003037D2">
        <w:rPr>
          <w:rFonts w:ascii="Garamond" w:eastAsia="Calibri" w:hAnsi="Garamond" w:cs="Times New Roman"/>
          <w:lang w:val="en"/>
        </w:rPr>
      </w:r>
      <w:r w:rsidRPr="003037D2">
        <w:rPr>
          <w:rFonts w:ascii="Garamond" w:eastAsia="Calibri" w:hAnsi="Garamond" w:cs="Times New Roman"/>
          <w:lang w:val="e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44</w:t>
      </w:r>
      <w:r w:rsidRPr="003037D2">
        <w:rPr>
          <w:rFonts w:ascii="Garamond" w:eastAsia="Calibri" w:hAnsi="Garamond" w:cs="Times New Roman"/>
          <w:lang w:val="en"/>
        </w:rPr>
        <w:fldChar w:fldCharType="end"/>
      </w:r>
      <w:r w:rsidR="00ED0F4C">
        <w:rPr>
          <w:rFonts w:ascii="Garamond" w:eastAsia="Calibri" w:hAnsi="Garamond" w:cs="Times New Roman"/>
          <w:lang w:val="en"/>
        </w:rPr>
        <w:t>.</w:t>
      </w:r>
      <w:r w:rsidRPr="003037D2">
        <w:rPr>
          <w:rFonts w:ascii="Garamond" w:eastAsia="Calibri" w:hAnsi="Garamond" w:cs="Times New Roman"/>
          <w:lang w:val="en"/>
        </w:rPr>
        <w:t xml:space="preserve">) In ‘Easter-Wings’ form draws the reader’s attention to the march of time. The decreasing length of the lines to the center of each stanza mirrors the state of man ‘decaying more and more’. The middle two lines of each stanza consist of only one foot, ‘Most </w:t>
      </w:r>
      <w:proofErr w:type="spellStart"/>
      <w:r w:rsidRPr="003037D2">
        <w:rPr>
          <w:rFonts w:ascii="Garamond" w:eastAsia="Calibri" w:hAnsi="Garamond" w:cs="Times New Roman"/>
          <w:lang w:val="en"/>
        </w:rPr>
        <w:t>poore</w:t>
      </w:r>
      <w:proofErr w:type="spellEnd"/>
      <w:r w:rsidRPr="003037D2">
        <w:rPr>
          <w:rFonts w:ascii="Garamond" w:eastAsia="Calibri" w:hAnsi="Garamond" w:cs="Times New Roman"/>
          <w:lang w:val="en"/>
        </w:rPr>
        <w:t xml:space="preserve">:/ With thee… Most </w:t>
      </w:r>
      <w:proofErr w:type="gramStart"/>
      <w:r w:rsidRPr="003037D2">
        <w:rPr>
          <w:rFonts w:ascii="Garamond" w:eastAsia="Calibri" w:hAnsi="Garamond" w:cs="Times New Roman"/>
          <w:lang w:val="en"/>
        </w:rPr>
        <w:t>thin./</w:t>
      </w:r>
      <w:proofErr w:type="gramEnd"/>
      <w:r w:rsidRPr="003037D2">
        <w:rPr>
          <w:rFonts w:ascii="Garamond" w:eastAsia="Calibri" w:hAnsi="Garamond" w:cs="Times New Roman"/>
          <w:lang w:val="en"/>
        </w:rPr>
        <w:t xml:space="preserve"> With thee’. In both cases, the phrase ‘with thee’ prompts the ‘rise’: the increase in line length, syllable by syllable, and the promise of union with God in ‘victory’. Whilst these phrases are grammatically separated by punctuation, visually they are closely linked. This reinforces to the reader that whilst the speaker may look forward to a ‘victorious’ future, they are also ‘with thee’ at the very nadir of their experience. It is only when this moment has been reached in the middle of the first stanza that the third person voice switches to the first, pushing off in to the promised ascent alongside the ‘lark’. Similarly, the first half of each stanza is rooted in the past tense, switching to the future once the mid-point has been reached. This may seem trite: Robert </w:t>
      </w:r>
      <w:proofErr w:type="spellStart"/>
      <w:r w:rsidRPr="003037D2">
        <w:rPr>
          <w:rFonts w:ascii="Garamond" w:eastAsia="Calibri" w:hAnsi="Garamond" w:cs="Times New Roman"/>
          <w:lang w:val="en"/>
        </w:rPr>
        <w:t>Halli</w:t>
      </w:r>
      <w:proofErr w:type="spellEnd"/>
      <w:r w:rsidRPr="003037D2">
        <w:rPr>
          <w:rFonts w:ascii="Garamond" w:eastAsia="Calibri" w:hAnsi="Garamond" w:cs="Times New Roman"/>
          <w:lang w:val="en"/>
        </w:rPr>
        <w:t xml:space="preserve"> points out that ‘time flies’ ‘is a cliché of the worst sort, but its implications are important for this poem’.</w:t>
      </w:r>
      <w:r w:rsidRPr="003037D2">
        <w:rPr>
          <w:rFonts w:ascii="Garamond" w:eastAsia="Calibri" w:hAnsi="Garamond" w:cs="Times New Roman"/>
          <w:vertAlign w:val="superscript"/>
          <w:lang w:val="en"/>
        </w:rPr>
        <w:footnoteReference w:id="595"/>
      </w:r>
      <w:r w:rsidRPr="003037D2">
        <w:rPr>
          <w:rFonts w:ascii="Garamond" w:eastAsia="Calibri" w:hAnsi="Garamond" w:cs="Times New Roman"/>
          <w:lang w:val="en"/>
        </w:rPr>
        <w:t xml:space="preserve"> Visual representations of time abounded in early modern literature and art, as discussed in Chapter II with reference to </w:t>
      </w:r>
      <w:proofErr w:type="spellStart"/>
      <w:r w:rsidRPr="003037D2">
        <w:rPr>
          <w:rFonts w:ascii="Garamond" w:eastAsia="Calibri" w:hAnsi="Garamond" w:cs="Times New Roman"/>
          <w:i/>
          <w:lang w:val="en"/>
        </w:rPr>
        <w:t>kairos</w:t>
      </w:r>
      <w:proofErr w:type="spellEnd"/>
      <w:r w:rsidRPr="003037D2">
        <w:rPr>
          <w:rFonts w:ascii="Garamond" w:eastAsia="Calibri" w:hAnsi="Garamond" w:cs="Times New Roman"/>
          <w:i/>
          <w:lang w:val="en"/>
        </w:rPr>
        <w:t xml:space="preserve">. </w:t>
      </w:r>
      <w:r w:rsidRPr="003037D2">
        <w:rPr>
          <w:rFonts w:ascii="Garamond" w:eastAsia="Calibri" w:hAnsi="Garamond" w:cs="Times New Roman"/>
          <w:lang w:val="en"/>
        </w:rPr>
        <w:t xml:space="preserve">The dual nature of time was often represented in Janus-faced images, an old one looking behind and a younger one </w:t>
      </w:r>
      <w:r w:rsidRPr="003037D2">
        <w:rPr>
          <w:rFonts w:ascii="Garamond" w:eastAsia="Calibri" w:hAnsi="Garamond" w:cs="Times New Roman"/>
          <w:lang w:val="en"/>
        </w:rPr>
        <w:lastRenderedPageBreak/>
        <w:t xml:space="preserve">looking forward. A woodcut illustration to Thomas Peyton’s </w:t>
      </w:r>
      <w:r w:rsidRPr="003037D2">
        <w:rPr>
          <w:rFonts w:ascii="Garamond" w:eastAsia="Calibri" w:hAnsi="Garamond" w:cs="Times New Roman"/>
          <w:i/>
          <w:lang w:val="en"/>
        </w:rPr>
        <w:t xml:space="preserve">The </w:t>
      </w:r>
      <w:proofErr w:type="spellStart"/>
      <w:r w:rsidRPr="003037D2">
        <w:rPr>
          <w:rFonts w:ascii="Garamond" w:eastAsia="Calibri" w:hAnsi="Garamond" w:cs="Times New Roman"/>
          <w:i/>
          <w:lang w:val="en"/>
        </w:rPr>
        <w:t>Glasse</w:t>
      </w:r>
      <w:proofErr w:type="spellEnd"/>
      <w:r w:rsidRPr="003037D2">
        <w:rPr>
          <w:rFonts w:ascii="Garamond" w:eastAsia="Calibri" w:hAnsi="Garamond" w:cs="Times New Roman"/>
          <w:i/>
          <w:lang w:val="en"/>
        </w:rPr>
        <w:t xml:space="preserve"> of Time: in the first age </w:t>
      </w:r>
      <w:r w:rsidRPr="003037D2">
        <w:rPr>
          <w:rFonts w:ascii="Garamond" w:eastAsia="Calibri" w:hAnsi="Garamond" w:cs="Times New Roman"/>
          <w:lang w:val="en"/>
        </w:rPr>
        <w:t xml:space="preserve">shows Time as a bald satyr, standing in the garden of Eden holding his scythe and a winged hourglass. Two wings sprout from his back, one a crumpled bat’s wing and the other that of a bird, resplendent and outstretched. (See </w:t>
      </w:r>
      <w:r w:rsidRPr="003037D2">
        <w:rPr>
          <w:rFonts w:ascii="Garamond" w:eastAsia="Calibri" w:hAnsi="Garamond" w:cs="Times New Roman"/>
          <w:lang w:val="en"/>
        </w:rPr>
        <w:fldChar w:fldCharType="begin"/>
      </w:r>
      <w:r w:rsidRPr="003037D2">
        <w:rPr>
          <w:rFonts w:ascii="Garamond" w:eastAsia="Calibri" w:hAnsi="Garamond" w:cs="Times New Roman"/>
          <w:lang w:val="en"/>
        </w:rPr>
        <w:instrText xml:space="preserve"> REF _Ref507011123 \h  \* MERGEFORMAT </w:instrText>
      </w:r>
      <w:r w:rsidRPr="003037D2">
        <w:rPr>
          <w:rFonts w:ascii="Garamond" w:eastAsia="Calibri" w:hAnsi="Garamond" w:cs="Times New Roman"/>
          <w:lang w:val="en"/>
        </w:rPr>
      </w:r>
      <w:r w:rsidRPr="003037D2">
        <w:rPr>
          <w:rFonts w:ascii="Garamond" w:eastAsia="Calibri" w:hAnsi="Garamond" w:cs="Times New Roman"/>
          <w:lang w:val="e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45</w:t>
      </w:r>
      <w:r w:rsidRPr="003037D2">
        <w:rPr>
          <w:rFonts w:ascii="Garamond" w:eastAsia="Calibri" w:hAnsi="Garamond" w:cs="Times New Roman"/>
          <w:lang w:val="en"/>
        </w:rPr>
        <w:fldChar w:fldCharType="end"/>
      </w:r>
      <w:r w:rsidR="00ED0F4C">
        <w:rPr>
          <w:rFonts w:ascii="Garamond" w:eastAsia="Calibri" w:hAnsi="Garamond" w:cs="Times New Roman"/>
          <w:lang w:val="en"/>
        </w:rPr>
        <w:t>.</w:t>
      </w:r>
      <w:r w:rsidRPr="003037D2">
        <w:rPr>
          <w:rFonts w:ascii="Garamond" w:eastAsia="Calibri" w:hAnsi="Garamond" w:cs="Times New Roman"/>
          <w:lang w:val="en"/>
        </w:rPr>
        <w:t xml:space="preserve">) The flight that Herbert envisages is at once one of opportunity, the seizing of winged </w:t>
      </w:r>
      <w:proofErr w:type="spellStart"/>
      <w:r w:rsidRPr="003037D2">
        <w:rPr>
          <w:rFonts w:ascii="Garamond" w:eastAsia="Calibri" w:hAnsi="Garamond" w:cs="Times New Roman"/>
          <w:i/>
          <w:lang w:val="en"/>
        </w:rPr>
        <w:t>kairos</w:t>
      </w:r>
      <w:proofErr w:type="spellEnd"/>
      <w:r w:rsidRPr="003037D2">
        <w:rPr>
          <w:rFonts w:ascii="Garamond" w:eastAsia="Calibri" w:hAnsi="Garamond" w:cs="Times New Roman"/>
          <w:i/>
          <w:lang w:val="en"/>
        </w:rPr>
        <w:t xml:space="preserve">, </w:t>
      </w:r>
      <w:proofErr w:type="gramStart"/>
      <w:r w:rsidRPr="003037D2">
        <w:rPr>
          <w:rFonts w:ascii="Garamond" w:eastAsia="Calibri" w:hAnsi="Garamond" w:cs="Times New Roman"/>
          <w:lang w:val="en"/>
        </w:rPr>
        <w:t>and also</w:t>
      </w:r>
      <w:proofErr w:type="gramEnd"/>
      <w:r w:rsidRPr="003037D2">
        <w:rPr>
          <w:rFonts w:ascii="Garamond" w:eastAsia="Calibri" w:hAnsi="Garamond" w:cs="Times New Roman"/>
          <w:lang w:val="en"/>
        </w:rPr>
        <w:t xml:space="preserve"> one of swift moving, unstoppable death. By joining these notions of time in a pair of seemingly angelic wings, Herbert turns attention to the fact that the celebration of religious festivals is never a simple experience of communally mediated joy. Rather, they evoke different notions of time, which need to be joined if not reconciled. The most effective way to do this is by making this time concrete and materialized, using the space of the page to stand in for time. </w:t>
      </w:r>
    </w:p>
    <w:p w14:paraId="4B3A791A" w14:textId="77777777" w:rsidR="00162224" w:rsidRPr="003037D2" w:rsidRDefault="00162224" w:rsidP="00162224">
      <w:pPr>
        <w:spacing w:line="360" w:lineRule="auto"/>
        <w:rPr>
          <w:rFonts w:ascii="Garamond" w:eastAsia="Calibri" w:hAnsi="Garamond" w:cs="Times New Roman"/>
        </w:rPr>
      </w:pPr>
    </w:p>
    <w:p w14:paraId="1D44BD35" w14:textId="77777777" w:rsidR="00162224" w:rsidRPr="003037D2" w:rsidRDefault="00162224" w:rsidP="00162224">
      <w:pPr>
        <w:keepNext/>
        <w:keepLines/>
        <w:numPr>
          <w:ilvl w:val="0"/>
          <w:numId w:val="14"/>
        </w:numPr>
        <w:spacing w:before="40" w:line="360" w:lineRule="auto"/>
        <w:outlineLvl w:val="1"/>
        <w:rPr>
          <w:rFonts w:ascii="Garamond" w:eastAsia="Times New Roman" w:hAnsi="Garamond" w:cs="Times New Roman"/>
          <w:b/>
          <w:bCs/>
          <w:sz w:val="28"/>
          <w:szCs w:val="28"/>
        </w:rPr>
      </w:pPr>
      <w:bookmarkStart w:id="63" w:name="_Toc3967186"/>
      <w:r w:rsidRPr="003037D2">
        <w:rPr>
          <w:rFonts w:ascii="Garamond" w:eastAsia="Times New Roman" w:hAnsi="Garamond" w:cs="Times New Roman"/>
          <w:b/>
          <w:bCs/>
          <w:sz w:val="28"/>
          <w:szCs w:val="28"/>
        </w:rPr>
        <w:t>Sacramental Bodies</w:t>
      </w:r>
      <w:bookmarkEnd w:id="63"/>
      <w:r w:rsidRPr="003037D2">
        <w:rPr>
          <w:rFonts w:ascii="Garamond" w:eastAsia="Times New Roman" w:hAnsi="Garamond" w:cs="Times New Roman"/>
          <w:b/>
          <w:bCs/>
          <w:sz w:val="28"/>
          <w:szCs w:val="28"/>
        </w:rPr>
        <w:t xml:space="preserve"> </w:t>
      </w:r>
    </w:p>
    <w:p w14:paraId="711B4DCD" w14:textId="77777777" w:rsidR="00162224" w:rsidRPr="003037D2" w:rsidRDefault="00162224" w:rsidP="00162224">
      <w:pPr>
        <w:spacing w:line="360" w:lineRule="auto"/>
        <w:rPr>
          <w:rFonts w:ascii="Garamond" w:eastAsia="Calibri" w:hAnsi="Garamond" w:cs="Times New Roman"/>
        </w:rPr>
      </w:pPr>
    </w:p>
    <w:p w14:paraId="3F84B07A" w14:textId="3C57FABA"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If these textual bodies make time visible and concrete, we need to think more generally about how bodies operate in time. The most important religious locus for this issue in the seventeenth century was the debate about the precise nature of the sacrament. This came to stand in for wider questions about the relationship between body and soul, and, arguably in poetry, form and matter. Moving from my previous discussion of symbolic language, I now consider the temporality of the sacramental body. Reformed notions of the sacrament investigated the temporal relationship between sign and signified. The exact nature of the sacrament was the focus of intense debate for Protestant reformers. Huldrych Zwingli argued that in ‘hoc </w:t>
      </w:r>
      <w:proofErr w:type="spellStart"/>
      <w:r w:rsidRPr="003037D2">
        <w:rPr>
          <w:rFonts w:ascii="Garamond" w:eastAsia="Calibri" w:hAnsi="Garamond" w:cs="Times New Roman"/>
        </w:rPr>
        <w:t>est</w:t>
      </w:r>
      <w:proofErr w:type="spellEnd"/>
      <w:r w:rsidRPr="003037D2">
        <w:rPr>
          <w:rFonts w:ascii="Garamond" w:eastAsia="Calibri" w:hAnsi="Garamond" w:cs="Times New Roman"/>
        </w:rPr>
        <w:t xml:space="preserve"> corpus </w:t>
      </w:r>
      <w:proofErr w:type="spellStart"/>
      <w:r w:rsidRPr="003037D2">
        <w:rPr>
          <w:rFonts w:ascii="Garamond" w:eastAsia="Calibri" w:hAnsi="Garamond" w:cs="Times New Roman"/>
        </w:rPr>
        <w:t>meum</w:t>
      </w:r>
      <w:proofErr w:type="spellEnd"/>
      <w:r w:rsidRPr="003037D2">
        <w:rPr>
          <w:rFonts w:ascii="Garamond" w:eastAsia="Calibri" w:hAnsi="Garamond" w:cs="Times New Roman"/>
        </w:rPr>
        <w:t>’ (this is my body), ‘</w:t>
      </w:r>
      <w:proofErr w:type="spellStart"/>
      <w:r w:rsidRPr="003037D2">
        <w:rPr>
          <w:rFonts w:ascii="Garamond" w:eastAsia="Calibri" w:hAnsi="Garamond" w:cs="Times New Roman"/>
        </w:rPr>
        <w:t>est</w:t>
      </w:r>
      <w:proofErr w:type="spellEnd"/>
      <w:r w:rsidRPr="003037D2">
        <w:rPr>
          <w:rFonts w:ascii="Garamond" w:eastAsia="Calibri" w:hAnsi="Garamond" w:cs="Times New Roman"/>
        </w:rPr>
        <w:t xml:space="preserve">’ meant only ‘represent’. This would be an entirely metaphorical understanding of the Eucharist and the Lord’s Supper. Calvin, in contrast, presented a middle way between a metaphorical and literal understanding. In the </w:t>
      </w:r>
      <w:r w:rsidRPr="003037D2">
        <w:rPr>
          <w:rFonts w:ascii="Garamond" w:eastAsia="Calibri" w:hAnsi="Garamond" w:cs="Times New Roman"/>
          <w:i/>
        </w:rPr>
        <w:t xml:space="preserve">Institutes, </w:t>
      </w:r>
      <w:r w:rsidRPr="003037D2">
        <w:rPr>
          <w:rFonts w:ascii="Garamond" w:eastAsia="Calibri" w:hAnsi="Garamond" w:cs="Times New Roman"/>
        </w:rPr>
        <w:t xml:space="preserve">he argues that the Spirit ‘truly unites things separated in space’ saying that:  </w:t>
      </w:r>
    </w:p>
    <w:p w14:paraId="38E00854" w14:textId="77777777" w:rsidR="00162224" w:rsidRPr="003037D2" w:rsidRDefault="00162224" w:rsidP="00162224">
      <w:pPr>
        <w:ind w:left="737" w:right="737"/>
        <w:rPr>
          <w:rFonts w:ascii="Garamond" w:eastAsia="Calibri" w:hAnsi="Garamond" w:cs="Times New Roman"/>
        </w:rPr>
      </w:pPr>
      <w:r w:rsidRPr="003037D2">
        <w:rPr>
          <w:rFonts w:ascii="Garamond" w:eastAsia="Calibri" w:hAnsi="Garamond" w:cs="Times New Roman"/>
        </w:rPr>
        <w:t>[Although] I indeed admit that the breaking of bread is a symbol; it is not the thing itself. But, by having admitted this, we shall never the less duly infer that by the showing of the symbol, the thing itself is also shown… Now, that sacred partaking of his flesh and blood, by which Christ pours his life into us, as if it penetrated into our bones and marrow, he also testifies and seals in the Supper — not by presenting a vain and empty sign, but by manifesting there the effectiveness of his Spirit to fulfill what he promises.</w:t>
      </w:r>
      <w:r w:rsidRPr="003037D2">
        <w:rPr>
          <w:rFonts w:ascii="Garamond" w:eastAsia="Calibri" w:hAnsi="Garamond" w:cs="Times New Roman"/>
          <w:vertAlign w:val="superscript"/>
        </w:rPr>
        <w:footnoteReference w:id="596"/>
      </w:r>
      <w:r w:rsidRPr="003037D2">
        <w:rPr>
          <w:rFonts w:ascii="Garamond" w:eastAsia="Calibri" w:hAnsi="Garamond" w:cs="Times New Roman"/>
        </w:rPr>
        <w:t xml:space="preserve"> </w:t>
      </w:r>
    </w:p>
    <w:p w14:paraId="05AC42A1" w14:textId="77777777" w:rsidR="00162224" w:rsidRPr="003037D2" w:rsidRDefault="00162224" w:rsidP="00162224">
      <w:pPr>
        <w:ind w:left="737" w:right="737"/>
        <w:rPr>
          <w:rFonts w:ascii="Garamond" w:eastAsia="Calibri" w:hAnsi="Garamond" w:cs="Times New Roman"/>
        </w:rPr>
      </w:pPr>
    </w:p>
    <w:p w14:paraId="3C84D23C" w14:textId="77777777"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Perhaps we could add to the Spirit’s power to unite ‘things separated in space’ that it also unites things separated by </w:t>
      </w:r>
      <w:r w:rsidRPr="003037D2">
        <w:rPr>
          <w:rFonts w:ascii="Garamond" w:eastAsia="Calibri" w:hAnsi="Garamond" w:cs="Times New Roman"/>
          <w:i/>
          <w:iCs/>
        </w:rPr>
        <w:t xml:space="preserve">time. </w:t>
      </w:r>
      <w:r w:rsidRPr="003037D2">
        <w:rPr>
          <w:rFonts w:ascii="Garamond" w:eastAsia="Calibri" w:hAnsi="Garamond" w:cs="Times New Roman"/>
        </w:rPr>
        <w:t xml:space="preserve">Calvin situates the power of the sacrament in what it promises, its future potential. As Hilary Binda has pointed out, this draws on the temporal implications apparent in John 6.54, ‘Whosoever </w:t>
      </w:r>
      <w:proofErr w:type="spellStart"/>
      <w:r w:rsidRPr="003037D2">
        <w:rPr>
          <w:rFonts w:ascii="Garamond" w:eastAsia="Calibri" w:hAnsi="Garamond" w:cs="Times New Roman"/>
        </w:rPr>
        <w:t>eateth</w:t>
      </w:r>
      <w:proofErr w:type="spellEnd"/>
      <w:r w:rsidRPr="003037D2">
        <w:rPr>
          <w:rFonts w:ascii="Garamond" w:eastAsia="Calibri" w:hAnsi="Garamond" w:cs="Times New Roman"/>
        </w:rPr>
        <w:t xml:space="preserve"> my flesh and </w:t>
      </w:r>
      <w:proofErr w:type="spellStart"/>
      <w:r w:rsidRPr="003037D2">
        <w:rPr>
          <w:rFonts w:ascii="Garamond" w:eastAsia="Calibri" w:hAnsi="Garamond" w:cs="Times New Roman"/>
        </w:rPr>
        <w:t>drinketh</w:t>
      </w:r>
      <w:proofErr w:type="spellEnd"/>
      <w:r w:rsidRPr="003037D2">
        <w:rPr>
          <w:rFonts w:ascii="Garamond" w:eastAsia="Calibri" w:hAnsi="Garamond" w:cs="Times New Roman"/>
        </w:rPr>
        <w:t xml:space="preserve"> my blood hath eternal life’.</w:t>
      </w:r>
      <w:r w:rsidRPr="003037D2">
        <w:rPr>
          <w:rFonts w:ascii="Garamond" w:eastAsia="Calibri" w:hAnsi="Garamond" w:cs="Times New Roman"/>
          <w:vertAlign w:val="superscript"/>
        </w:rPr>
        <w:footnoteReference w:id="597"/>
      </w:r>
      <w:r w:rsidRPr="003037D2">
        <w:rPr>
          <w:rFonts w:ascii="Garamond" w:eastAsia="Calibri" w:hAnsi="Garamond" w:cs="Times New Roman"/>
        </w:rPr>
        <w:t xml:space="preserve"> The memorial act of taking the Eucharist is experienced in the present as an enactment of a promised future, allowing three different times to be brought together in synchronicity. Herbert’s language of embodied experience, presented in poems which </w:t>
      </w:r>
      <w:proofErr w:type="spellStart"/>
      <w:r w:rsidRPr="003037D2">
        <w:rPr>
          <w:rFonts w:ascii="Garamond" w:eastAsia="Calibri" w:hAnsi="Garamond" w:cs="Times New Roman"/>
        </w:rPr>
        <w:t>materialise</w:t>
      </w:r>
      <w:proofErr w:type="spellEnd"/>
      <w:r w:rsidRPr="003037D2">
        <w:rPr>
          <w:rFonts w:ascii="Garamond" w:eastAsia="Calibri" w:hAnsi="Garamond" w:cs="Times New Roman"/>
        </w:rPr>
        <w:t xml:space="preserve"> their forms upon the page, enacts the symbol’s ‘</w:t>
      </w:r>
      <w:proofErr w:type="spellStart"/>
      <w:r w:rsidRPr="003037D2">
        <w:rPr>
          <w:rFonts w:ascii="Garamond" w:eastAsia="Calibri" w:hAnsi="Garamond" w:cs="Times New Roman"/>
        </w:rPr>
        <w:t>penetra</w:t>
      </w:r>
      <w:proofErr w:type="spellEnd"/>
      <w:r w:rsidRPr="003037D2">
        <w:rPr>
          <w:rFonts w:ascii="Garamond" w:eastAsia="Calibri" w:hAnsi="Garamond" w:cs="Times New Roman"/>
        </w:rPr>
        <w:t>[</w:t>
      </w:r>
      <w:proofErr w:type="spellStart"/>
      <w:r w:rsidRPr="003037D2">
        <w:rPr>
          <w:rFonts w:ascii="Garamond" w:eastAsia="Calibri" w:hAnsi="Garamond" w:cs="Times New Roman"/>
        </w:rPr>
        <w:t>tion</w:t>
      </w:r>
      <w:proofErr w:type="spellEnd"/>
      <w:r w:rsidRPr="003037D2">
        <w:rPr>
          <w:rFonts w:ascii="Garamond" w:eastAsia="Calibri" w:hAnsi="Garamond" w:cs="Times New Roman"/>
        </w:rPr>
        <w:t xml:space="preserve">] into our bones and marrow’, gathering together past, present, and future into both the material form of the text and his readers’ minds. </w:t>
      </w:r>
    </w:p>
    <w:p w14:paraId="4E822708" w14:textId="77777777"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t xml:space="preserve"> </w:t>
      </w:r>
    </w:p>
    <w:p w14:paraId="72203293" w14:textId="60D45494" w:rsidR="00162224" w:rsidRPr="003037D2" w:rsidRDefault="00162224" w:rsidP="00162224">
      <w:pPr>
        <w:tabs>
          <w:tab w:val="left" w:pos="5728"/>
        </w:tabs>
        <w:spacing w:line="360" w:lineRule="auto"/>
        <w:ind w:firstLine="737"/>
        <w:rPr>
          <w:rFonts w:ascii="Garamond" w:eastAsia="Calibri" w:hAnsi="Garamond" w:cs="Times New Roman"/>
        </w:rPr>
      </w:pPr>
      <w:r w:rsidRPr="003037D2">
        <w:rPr>
          <w:rFonts w:ascii="Garamond" w:eastAsia="Calibri" w:hAnsi="Garamond" w:cs="Times New Roman"/>
        </w:rPr>
        <w:t xml:space="preserve">In Rawdon’s </w:t>
      </w:r>
      <w:r w:rsidRPr="003037D2">
        <w:rPr>
          <w:rFonts w:ascii="Garamond" w:eastAsia="Calibri" w:hAnsi="Garamond" w:cs="Times New Roman"/>
          <w:i/>
          <w:iCs/>
        </w:rPr>
        <w:t>Collection</w:t>
      </w:r>
      <w:r w:rsidRPr="003037D2">
        <w:rPr>
          <w:rFonts w:ascii="Garamond" w:eastAsia="Calibri" w:hAnsi="Garamond" w:cs="Times New Roman"/>
        </w:rPr>
        <w:t xml:space="preserve">, beneath a neat heading of ‘Out of Herbert’s Poems’, ‘The Altar’ is precisely encased in a series of ruled lines, making clear the shape of a classical altar that this poem embodies. (See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_Ref499296282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47</w:t>
      </w:r>
      <w:r w:rsidRPr="003037D2">
        <w:rPr>
          <w:rFonts w:ascii="Garamond" w:eastAsia="Calibri" w:hAnsi="Garamond" w:cs="Times New Roman"/>
        </w:rPr>
        <w:fldChar w:fldCharType="end"/>
      </w:r>
      <w:r w:rsidR="00ED0F4C">
        <w:rPr>
          <w:rFonts w:ascii="Garamond" w:eastAsia="Calibri" w:hAnsi="Garamond" w:cs="Times New Roman"/>
        </w:rPr>
        <w:t>.</w:t>
      </w:r>
      <w:r w:rsidRPr="003037D2">
        <w:rPr>
          <w:rFonts w:ascii="Garamond" w:eastAsia="Calibri" w:hAnsi="Garamond" w:cs="Times New Roman"/>
        </w:rPr>
        <w:t xml:space="preserve">) This series of lines not only calls attention to the shape of the poem, but also highlights it in the volume. The only other time Rawdon draws such lines is in a delicate visual rendering of the trinitarian nature of God, on f. 22r, in which God is depicted as a central chamber into which the corridors of ‘Son’, ‘Father’ and ‘Ghost’ run and intermingle. (See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_Ref499296849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30</w:t>
      </w:r>
      <w:r w:rsidRPr="003037D2">
        <w:rPr>
          <w:rFonts w:ascii="Garamond" w:eastAsia="Calibri" w:hAnsi="Garamond" w:cs="Times New Roman"/>
        </w:rPr>
        <w:fldChar w:fldCharType="end"/>
      </w:r>
      <w:r w:rsidR="00ED0F4C">
        <w:rPr>
          <w:rFonts w:ascii="Garamond" w:eastAsia="Calibri" w:hAnsi="Garamond" w:cs="Times New Roman"/>
        </w:rPr>
        <w:t>.</w:t>
      </w:r>
      <w:r w:rsidRPr="003037D2">
        <w:rPr>
          <w:rFonts w:ascii="Garamond" w:eastAsia="Calibri" w:hAnsi="Garamond" w:cs="Times New Roman"/>
        </w:rPr>
        <w:t xml:space="preserve">) The owner of a printed copy of </w:t>
      </w:r>
      <w:r w:rsidRPr="003037D2">
        <w:rPr>
          <w:rFonts w:ascii="Garamond" w:eastAsia="Calibri" w:hAnsi="Garamond" w:cs="Times New Roman"/>
          <w:i/>
        </w:rPr>
        <w:t xml:space="preserve">The Temple </w:t>
      </w:r>
      <w:r w:rsidRPr="003037D2">
        <w:rPr>
          <w:rFonts w:ascii="Garamond" w:eastAsia="Calibri" w:hAnsi="Garamond" w:cs="Times New Roman"/>
        </w:rPr>
        <w:t>(1641)</w:t>
      </w:r>
      <w:r w:rsidRPr="003037D2">
        <w:rPr>
          <w:rFonts w:ascii="Garamond" w:eastAsia="Calibri" w:hAnsi="Garamond" w:cs="Times New Roman"/>
          <w:i/>
        </w:rPr>
        <w:t xml:space="preserve">, </w:t>
      </w:r>
      <w:r w:rsidRPr="003037D2">
        <w:rPr>
          <w:rFonts w:ascii="Garamond" w:eastAsia="Calibri" w:hAnsi="Garamond" w:cs="Times New Roman"/>
        </w:rPr>
        <w:t xml:space="preserve">now held in the Huntington Library, drew a similar shape, as can be seen in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_Ref499460013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48</w:t>
      </w:r>
      <w:r w:rsidRPr="003037D2">
        <w:rPr>
          <w:rFonts w:ascii="Garamond" w:eastAsia="Calibri" w:hAnsi="Garamond" w:cs="Times New Roman"/>
        </w:rPr>
        <w:fldChar w:fldCharType="end"/>
      </w:r>
      <w:r w:rsidRPr="003037D2">
        <w:rPr>
          <w:rFonts w:ascii="Garamond" w:eastAsia="Calibri" w:hAnsi="Garamond" w:cs="Times New Roman"/>
        </w:rPr>
        <w:t>. Two different editions, both published in 1656 and declaring themselves the ‘7</w:t>
      </w:r>
      <w:r w:rsidRPr="003037D2">
        <w:rPr>
          <w:rFonts w:ascii="Garamond" w:eastAsia="Calibri" w:hAnsi="Garamond" w:cs="Times New Roman"/>
          <w:vertAlign w:val="superscript"/>
        </w:rPr>
        <w:t>th</w:t>
      </w:r>
      <w:r w:rsidRPr="003037D2">
        <w:rPr>
          <w:rFonts w:ascii="Garamond" w:eastAsia="Calibri" w:hAnsi="Garamond" w:cs="Times New Roman"/>
        </w:rPr>
        <w:t xml:space="preserve"> edition’ on their title pages, also include these hand drawn lines. (See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_Ref499463232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49</w:t>
      </w:r>
      <w:r w:rsidRPr="003037D2">
        <w:rPr>
          <w:rFonts w:ascii="Garamond" w:eastAsia="Calibri" w:hAnsi="Garamond" w:cs="Times New Roman"/>
        </w:rPr>
        <w:fldChar w:fldCharType="end"/>
      </w:r>
      <w:r w:rsidRPr="003037D2">
        <w:rPr>
          <w:rFonts w:ascii="Garamond" w:eastAsia="Calibri" w:hAnsi="Garamond" w:cs="Times New Roman"/>
        </w:rPr>
        <w:t xml:space="preserv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_Ref499463234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50</w:t>
      </w:r>
      <w:r w:rsidRPr="003037D2">
        <w:rPr>
          <w:rFonts w:ascii="Garamond" w:eastAsia="Calibri" w:hAnsi="Garamond" w:cs="Times New Roman"/>
        </w:rPr>
        <w:fldChar w:fldCharType="end"/>
      </w:r>
      <w:r w:rsidRPr="003037D2">
        <w:rPr>
          <w:rFonts w:ascii="Garamond" w:eastAsia="Calibri" w:hAnsi="Garamond" w:cs="Times New Roman"/>
        </w:rPr>
        <w:t xml:space="preserve">,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_Ref499463236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51</w:t>
      </w:r>
      <w:r w:rsidRPr="003037D2">
        <w:rPr>
          <w:rFonts w:ascii="Garamond" w:eastAsia="Calibri" w:hAnsi="Garamond" w:cs="Times New Roman"/>
        </w:rPr>
        <w:fldChar w:fldCharType="end"/>
      </w:r>
      <w:r w:rsidRPr="003037D2">
        <w:rPr>
          <w:rFonts w:ascii="Garamond" w:eastAsia="Calibri" w:hAnsi="Garamond" w:cs="Times New Roman"/>
        </w:rPr>
        <w:t xml:space="preserve"> and </w:t>
      </w:r>
      <w:r w:rsidRPr="003037D2">
        <w:rPr>
          <w:rFonts w:ascii="Garamond" w:eastAsia="Calibri" w:hAnsi="Garamond" w:cs="Times New Roman"/>
        </w:rPr>
        <w:fldChar w:fldCharType="begin"/>
      </w:r>
      <w:r w:rsidRPr="003037D2">
        <w:rPr>
          <w:rFonts w:ascii="Garamond" w:eastAsia="Calibri" w:hAnsi="Garamond" w:cs="Times New Roman"/>
        </w:rPr>
        <w:instrText xml:space="preserve"> REF _Ref499463238 \h  \* MERGEFORMAT </w:instrText>
      </w:r>
      <w:r w:rsidRPr="003037D2">
        <w:rPr>
          <w:rFonts w:ascii="Garamond" w:eastAsia="Calibri" w:hAnsi="Garamond" w:cs="Times New Roman"/>
        </w:rPr>
      </w:r>
      <w:r w:rsidRPr="003037D2">
        <w:rPr>
          <w:rFonts w:ascii="Garamond" w:eastAsia="Calibri" w:hAnsi="Garamond" w:cs="Times New Roman"/>
        </w:rPr>
        <w:fldChar w:fldCharType="separate"/>
      </w:r>
      <w:r w:rsidR="001117A3" w:rsidRPr="003037D2">
        <w:rPr>
          <w:rFonts w:ascii="Garamond" w:eastAsia="Calibri" w:hAnsi="Garamond" w:cs="Times New Roman"/>
        </w:rPr>
        <w:t xml:space="preserve">Figure </w:t>
      </w:r>
      <w:r w:rsidR="001117A3" w:rsidRPr="003037D2">
        <w:rPr>
          <w:rFonts w:ascii="Garamond" w:eastAsia="Calibri" w:hAnsi="Garamond" w:cs="Times New Roman"/>
          <w:noProof/>
        </w:rPr>
        <w:t>52</w:t>
      </w:r>
      <w:r w:rsidRPr="003037D2">
        <w:rPr>
          <w:rFonts w:ascii="Garamond" w:eastAsia="Calibri" w:hAnsi="Garamond" w:cs="Times New Roman"/>
        </w:rPr>
        <w:fldChar w:fldCharType="end"/>
      </w:r>
      <w:r w:rsidR="00ED0F4C">
        <w:rPr>
          <w:rFonts w:ascii="Garamond" w:eastAsia="Calibri" w:hAnsi="Garamond" w:cs="Times New Roman"/>
        </w:rPr>
        <w:t>.</w:t>
      </w:r>
      <w:r w:rsidRPr="003037D2">
        <w:rPr>
          <w:rFonts w:ascii="Garamond" w:eastAsia="Calibri" w:hAnsi="Garamond" w:cs="Times New Roman"/>
        </w:rPr>
        <w:t xml:space="preserve">) The 1667 edition of </w:t>
      </w:r>
      <w:r w:rsidRPr="003037D2">
        <w:rPr>
          <w:rFonts w:ascii="Garamond" w:eastAsia="Calibri" w:hAnsi="Garamond" w:cs="Times New Roman"/>
          <w:i/>
        </w:rPr>
        <w:t xml:space="preserve">The Temple </w:t>
      </w:r>
      <w:r w:rsidRPr="003037D2">
        <w:rPr>
          <w:rFonts w:ascii="Garamond" w:eastAsia="Calibri" w:hAnsi="Garamond" w:cs="Times New Roman"/>
        </w:rPr>
        <w:t>published by Philemon Stephens includes this outline of the altar in print. Stanley Fish remarked that ‘even before we take in any of its words, [</w:t>
      </w:r>
      <w:r w:rsidR="00ED0F4C">
        <w:rPr>
          <w:rFonts w:ascii="Garamond" w:eastAsia="Calibri" w:hAnsi="Garamond" w:cs="Times New Roman"/>
        </w:rPr>
        <w:t>“</w:t>
      </w:r>
      <w:r w:rsidRPr="003037D2">
        <w:rPr>
          <w:rFonts w:ascii="Garamond" w:eastAsia="Calibri" w:hAnsi="Garamond" w:cs="Times New Roman"/>
        </w:rPr>
        <w:t>The Altar</w:t>
      </w:r>
      <w:r w:rsidR="00ED0F4C">
        <w:rPr>
          <w:rFonts w:ascii="Garamond" w:eastAsia="Calibri" w:hAnsi="Garamond" w:cs="Times New Roman"/>
        </w:rPr>
        <w:t>”</w:t>
      </w:r>
      <w:r w:rsidRPr="003037D2">
        <w:rPr>
          <w:rFonts w:ascii="Garamond" w:eastAsia="Calibri" w:hAnsi="Garamond" w:cs="Times New Roman"/>
        </w:rPr>
        <w:t xml:space="preserve"> calls] attention to itself as something quite carefully made’.</w:t>
      </w:r>
      <w:r w:rsidRPr="003037D2">
        <w:rPr>
          <w:rFonts w:ascii="Garamond" w:eastAsia="Calibri" w:hAnsi="Garamond" w:cs="Times New Roman"/>
          <w:vertAlign w:val="superscript"/>
        </w:rPr>
        <w:footnoteReference w:id="598"/>
      </w:r>
      <w:r w:rsidRPr="003037D2">
        <w:rPr>
          <w:rFonts w:ascii="Garamond" w:eastAsia="Calibri" w:hAnsi="Garamond" w:cs="Times New Roman"/>
        </w:rPr>
        <w:t xml:space="preserve"> The annotators</w:t>
      </w:r>
      <w:r w:rsidR="001F1F6B" w:rsidRPr="003037D2">
        <w:rPr>
          <w:rFonts w:ascii="Garamond" w:eastAsia="Calibri" w:hAnsi="Garamond" w:cs="Times New Roman"/>
        </w:rPr>
        <w:t>’</w:t>
      </w:r>
      <w:r w:rsidRPr="003037D2">
        <w:rPr>
          <w:rFonts w:ascii="Garamond" w:eastAsia="Calibri" w:hAnsi="Garamond" w:cs="Times New Roman"/>
        </w:rPr>
        <w:t xml:space="preserve"> and printers’ interventions with the page and form amplifies this call for attention. As well as making clear the altar shape of the poem, these lines inscribe a capital letter ‘I’ on the page, </w:t>
      </w:r>
      <w:proofErr w:type="spellStart"/>
      <w:r w:rsidRPr="003037D2">
        <w:rPr>
          <w:rFonts w:ascii="Garamond" w:eastAsia="Calibri" w:hAnsi="Garamond" w:cs="Times New Roman"/>
        </w:rPr>
        <w:t>centring</w:t>
      </w:r>
      <w:proofErr w:type="spellEnd"/>
      <w:r w:rsidRPr="003037D2">
        <w:rPr>
          <w:rFonts w:ascii="Garamond" w:eastAsia="Calibri" w:hAnsi="Garamond" w:cs="Times New Roman"/>
        </w:rPr>
        <w:t xml:space="preserve"> the individual experience that </w:t>
      </w:r>
      <w:proofErr w:type="spellStart"/>
      <w:r w:rsidRPr="003037D2">
        <w:rPr>
          <w:rFonts w:ascii="Garamond" w:eastAsia="Calibri" w:hAnsi="Garamond" w:cs="Times New Roman"/>
        </w:rPr>
        <w:t>characterises</w:t>
      </w:r>
      <w:proofErr w:type="spellEnd"/>
      <w:r w:rsidRPr="003037D2">
        <w:rPr>
          <w:rFonts w:ascii="Garamond" w:eastAsia="Calibri" w:hAnsi="Garamond" w:cs="Times New Roman"/>
        </w:rPr>
        <w:t xml:space="preserve"> the poem. ‘The broken Altar’ described is in fact resolutely whole: visually arresting on the page, particularly when outlined in this manner. Rigid rhyming couplets combine with forceful changes of meter to form the altar shape. The Lord’s ‘servant’ has already rebuilt it, ‘made of a </w:t>
      </w:r>
      <w:r w:rsidRPr="003037D2">
        <w:rPr>
          <w:rFonts w:ascii="Garamond" w:eastAsia="Calibri" w:hAnsi="Garamond" w:cs="Times New Roman"/>
        </w:rPr>
        <w:lastRenderedPageBreak/>
        <w:t xml:space="preserve">heart, and cemented with tears’. The central column of this altar, the backbone of the poem, declares ‘Wherefore each part/ Of my heard heart/ Meets in this </w:t>
      </w:r>
      <w:proofErr w:type="gramStart"/>
      <w:r w:rsidRPr="003037D2">
        <w:rPr>
          <w:rFonts w:ascii="Garamond" w:eastAsia="Calibri" w:hAnsi="Garamond" w:cs="Times New Roman"/>
        </w:rPr>
        <w:t>frame,/</w:t>
      </w:r>
      <w:proofErr w:type="gramEnd"/>
      <w:r w:rsidRPr="003037D2">
        <w:rPr>
          <w:rFonts w:ascii="Garamond" w:eastAsia="Calibri" w:hAnsi="Garamond" w:cs="Times New Roman"/>
        </w:rPr>
        <w:t xml:space="preserve"> To praise thy name’. The speaker’s whole identity is </w:t>
      </w:r>
      <w:proofErr w:type="gramStart"/>
      <w:r w:rsidRPr="003037D2">
        <w:rPr>
          <w:rFonts w:ascii="Garamond" w:eastAsia="Calibri" w:hAnsi="Garamond" w:cs="Times New Roman"/>
        </w:rPr>
        <w:t>put to use</w:t>
      </w:r>
      <w:proofErr w:type="gramEnd"/>
      <w:r w:rsidRPr="003037D2">
        <w:rPr>
          <w:rFonts w:ascii="Garamond" w:eastAsia="Calibri" w:hAnsi="Garamond" w:cs="Times New Roman"/>
        </w:rPr>
        <w:t xml:space="preserve">, the stony heart able to be perfectly reworked to create an altar of praise. </w:t>
      </w:r>
    </w:p>
    <w:p w14:paraId="584114FB" w14:textId="77777777" w:rsidR="00162224" w:rsidRPr="003037D2" w:rsidRDefault="00162224" w:rsidP="00162224">
      <w:pPr>
        <w:tabs>
          <w:tab w:val="left" w:pos="5728"/>
        </w:tabs>
        <w:spacing w:line="360" w:lineRule="auto"/>
        <w:ind w:firstLine="737"/>
        <w:rPr>
          <w:rFonts w:ascii="Garamond" w:eastAsia="Calibri" w:hAnsi="Garamond" w:cs="Times New Roman"/>
        </w:rPr>
      </w:pPr>
    </w:p>
    <w:p w14:paraId="3F39CC36" w14:textId="1369EA33" w:rsidR="00162224" w:rsidRPr="003037D2" w:rsidRDefault="00162224" w:rsidP="00667CD5">
      <w:pPr>
        <w:tabs>
          <w:tab w:val="left" w:pos="5728"/>
        </w:tabs>
        <w:spacing w:line="360" w:lineRule="auto"/>
        <w:ind w:firstLine="737"/>
        <w:rPr>
          <w:rFonts w:ascii="Garamond" w:eastAsia="Calibri" w:hAnsi="Garamond" w:cs="Times New Roman"/>
        </w:rPr>
      </w:pPr>
      <w:r w:rsidRPr="003037D2">
        <w:rPr>
          <w:rFonts w:ascii="Garamond" w:eastAsia="Calibri" w:hAnsi="Garamond" w:cs="Times New Roman"/>
        </w:rPr>
        <w:t>One pictorial representation of ‘The Altar’, an unattributed single leaf print held in the British Library, represents this with a literal altar depicted within a classical temple, the stony hearts engraved upon it.</w:t>
      </w:r>
      <w:r w:rsidRPr="003037D2">
        <w:rPr>
          <w:rFonts w:ascii="Garamond" w:eastAsia="Calibri" w:hAnsi="Garamond" w:cs="Times New Roman"/>
          <w:vertAlign w:val="superscript"/>
        </w:rPr>
        <w:footnoteReference w:id="599"/>
      </w:r>
      <w:r w:rsidRPr="003037D2">
        <w:rPr>
          <w:rFonts w:ascii="Garamond" w:eastAsia="Calibri" w:hAnsi="Garamond" w:cs="Times New Roman"/>
        </w:rPr>
        <w:t xml:space="preserve"> Stone altars were disappearing from English churches at the time, replaced by wooden tables.</w:t>
      </w:r>
      <w:r w:rsidRPr="003037D2">
        <w:rPr>
          <w:rFonts w:ascii="Garamond" w:eastAsia="Calibri" w:hAnsi="Garamond" w:cs="Times New Roman"/>
          <w:vertAlign w:val="superscript"/>
        </w:rPr>
        <w:footnoteReference w:id="600"/>
      </w:r>
      <w:r w:rsidRPr="003037D2">
        <w:rPr>
          <w:rFonts w:ascii="Garamond" w:eastAsia="Calibri" w:hAnsi="Garamond" w:cs="Times New Roman"/>
        </w:rPr>
        <w:t xml:space="preserve"> In ‘Easter’, a few poems later in the volume, Herbert addresses himself directly to the heart, instructing ‘Rise heart; thy lord is risen’; ‘his death calcined thee to dust,/ His life may make thee gold’.</w:t>
      </w:r>
      <w:r w:rsidRPr="003037D2">
        <w:rPr>
          <w:rFonts w:ascii="Garamond" w:eastAsia="Calibri" w:hAnsi="Garamond" w:cs="Times New Roman"/>
          <w:vertAlign w:val="superscript"/>
        </w:rPr>
        <w:footnoteReference w:id="601"/>
      </w:r>
      <w:r w:rsidRPr="003037D2">
        <w:rPr>
          <w:rFonts w:ascii="Garamond" w:eastAsia="Calibri" w:hAnsi="Garamond" w:cs="Times New Roman"/>
        </w:rPr>
        <w:t xml:space="preserve"> This calcinated heart has appeared many times in these early poems. ‘</w:t>
      </w:r>
      <w:proofErr w:type="spellStart"/>
      <w:r w:rsidRPr="003037D2">
        <w:rPr>
          <w:rFonts w:ascii="Garamond" w:eastAsia="Calibri" w:hAnsi="Garamond" w:cs="Times New Roman"/>
        </w:rPr>
        <w:t>Sepulchre</w:t>
      </w:r>
      <w:proofErr w:type="spellEnd"/>
      <w:r w:rsidRPr="003037D2">
        <w:rPr>
          <w:rFonts w:ascii="Garamond" w:eastAsia="Calibri" w:hAnsi="Garamond" w:cs="Times New Roman"/>
        </w:rPr>
        <w:t>’, for ins</w:t>
      </w:r>
      <w:r w:rsidR="001F1F6B" w:rsidRPr="003037D2">
        <w:rPr>
          <w:rFonts w:ascii="Garamond" w:eastAsia="Calibri" w:hAnsi="Garamond" w:cs="Times New Roman"/>
        </w:rPr>
        <w:t>t</w:t>
      </w:r>
      <w:r w:rsidRPr="003037D2">
        <w:rPr>
          <w:rFonts w:ascii="Garamond" w:eastAsia="Calibri" w:hAnsi="Garamond" w:cs="Times New Roman"/>
        </w:rPr>
        <w:t xml:space="preserve">ance, opens: </w:t>
      </w:r>
    </w:p>
    <w:p w14:paraId="275C0810" w14:textId="77777777" w:rsidR="00162224" w:rsidRPr="003037D2" w:rsidRDefault="00162224" w:rsidP="00162224">
      <w:pPr>
        <w:tabs>
          <w:tab w:val="left" w:pos="5728"/>
        </w:tabs>
        <w:ind w:left="1440" w:firstLine="737"/>
        <w:rPr>
          <w:rFonts w:ascii="Garamond" w:eastAsia="Calibri" w:hAnsi="Garamond" w:cs="Times New Roman"/>
        </w:rPr>
      </w:pPr>
      <w:r w:rsidRPr="003037D2">
        <w:rPr>
          <w:rFonts w:ascii="Garamond" w:eastAsia="Calibri" w:hAnsi="Garamond" w:cs="Times New Roman"/>
        </w:rPr>
        <w:t xml:space="preserve">O blessed body! Wither art thou </w:t>
      </w:r>
      <w:proofErr w:type="gramStart"/>
      <w:r w:rsidRPr="003037D2">
        <w:rPr>
          <w:rFonts w:ascii="Garamond" w:eastAsia="Calibri" w:hAnsi="Garamond" w:cs="Times New Roman"/>
        </w:rPr>
        <w:t>thrown?</w:t>
      </w:r>
      <w:proofErr w:type="gramEnd"/>
      <w:r w:rsidRPr="003037D2">
        <w:rPr>
          <w:rFonts w:ascii="Garamond" w:eastAsia="Calibri" w:hAnsi="Garamond" w:cs="Times New Roman"/>
        </w:rPr>
        <w:t xml:space="preserve"> </w:t>
      </w:r>
    </w:p>
    <w:p w14:paraId="10AE1C7E" w14:textId="77777777" w:rsidR="00162224" w:rsidRPr="003037D2" w:rsidRDefault="00162224" w:rsidP="00162224">
      <w:pPr>
        <w:tabs>
          <w:tab w:val="left" w:pos="5728"/>
        </w:tabs>
        <w:ind w:left="1440" w:firstLine="737"/>
        <w:rPr>
          <w:rFonts w:ascii="Garamond" w:eastAsia="Calibri" w:hAnsi="Garamond" w:cs="Times New Roman"/>
        </w:rPr>
      </w:pPr>
      <w:r w:rsidRPr="003037D2">
        <w:rPr>
          <w:rFonts w:ascii="Garamond" w:eastAsia="Calibri" w:hAnsi="Garamond" w:cs="Times New Roman"/>
        </w:rPr>
        <w:t xml:space="preserve">No lodging for thee, but a cold hard stone? </w:t>
      </w:r>
    </w:p>
    <w:p w14:paraId="0287B69D" w14:textId="77777777" w:rsidR="00162224" w:rsidRPr="003037D2" w:rsidRDefault="00162224" w:rsidP="00162224">
      <w:pPr>
        <w:tabs>
          <w:tab w:val="left" w:pos="5728"/>
        </w:tabs>
        <w:ind w:left="1440" w:firstLine="737"/>
        <w:rPr>
          <w:rFonts w:ascii="Garamond" w:eastAsia="Calibri" w:hAnsi="Garamond" w:cs="Times New Roman"/>
        </w:rPr>
      </w:pPr>
      <w:r w:rsidRPr="003037D2">
        <w:rPr>
          <w:rFonts w:ascii="Garamond" w:eastAsia="Calibri" w:hAnsi="Garamond" w:cs="Times New Roman"/>
        </w:rPr>
        <w:t>So many hearts on earth, and yet not one</w:t>
      </w:r>
    </w:p>
    <w:p w14:paraId="2B75584A" w14:textId="77777777" w:rsidR="00162224" w:rsidRPr="003037D2" w:rsidRDefault="00162224" w:rsidP="00162224">
      <w:pPr>
        <w:tabs>
          <w:tab w:val="left" w:pos="5728"/>
        </w:tabs>
        <w:ind w:left="1440" w:firstLine="737"/>
        <w:rPr>
          <w:rFonts w:ascii="Garamond" w:eastAsia="Calibri" w:hAnsi="Garamond" w:cs="Times New Roman"/>
        </w:rPr>
      </w:pPr>
      <w:r w:rsidRPr="003037D2">
        <w:rPr>
          <w:rFonts w:ascii="Garamond" w:eastAsia="Calibri" w:hAnsi="Garamond" w:cs="Times New Roman"/>
        </w:rPr>
        <w:t xml:space="preserve">                                             Receive thee?</w:t>
      </w:r>
      <w:r w:rsidRPr="003037D2">
        <w:rPr>
          <w:rFonts w:ascii="Garamond" w:eastAsia="Calibri" w:hAnsi="Garamond" w:cs="Times New Roman"/>
          <w:vertAlign w:val="superscript"/>
        </w:rPr>
        <w:footnoteReference w:id="602"/>
      </w:r>
      <w:r w:rsidRPr="003037D2">
        <w:rPr>
          <w:rFonts w:ascii="Garamond" w:eastAsia="Calibri" w:hAnsi="Garamond" w:cs="Times New Roman"/>
        </w:rPr>
        <w:t xml:space="preserve"> </w:t>
      </w:r>
    </w:p>
    <w:p w14:paraId="4FC8CBA7" w14:textId="77777777" w:rsidR="00162224" w:rsidRPr="003037D2" w:rsidRDefault="00162224" w:rsidP="00162224">
      <w:pPr>
        <w:tabs>
          <w:tab w:val="left" w:pos="5728"/>
        </w:tabs>
        <w:ind w:left="1440" w:firstLine="737"/>
        <w:rPr>
          <w:rFonts w:ascii="Garamond" w:eastAsia="Calibri" w:hAnsi="Garamond" w:cs="Times New Roman"/>
        </w:rPr>
      </w:pPr>
    </w:p>
    <w:p w14:paraId="65399C0F" w14:textId="77777777" w:rsidR="00162224" w:rsidRPr="003037D2" w:rsidRDefault="00162224" w:rsidP="00162224">
      <w:pPr>
        <w:tabs>
          <w:tab w:val="left" w:pos="5728"/>
        </w:tabs>
        <w:spacing w:line="360" w:lineRule="auto"/>
        <w:rPr>
          <w:rFonts w:ascii="Garamond" w:eastAsia="Calibri" w:hAnsi="Garamond" w:cs="Times New Roman"/>
        </w:rPr>
      </w:pPr>
      <w:r w:rsidRPr="003037D2">
        <w:rPr>
          <w:rFonts w:ascii="Garamond" w:eastAsia="Calibri" w:hAnsi="Garamond" w:cs="Times New Roman"/>
        </w:rPr>
        <w:t xml:space="preserve">The body of Christ is rejected, the tomb within which he was left standing in for the unfeeling nature of mankind. This is reinforced by the later reference to the stoning of Christ, ‘Where our hard hearts have took up stones to brain thee,/ And missing this, most falsely did arraign thee;/ Only these stones in quiet entertain thee…’ Crimes of passion against the body of Christ are transformed to an almost more chilling response, punishing him through the law. However, these two deeply negative invocations of the lithic are placed around a question regarding its nature. The speaker asks ‘Whatever sin did this pure rock </w:t>
      </w:r>
      <w:proofErr w:type="gramStart"/>
      <w:r w:rsidRPr="003037D2">
        <w:rPr>
          <w:rFonts w:ascii="Garamond" w:eastAsia="Calibri" w:hAnsi="Garamond" w:cs="Times New Roman"/>
        </w:rPr>
        <w:t>commit,/</w:t>
      </w:r>
      <w:proofErr w:type="gramEnd"/>
      <w:r w:rsidRPr="003037D2">
        <w:rPr>
          <w:rFonts w:ascii="Garamond" w:eastAsia="Calibri" w:hAnsi="Garamond" w:cs="Times New Roman"/>
        </w:rPr>
        <w:t xml:space="preserve"> Which holds thee now?’ Here, the rock is both the tomb and Christ himself, as in Corinthians 10:4 ‘they drank of that spiritual Rock… and that Rock was Christ’. Rock can be pure, a source of life-giving water. This is reinforced by Herbert’s many references to the stony heart providing a fount of tears, blood, or ink. The BL Harley image reflects this, with the heart </w:t>
      </w:r>
      <w:proofErr w:type="spellStart"/>
      <w:r w:rsidRPr="003037D2">
        <w:rPr>
          <w:rFonts w:ascii="Garamond" w:eastAsia="Calibri" w:hAnsi="Garamond" w:cs="Times New Roman"/>
        </w:rPr>
        <w:t>centred</w:t>
      </w:r>
      <w:proofErr w:type="spellEnd"/>
      <w:r w:rsidRPr="003037D2">
        <w:rPr>
          <w:rFonts w:ascii="Garamond" w:eastAsia="Calibri" w:hAnsi="Garamond" w:cs="Times New Roman"/>
        </w:rPr>
        <w:t xml:space="preserve"> on the altar surrounded by droplets, either of water, tears, or blood. In ‘The Sinner’ the speaker asks for God’s intervention: </w:t>
      </w:r>
    </w:p>
    <w:p w14:paraId="162CBCFA" w14:textId="77777777" w:rsidR="00162224" w:rsidRPr="003037D2" w:rsidRDefault="00162224" w:rsidP="00162224">
      <w:pPr>
        <w:tabs>
          <w:tab w:val="left" w:pos="5728"/>
        </w:tabs>
        <w:ind w:left="2160"/>
        <w:rPr>
          <w:rFonts w:ascii="Garamond" w:eastAsia="Calibri" w:hAnsi="Garamond" w:cs="Times New Roman"/>
        </w:rPr>
      </w:pPr>
      <w:r w:rsidRPr="003037D2">
        <w:rPr>
          <w:rFonts w:ascii="Garamond" w:eastAsia="Calibri" w:hAnsi="Garamond" w:cs="Times New Roman"/>
        </w:rPr>
        <w:lastRenderedPageBreak/>
        <w:t xml:space="preserve">Yet Lord restore thy image, hear my call: </w:t>
      </w:r>
    </w:p>
    <w:p w14:paraId="4D5A7FE3" w14:textId="77777777" w:rsidR="00162224" w:rsidRPr="003037D2" w:rsidRDefault="00162224" w:rsidP="00162224">
      <w:pPr>
        <w:tabs>
          <w:tab w:val="left" w:pos="5728"/>
        </w:tabs>
        <w:ind w:left="2160"/>
        <w:rPr>
          <w:rFonts w:ascii="Garamond" w:eastAsia="Calibri" w:hAnsi="Garamond" w:cs="Times New Roman"/>
        </w:rPr>
      </w:pPr>
      <w:r w:rsidRPr="003037D2">
        <w:rPr>
          <w:rFonts w:ascii="Garamond" w:eastAsia="Calibri" w:hAnsi="Garamond" w:cs="Times New Roman"/>
        </w:rPr>
        <w:t xml:space="preserve">       And though my hard heart scarce to thee can groan, </w:t>
      </w:r>
    </w:p>
    <w:p w14:paraId="23E902BB" w14:textId="77777777" w:rsidR="00162224" w:rsidRPr="003037D2" w:rsidRDefault="00162224" w:rsidP="00162224">
      <w:pPr>
        <w:tabs>
          <w:tab w:val="left" w:pos="5728"/>
        </w:tabs>
        <w:ind w:left="2160"/>
        <w:rPr>
          <w:rFonts w:ascii="Garamond" w:eastAsia="Calibri" w:hAnsi="Garamond" w:cs="Times New Roman"/>
        </w:rPr>
      </w:pPr>
      <w:r w:rsidRPr="003037D2">
        <w:rPr>
          <w:rFonts w:ascii="Garamond" w:eastAsia="Calibri" w:hAnsi="Garamond" w:cs="Times New Roman"/>
        </w:rPr>
        <w:t xml:space="preserve">       Remember that thou once didst write in stone.</w:t>
      </w:r>
      <w:r w:rsidRPr="003037D2">
        <w:rPr>
          <w:rFonts w:ascii="Garamond" w:eastAsia="Calibri" w:hAnsi="Garamond" w:cs="Times New Roman"/>
          <w:vertAlign w:val="superscript"/>
        </w:rPr>
        <w:footnoteReference w:id="603"/>
      </w:r>
      <w:r w:rsidRPr="003037D2">
        <w:rPr>
          <w:rFonts w:ascii="Garamond" w:eastAsia="Calibri" w:hAnsi="Garamond" w:cs="Times New Roman"/>
        </w:rPr>
        <w:t xml:space="preserve"> </w:t>
      </w:r>
    </w:p>
    <w:p w14:paraId="3D1A7C8D" w14:textId="77777777" w:rsidR="00162224" w:rsidRPr="003037D2" w:rsidRDefault="00162224" w:rsidP="00162224">
      <w:pPr>
        <w:tabs>
          <w:tab w:val="left" w:pos="5728"/>
        </w:tabs>
        <w:spacing w:line="360" w:lineRule="auto"/>
        <w:ind w:left="2160"/>
        <w:rPr>
          <w:rFonts w:ascii="Garamond" w:eastAsia="Calibri" w:hAnsi="Garamond" w:cs="Times New Roman"/>
        </w:rPr>
      </w:pPr>
    </w:p>
    <w:p w14:paraId="3C29050A" w14:textId="77777777" w:rsidR="00162224" w:rsidRPr="003037D2" w:rsidRDefault="00162224" w:rsidP="00162224">
      <w:pPr>
        <w:tabs>
          <w:tab w:val="left" w:pos="5728"/>
        </w:tabs>
        <w:spacing w:line="360" w:lineRule="auto"/>
        <w:rPr>
          <w:rFonts w:ascii="Garamond" w:eastAsia="Calibri" w:hAnsi="Garamond" w:cs="Times New Roman"/>
        </w:rPr>
      </w:pPr>
      <w:r w:rsidRPr="003037D2">
        <w:rPr>
          <w:rFonts w:ascii="Garamond" w:eastAsia="Calibri" w:hAnsi="Garamond" w:cs="Times New Roman"/>
        </w:rPr>
        <w:t xml:space="preserve">Immediately following this, ‘Good Friday’ declares ‘blood is fittest, Lord, to write/ Thy sorrows in… My heart hath store, write there, wherein/ One box doth lie both ink and sin’. Christ’s sacrificial blood is mirrored by his followers’ ability to provide testimony, using their own blood to ‘write’ of him, or offering their hard hearts to be inscribed. </w:t>
      </w:r>
    </w:p>
    <w:p w14:paraId="0CB325FB" w14:textId="77777777" w:rsidR="00162224" w:rsidRPr="003037D2" w:rsidRDefault="00162224" w:rsidP="00162224">
      <w:pPr>
        <w:tabs>
          <w:tab w:val="left" w:pos="5728"/>
        </w:tabs>
        <w:spacing w:line="360" w:lineRule="auto"/>
        <w:rPr>
          <w:rFonts w:ascii="Garamond" w:eastAsia="Calibri" w:hAnsi="Garamond" w:cs="Times New Roman"/>
        </w:rPr>
      </w:pPr>
    </w:p>
    <w:p w14:paraId="49A26970" w14:textId="5B03F8D9" w:rsidR="00162224" w:rsidRPr="003037D2" w:rsidRDefault="00162224" w:rsidP="00667CD5">
      <w:pPr>
        <w:tabs>
          <w:tab w:val="left" w:pos="5728"/>
        </w:tabs>
        <w:spacing w:line="360" w:lineRule="auto"/>
        <w:ind w:firstLine="737"/>
        <w:rPr>
          <w:rFonts w:ascii="Garamond" w:eastAsia="Calibri" w:hAnsi="Garamond" w:cs="Times New Roman"/>
        </w:rPr>
      </w:pPr>
      <w:r w:rsidRPr="003037D2">
        <w:rPr>
          <w:rFonts w:ascii="Garamond" w:eastAsia="Calibri" w:hAnsi="Garamond" w:cs="Times New Roman"/>
        </w:rPr>
        <w:t xml:space="preserve">It is in ‘The Sacrifice’, when Christ’s own voice is heard, that the images of the stony hearts of man are most contrasted with the </w:t>
      </w:r>
      <w:proofErr w:type="spellStart"/>
      <w:r w:rsidRPr="003037D2">
        <w:rPr>
          <w:rFonts w:ascii="Garamond" w:eastAsia="Calibri" w:hAnsi="Garamond" w:cs="Times New Roman"/>
        </w:rPr>
        <w:t>humanised</w:t>
      </w:r>
      <w:proofErr w:type="spellEnd"/>
      <w:r w:rsidRPr="003037D2">
        <w:rPr>
          <w:rFonts w:ascii="Garamond" w:eastAsia="Calibri" w:hAnsi="Garamond" w:cs="Times New Roman"/>
        </w:rPr>
        <w:t xml:space="preserve"> God’s ability to bleed for them. This is the only poem in </w:t>
      </w:r>
      <w:r w:rsidRPr="003037D2">
        <w:rPr>
          <w:rFonts w:ascii="Garamond" w:eastAsia="Calibri" w:hAnsi="Garamond" w:cs="Times New Roman"/>
          <w:i/>
        </w:rPr>
        <w:t xml:space="preserve">The Temple </w:t>
      </w:r>
      <w:r w:rsidRPr="003037D2">
        <w:rPr>
          <w:rFonts w:ascii="Garamond" w:eastAsia="Calibri" w:hAnsi="Garamond" w:cs="Times New Roman"/>
        </w:rPr>
        <w:t xml:space="preserve">that so dramatizes Christ’s voice. It should not escape note that this is one of the few poems that makes use of a definite article in its title, as pointed out by Ferry in her discussion of Herbert’s choice of titles. Whilst many of Herbert’s topics are </w:t>
      </w:r>
      <w:proofErr w:type="spellStart"/>
      <w:r w:rsidRPr="003037D2">
        <w:rPr>
          <w:rFonts w:ascii="Garamond" w:eastAsia="Calibri" w:hAnsi="Garamond" w:cs="Times New Roman"/>
        </w:rPr>
        <w:t>universalised</w:t>
      </w:r>
      <w:proofErr w:type="spellEnd"/>
      <w:r w:rsidRPr="003037D2">
        <w:rPr>
          <w:rFonts w:ascii="Garamond" w:eastAsia="Calibri" w:hAnsi="Garamond" w:cs="Times New Roman"/>
        </w:rPr>
        <w:t>, this one stands out as unique, pinpointed in time and space. Indeed, the first five poems of ‘The Church’ make use of definite articles in their titles, as Herbert directs his readers’ attention towards specific material objects that spawn wider associations. In ‘The Sacrifice’, Christ asks ‘Was ever grief like mine?’ He notes, ‘Therefore my soul melts, and my heart’s dear treasure/ Drops blood (the only beads) my words to measure’</w:t>
      </w:r>
      <w:r w:rsidR="001F1F6B" w:rsidRPr="003037D2">
        <w:rPr>
          <w:rFonts w:ascii="Garamond" w:eastAsia="Calibri" w:hAnsi="Garamond" w:cs="Times New Roman"/>
        </w:rPr>
        <w:t xml:space="preserve"> (ll.21-22)</w:t>
      </w:r>
      <w:r w:rsidRPr="003037D2">
        <w:rPr>
          <w:rFonts w:ascii="Garamond" w:eastAsia="Calibri" w:hAnsi="Garamond" w:cs="Times New Roman"/>
        </w:rPr>
        <w:t>.</w:t>
      </w:r>
      <w:r w:rsidRPr="003037D2">
        <w:rPr>
          <w:rFonts w:ascii="Garamond" w:eastAsia="Calibri" w:hAnsi="Garamond" w:cs="Times New Roman"/>
          <w:vertAlign w:val="superscript"/>
        </w:rPr>
        <w:footnoteReference w:id="604"/>
      </w:r>
      <w:r w:rsidRPr="003037D2">
        <w:rPr>
          <w:rFonts w:ascii="Garamond" w:eastAsia="Calibri" w:hAnsi="Garamond" w:cs="Times New Roman"/>
        </w:rPr>
        <w:t xml:space="preserve"> The ‘beads’ seen in ‘Sunday’, adorning the wrists of the Church, are transformed into something more visceral: drops of blood rather than the beads of a rosary. Christ’s suffering is contrasted to ‘</w:t>
      </w:r>
      <w:r w:rsidRPr="003037D2">
        <w:rPr>
          <w:rFonts w:ascii="Garamond" w:eastAsia="Calibri" w:hAnsi="Garamond" w:cs="Times New Roman"/>
          <w:i/>
        </w:rPr>
        <w:t xml:space="preserve">Herod </w:t>
      </w:r>
      <w:r w:rsidRPr="003037D2">
        <w:rPr>
          <w:rFonts w:ascii="Garamond" w:eastAsia="Calibri" w:hAnsi="Garamond" w:cs="Times New Roman"/>
        </w:rPr>
        <w:t xml:space="preserve">and all his bands [who] do set me light’ and ‘The </w:t>
      </w:r>
      <w:r w:rsidRPr="003037D2">
        <w:rPr>
          <w:rFonts w:ascii="Garamond" w:eastAsia="Calibri" w:hAnsi="Garamond" w:cs="Times New Roman"/>
          <w:i/>
        </w:rPr>
        <w:t xml:space="preserve">Jews </w:t>
      </w:r>
      <w:r w:rsidRPr="003037D2">
        <w:rPr>
          <w:rFonts w:ascii="Garamond" w:eastAsia="Calibri" w:hAnsi="Garamond" w:cs="Times New Roman"/>
        </w:rPr>
        <w:t>[who] accuse me with despitefulness’</w:t>
      </w:r>
      <w:r w:rsidR="001F1F6B" w:rsidRPr="003037D2">
        <w:rPr>
          <w:rFonts w:ascii="Garamond" w:eastAsia="Calibri" w:hAnsi="Garamond" w:cs="Times New Roman"/>
        </w:rPr>
        <w:t xml:space="preserve"> </w:t>
      </w:r>
      <w:r w:rsidRPr="003037D2">
        <w:rPr>
          <w:rFonts w:ascii="Garamond" w:eastAsia="Calibri" w:hAnsi="Garamond" w:cs="Times New Roman"/>
        </w:rPr>
        <w:t>(l.78, l.85)</w:t>
      </w:r>
      <w:r w:rsidR="001F1F6B" w:rsidRPr="003037D2">
        <w:rPr>
          <w:rFonts w:ascii="Garamond" w:eastAsia="Calibri" w:hAnsi="Garamond" w:cs="Times New Roman"/>
        </w:rPr>
        <w:t>.</w:t>
      </w:r>
      <w:r w:rsidRPr="003037D2">
        <w:rPr>
          <w:rFonts w:ascii="Garamond" w:eastAsia="Calibri" w:hAnsi="Garamond" w:cs="Times New Roman"/>
        </w:rPr>
        <w:t xml:space="preserve"> Christ’s response is silence, to see ‘If stony hearts will melt with gentle love’ (l.90)</w:t>
      </w:r>
      <w:r w:rsidR="001F1F6B" w:rsidRPr="003037D2">
        <w:rPr>
          <w:rFonts w:ascii="Garamond" w:eastAsia="Calibri" w:hAnsi="Garamond" w:cs="Times New Roman"/>
        </w:rPr>
        <w:t>.</w:t>
      </w:r>
      <w:r w:rsidRPr="003037D2">
        <w:rPr>
          <w:rFonts w:ascii="Garamond" w:eastAsia="Calibri" w:hAnsi="Garamond" w:cs="Times New Roman"/>
        </w:rPr>
        <w:t xml:space="preserve"> However, the waters which melting hearts remain a threat, ‘My dove doth back into my bosom </w:t>
      </w:r>
      <w:proofErr w:type="gramStart"/>
      <w:r w:rsidRPr="003037D2">
        <w:rPr>
          <w:rFonts w:ascii="Garamond" w:eastAsia="Calibri" w:hAnsi="Garamond" w:cs="Times New Roman"/>
        </w:rPr>
        <w:t>fly,/</w:t>
      </w:r>
      <w:proofErr w:type="gramEnd"/>
      <w:r w:rsidRPr="003037D2">
        <w:rPr>
          <w:rFonts w:ascii="Garamond" w:eastAsia="Calibri" w:hAnsi="Garamond" w:cs="Times New Roman"/>
        </w:rPr>
        <w:t xml:space="preserve"> Because the raging waters still are high’</w:t>
      </w:r>
      <w:r w:rsidR="001F1F6B" w:rsidRPr="003037D2">
        <w:rPr>
          <w:rFonts w:ascii="Garamond" w:eastAsia="Calibri" w:hAnsi="Garamond" w:cs="Times New Roman"/>
        </w:rPr>
        <w:t xml:space="preserve"> </w:t>
      </w:r>
      <w:r w:rsidRPr="003037D2">
        <w:rPr>
          <w:rFonts w:ascii="Garamond" w:eastAsia="Calibri" w:hAnsi="Garamond" w:cs="Times New Roman"/>
        </w:rPr>
        <w:t>(ll.94-5)</w:t>
      </w:r>
      <w:r w:rsidR="001F1F6B" w:rsidRPr="003037D2">
        <w:rPr>
          <w:rFonts w:ascii="Garamond" w:eastAsia="Calibri" w:hAnsi="Garamond" w:cs="Times New Roman"/>
        </w:rPr>
        <w:t>.</w:t>
      </w:r>
      <w:r w:rsidRPr="003037D2">
        <w:rPr>
          <w:rFonts w:ascii="Garamond" w:eastAsia="Calibri" w:hAnsi="Garamond" w:cs="Times New Roman"/>
        </w:rPr>
        <w:t xml:space="preserve"> It is an earthly rather than a heavenly ruler who can dissolve man’s hearts: </w:t>
      </w:r>
    </w:p>
    <w:p w14:paraId="76B3CBCB" w14:textId="77777777" w:rsidR="00162224" w:rsidRPr="003037D2" w:rsidRDefault="00162224" w:rsidP="00162224">
      <w:pPr>
        <w:tabs>
          <w:tab w:val="left" w:pos="5728"/>
        </w:tabs>
        <w:ind w:left="1440" w:firstLine="737"/>
        <w:rPr>
          <w:rFonts w:ascii="Garamond" w:eastAsia="Calibri" w:hAnsi="Garamond" w:cs="Times New Roman"/>
        </w:rPr>
      </w:pPr>
      <w:r w:rsidRPr="003037D2">
        <w:rPr>
          <w:rFonts w:ascii="Garamond" w:eastAsia="Calibri" w:hAnsi="Garamond" w:cs="Times New Roman"/>
        </w:rPr>
        <w:t xml:space="preserve">Why, Caesar is their only King, not I: </w:t>
      </w:r>
    </w:p>
    <w:p w14:paraId="6A9E3057" w14:textId="77777777" w:rsidR="00162224" w:rsidRPr="003037D2" w:rsidRDefault="00162224" w:rsidP="00162224">
      <w:pPr>
        <w:tabs>
          <w:tab w:val="left" w:pos="5728"/>
        </w:tabs>
        <w:ind w:left="1440" w:firstLine="737"/>
        <w:rPr>
          <w:rFonts w:ascii="Garamond" w:eastAsia="Calibri" w:hAnsi="Garamond" w:cs="Times New Roman"/>
        </w:rPr>
      </w:pPr>
      <w:r w:rsidRPr="003037D2">
        <w:rPr>
          <w:rFonts w:ascii="Garamond" w:eastAsia="Calibri" w:hAnsi="Garamond" w:cs="Times New Roman"/>
        </w:rPr>
        <w:t xml:space="preserve">He clave the stony rock, when they were dry; </w:t>
      </w:r>
    </w:p>
    <w:p w14:paraId="51B174B6" w14:textId="77777777" w:rsidR="00162224" w:rsidRPr="003037D2" w:rsidRDefault="00162224" w:rsidP="00162224">
      <w:pPr>
        <w:tabs>
          <w:tab w:val="left" w:pos="5728"/>
        </w:tabs>
        <w:ind w:left="1440" w:firstLine="737"/>
        <w:rPr>
          <w:rFonts w:ascii="Garamond" w:eastAsia="Calibri" w:hAnsi="Garamond" w:cs="Times New Roman"/>
        </w:rPr>
      </w:pPr>
      <w:r w:rsidRPr="003037D2">
        <w:rPr>
          <w:rFonts w:ascii="Garamond" w:eastAsia="Calibri" w:hAnsi="Garamond" w:cs="Times New Roman"/>
        </w:rPr>
        <w:t xml:space="preserve">But surely not their hearts, as I </w:t>
      </w:r>
      <w:proofErr w:type="spellStart"/>
      <w:r w:rsidRPr="003037D2">
        <w:rPr>
          <w:rFonts w:ascii="Garamond" w:eastAsia="Calibri" w:hAnsi="Garamond" w:cs="Times New Roman"/>
        </w:rPr>
        <w:t>well</w:t>
      </w:r>
      <w:proofErr w:type="spellEnd"/>
      <w:r w:rsidRPr="003037D2">
        <w:rPr>
          <w:rFonts w:ascii="Garamond" w:eastAsia="Calibri" w:hAnsi="Garamond" w:cs="Times New Roman"/>
        </w:rPr>
        <w:t xml:space="preserve"> try: </w:t>
      </w:r>
    </w:p>
    <w:p w14:paraId="1FD754AB" w14:textId="77777777" w:rsidR="00162224" w:rsidRPr="003037D2" w:rsidRDefault="00162224" w:rsidP="00162224">
      <w:pPr>
        <w:tabs>
          <w:tab w:val="left" w:pos="5728"/>
        </w:tabs>
        <w:ind w:left="1440" w:firstLine="737"/>
        <w:rPr>
          <w:rFonts w:ascii="Garamond" w:eastAsia="Calibri" w:hAnsi="Garamond" w:cs="Times New Roman"/>
        </w:rPr>
      </w:pPr>
      <w:r w:rsidRPr="003037D2">
        <w:rPr>
          <w:rFonts w:ascii="Garamond" w:eastAsia="Calibri" w:hAnsi="Garamond" w:cs="Times New Roman"/>
        </w:rPr>
        <w:t xml:space="preserve">                                         Was ever grief like mine? (ll.121-124) </w:t>
      </w:r>
    </w:p>
    <w:p w14:paraId="22D7E2D7" w14:textId="77777777" w:rsidR="00162224" w:rsidRPr="003037D2" w:rsidRDefault="00162224" w:rsidP="00162224">
      <w:pPr>
        <w:tabs>
          <w:tab w:val="left" w:pos="5728"/>
        </w:tabs>
        <w:ind w:left="1440" w:firstLine="737"/>
        <w:rPr>
          <w:rFonts w:ascii="Garamond" w:eastAsia="Calibri" w:hAnsi="Garamond" w:cs="Times New Roman"/>
        </w:rPr>
      </w:pPr>
    </w:p>
    <w:p w14:paraId="4F2606DB" w14:textId="18366D58" w:rsidR="00162224" w:rsidRPr="003037D2" w:rsidRDefault="00162224" w:rsidP="00162224">
      <w:pPr>
        <w:tabs>
          <w:tab w:val="left" w:pos="5728"/>
        </w:tabs>
        <w:spacing w:line="360" w:lineRule="auto"/>
        <w:rPr>
          <w:rFonts w:ascii="Garamond" w:eastAsia="Calibri" w:hAnsi="Garamond" w:cs="Times New Roman"/>
        </w:rPr>
      </w:pPr>
      <w:r w:rsidRPr="003037D2">
        <w:rPr>
          <w:rFonts w:ascii="Garamond" w:eastAsia="Calibri" w:hAnsi="Garamond" w:cs="Times New Roman"/>
        </w:rPr>
        <w:t xml:space="preserve">Rather than tears, this unfeeling populace respond with other bodily fluids, ‘they spit on me in scornful </w:t>
      </w:r>
      <w:proofErr w:type="gramStart"/>
      <w:r w:rsidRPr="003037D2">
        <w:rPr>
          <w:rFonts w:ascii="Garamond" w:eastAsia="Calibri" w:hAnsi="Garamond" w:cs="Times New Roman"/>
        </w:rPr>
        <w:t>wise,/</w:t>
      </w:r>
      <w:proofErr w:type="gramEnd"/>
      <w:r w:rsidRPr="003037D2">
        <w:rPr>
          <w:rFonts w:ascii="Garamond" w:eastAsia="Calibri" w:hAnsi="Garamond" w:cs="Times New Roman"/>
        </w:rPr>
        <w:t xml:space="preserve"> Whom by my </w:t>
      </w:r>
      <w:proofErr w:type="spellStart"/>
      <w:r w:rsidRPr="003037D2">
        <w:rPr>
          <w:rFonts w:ascii="Garamond" w:eastAsia="Calibri" w:hAnsi="Garamond" w:cs="Times New Roman"/>
        </w:rPr>
        <w:t>splittle</w:t>
      </w:r>
      <w:proofErr w:type="spellEnd"/>
      <w:r w:rsidRPr="003037D2">
        <w:rPr>
          <w:rFonts w:ascii="Garamond" w:eastAsia="Calibri" w:hAnsi="Garamond" w:cs="Times New Roman"/>
        </w:rPr>
        <w:t xml:space="preserve"> gave the blind man eyes’</w:t>
      </w:r>
      <w:r w:rsidR="001F1F6B" w:rsidRPr="003037D2">
        <w:rPr>
          <w:rFonts w:ascii="Garamond" w:eastAsia="Calibri" w:hAnsi="Garamond" w:cs="Times New Roman"/>
        </w:rPr>
        <w:t xml:space="preserve"> </w:t>
      </w:r>
      <w:r w:rsidRPr="003037D2">
        <w:rPr>
          <w:rFonts w:ascii="Garamond" w:eastAsia="Calibri" w:hAnsi="Garamond" w:cs="Times New Roman"/>
        </w:rPr>
        <w:t>(ll.133-4)</w:t>
      </w:r>
      <w:r w:rsidR="001F1F6B" w:rsidRPr="003037D2">
        <w:rPr>
          <w:rFonts w:ascii="Garamond" w:eastAsia="Calibri" w:hAnsi="Garamond" w:cs="Times New Roman"/>
        </w:rPr>
        <w:t>.</w:t>
      </w:r>
      <w:r w:rsidRPr="003037D2">
        <w:rPr>
          <w:rFonts w:ascii="Garamond" w:eastAsia="Calibri" w:hAnsi="Garamond" w:cs="Times New Roman"/>
        </w:rPr>
        <w:t xml:space="preserve"> In Christian practice, the sacrifice is always at once bodily and </w:t>
      </w:r>
      <w:proofErr w:type="spellStart"/>
      <w:r w:rsidRPr="003037D2">
        <w:rPr>
          <w:rFonts w:ascii="Garamond" w:eastAsia="Calibri" w:hAnsi="Garamond" w:cs="Times New Roman"/>
        </w:rPr>
        <w:t>intellectualised</w:t>
      </w:r>
      <w:proofErr w:type="spellEnd"/>
      <w:r w:rsidRPr="003037D2">
        <w:rPr>
          <w:rFonts w:ascii="Garamond" w:eastAsia="Calibri" w:hAnsi="Garamond" w:cs="Times New Roman"/>
        </w:rPr>
        <w:t xml:space="preserve">. In a recent </w:t>
      </w:r>
      <w:r w:rsidRPr="003037D2">
        <w:rPr>
          <w:rFonts w:ascii="Garamond" w:eastAsia="Calibri" w:hAnsi="Garamond" w:cs="Times New Roman"/>
        </w:rPr>
        <w:lastRenderedPageBreak/>
        <w:t xml:space="preserve">article, Farrell takes a new formalist approach to explore how Herbert and other seventeenth-century poets make use of the ‘semiotics of the printed page’. In most editions of </w:t>
      </w:r>
      <w:r w:rsidRPr="003037D2">
        <w:rPr>
          <w:rFonts w:ascii="Garamond" w:eastAsia="Calibri" w:hAnsi="Garamond" w:cs="Times New Roman"/>
          <w:i/>
        </w:rPr>
        <w:t xml:space="preserve">The Temple, </w:t>
      </w:r>
      <w:r w:rsidRPr="003037D2">
        <w:rPr>
          <w:rFonts w:ascii="Garamond" w:eastAsia="Calibri" w:hAnsi="Garamond" w:cs="Times New Roman"/>
        </w:rPr>
        <w:t xml:space="preserve">‘The Altar’ and ‘The Sacrifice’ are placed on a double page spread. As the reader turns the pages of the book they are ‘not only placed in a position where… they are speaking in Christ’s voice, but in the act of page turning they are also performing Christ’s actions, joining altar and sacrifice in exactly the manner envisioned by </w:t>
      </w:r>
      <w:r w:rsidR="00161762">
        <w:rPr>
          <w:rFonts w:ascii="Garamond" w:eastAsia="Calibri" w:hAnsi="Garamond" w:cs="Times New Roman"/>
        </w:rPr>
        <w:t>“</w:t>
      </w:r>
      <w:r w:rsidRPr="003037D2">
        <w:rPr>
          <w:rFonts w:ascii="Garamond" w:eastAsia="Calibri" w:hAnsi="Garamond" w:cs="Times New Roman"/>
        </w:rPr>
        <w:t>The Altar</w:t>
      </w:r>
      <w:r w:rsidR="00161762">
        <w:rPr>
          <w:rFonts w:ascii="Garamond" w:eastAsia="Calibri" w:hAnsi="Garamond" w:cs="Times New Roman"/>
        </w:rPr>
        <w:t>”</w:t>
      </w:r>
      <w:r w:rsidRPr="003037D2">
        <w:rPr>
          <w:rFonts w:ascii="Garamond" w:eastAsia="Calibri" w:hAnsi="Garamond" w:cs="Times New Roman"/>
        </w:rPr>
        <w:t>’.</w:t>
      </w:r>
      <w:r w:rsidRPr="003037D2">
        <w:rPr>
          <w:rFonts w:ascii="Garamond" w:eastAsia="Calibri" w:hAnsi="Garamond" w:cs="Times New Roman"/>
          <w:vertAlign w:val="superscript"/>
        </w:rPr>
        <w:footnoteReference w:id="605"/>
      </w:r>
      <w:r w:rsidRPr="003037D2">
        <w:rPr>
          <w:rFonts w:ascii="Garamond" w:eastAsia="Calibri" w:hAnsi="Garamond" w:cs="Times New Roman"/>
        </w:rPr>
        <w:t xml:space="preserve"> Turning to the next leaf literally places ‘The Sacrifice’ on top of ‘The Altar’. The reader is prompted by the materiality of the book to perform a sacramental action, in an act of </w:t>
      </w:r>
      <w:proofErr w:type="spellStart"/>
      <w:r w:rsidRPr="003037D2">
        <w:rPr>
          <w:rFonts w:ascii="Garamond" w:eastAsia="Calibri" w:hAnsi="Garamond" w:cs="Times New Roman"/>
        </w:rPr>
        <w:t>memorialisation</w:t>
      </w:r>
      <w:proofErr w:type="spellEnd"/>
      <w:r w:rsidRPr="003037D2">
        <w:rPr>
          <w:rFonts w:ascii="Garamond" w:eastAsia="Calibri" w:hAnsi="Garamond" w:cs="Times New Roman"/>
        </w:rPr>
        <w:t xml:space="preserve">.  </w:t>
      </w:r>
    </w:p>
    <w:p w14:paraId="00E1D49B" w14:textId="77777777" w:rsidR="00162224" w:rsidRPr="003037D2" w:rsidRDefault="00162224" w:rsidP="00162224">
      <w:pPr>
        <w:tabs>
          <w:tab w:val="left" w:pos="5728"/>
        </w:tabs>
        <w:spacing w:line="360" w:lineRule="auto"/>
        <w:rPr>
          <w:rFonts w:ascii="Garamond" w:eastAsia="Calibri" w:hAnsi="Garamond" w:cs="Times New Roman"/>
        </w:rPr>
      </w:pPr>
    </w:p>
    <w:p w14:paraId="642812F5" w14:textId="0B411BC3" w:rsidR="00162224" w:rsidRPr="003037D2" w:rsidRDefault="00162224" w:rsidP="00667CD5">
      <w:pPr>
        <w:tabs>
          <w:tab w:val="left" w:pos="5728"/>
        </w:tabs>
        <w:spacing w:line="360" w:lineRule="auto"/>
        <w:ind w:firstLine="567"/>
        <w:rPr>
          <w:rFonts w:ascii="Garamond" w:eastAsia="Calibri" w:hAnsi="Garamond" w:cs="Times New Roman"/>
        </w:rPr>
      </w:pPr>
      <w:r w:rsidRPr="003037D2">
        <w:rPr>
          <w:rFonts w:ascii="Garamond" w:eastAsia="Calibri" w:hAnsi="Garamond" w:cs="Times New Roman"/>
        </w:rPr>
        <w:t xml:space="preserve">‘Church-Monuments’ gives a further example of how time and space can be brought together, in the conceit of the body as hourglass: </w:t>
      </w:r>
    </w:p>
    <w:p w14:paraId="706C293A" w14:textId="77777777" w:rsidR="00162224" w:rsidRPr="003037D2" w:rsidRDefault="00162224" w:rsidP="00162224">
      <w:pPr>
        <w:tabs>
          <w:tab w:val="left" w:pos="5728"/>
        </w:tabs>
        <w:ind w:left="2160"/>
        <w:rPr>
          <w:rFonts w:ascii="Garamond" w:eastAsia="Calibri" w:hAnsi="Garamond" w:cs="Times New Roman"/>
        </w:rPr>
      </w:pPr>
      <w:r w:rsidRPr="003037D2">
        <w:rPr>
          <w:rFonts w:ascii="Garamond" w:eastAsia="Calibri" w:hAnsi="Garamond" w:cs="Times New Roman"/>
        </w:rPr>
        <w:t xml:space="preserve">That flesh is but the </w:t>
      </w:r>
      <w:proofErr w:type="spellStart"/>
      <w:r w:rsidRPr="003037D2">
        <w:rPr>
          <w:rFonts w:ascii="Garamond" w:eastAsia="Calibri" w:hAnsi="Garamond" w:cs="Times New Roman"/>
        </w:rPr>
        <w:t>glasse</w:t>
      </w:r>
      <w:proofErr w:type="spellEnd"/>
      <w:r w:rsidRPr="003037D2">
        <w:rPr>
          <w:rFonts w:ascii="Garamond" w:eastAsia="Calibri" w:hAnsi="Garamond" w:cs="Times New Roman"/>
        </w:rPr>
        <w:t>, which holds the dust</w:t>
      </w:r>
    </w:p>
    <w:p w14:paraId="00768950" w14:textId="77777777" w:rsidR="00162224" w:rsidRPr="003037D2" w:rsidRDefault="00162224" w:rsidP="00162224">
      <w:pPr>
        <w:tabs>
          <w:tab w:val="left" w:pos="5728"/>
        </w:tabs>
        <w:ind w:left="2160"/>
        <w:rPr>
          <w:rFonts w:ascii="Garamond" w:eastAsia="Calibri" w:hAnsi="Garamond" w:cs="Times New Roman"/>
        </w:rPr>
      </w:pPr>
      <w:r w:rsidRPr="003037D2">
        <w:rPr>
          <w:rFonts w:ascii="Garamond" w:eastAsia="Calibri" w:hAnsi="Garamond" w:cs="Times New Roman"/>
        </w:rPr>
        <w:t xml:space="preserve">That measures all our time; which also shall </w:t>
      </w:r>
    </w:p>
    <w:p w14:paraId="5E7E83A0" w14:textId="77777777" w:rsidR="00162224" w:rsidRPr="003037D2" w:rsidRDefault="00162224" w:rsidP="00162224">
      <w:pPr>
        <w:tabs>
          <w:tab w:val="left" w:pos="5728"/>
        </w:tabs>
        <w:ind w:left="2160"/>
        <w:rPr>
          <w:rFonts w:ascii="Garamond" w:eastAsia="Calibri" w:hAnsi="Garamond" w:cs="Times New Roman"/>
        </w:rPr>
      </w:pPr>
      <w:r w:rsidRPr="003037D2">
        <w:rPr>
          <w:rFonts w:ascii="Garamond" w:eastAsia="Calibri" w:hAnsi="Garamond" w:cs="Times New Roman"/>
        </w:rPr>
        <w:t xml:space="preserve">Be crumbled into dust. Mark here below </w:t>
      </w:r>
    </w:p>
    <w:p w14:paraId="368C687E" w14:textId="77777777" w:rsidR="00162224" w:rsidRPr="003037D2" w:rsidRDefault="00162224" w:rsidP="00162224">
      <w:pPr>
        <w:tabs>
          <w:tab w:val="left" w:pos="5728"/>
        </w:tabs>
        <w:ind w:left="2160"/>
        <w:rPr>
          <w:rFonts w:ascii="Garamond" w:eastAsia="Calibri" w:hAnsi="Garamond" w:cs="Times New Roman"/>
        </w:rPr>
      </w:pPr>
      <w:r w:rsidRPr="003037D2">
        <w:rPr>
          <w:rFonts w:ascii="Garamond" w:eastAsia="Calibri" w:hAnsi="Garamond" w:cs="Times New Roman"/>
        </w:rPr>
        <w:t xml:space="preserve">How tame these ashes are, how free from </w:t>
      </w:r>
      <w:proofErr w:type="gramStart"/>
      <w:r w:rsidRPr="003037D2">
        <w:rPr>
          <w:rFonts w:ascii="Garamond" w:eastAsia="Calibri" w:hAnsi="Garamond" w:cs="Times New Roman"/>
        </w:rPr>
        <w:t>lust,</w:t>
      </w:r>
      <w:proofErr w:type="gramEnd"/>
    </w:p>
    <w:p w14:paraId="43918722" w14:textId="77777777" w:rsidR="00162224" w:rsidRPr="003037D2" w:rsidRDefault="00162224" w:rsidP="00162224">
      <w:pPr>
        <w:tabs>
          <w:tab w:val="left" w:pos="5728"/>
        </w:tabs>
        <w:ind w:left="2160"/>
        <w:rPr>
          <w:rFonts w:ascii="Garamond" w:eastAsia="Calibri" w:hAnsi="Garamond" w:cs="Times New Roman"/>
        </w:rPr>
      </w:pPr>
      <w:r w:rsidRPr="003037D2">
        <w:rPr>
          <w:rFonts w:ascii="Garamond" w:eastAsia="Calibri" w:hAnsi="Garamond" w:cs="Times New Roman"/>
        </w:rPr>
        <w:t>That thou mayst fit thy self against thy fall.</w:t>
      </w:r>
      <w:r w:rsidRPr="003037D2">
        <w:rPr>
          <w:rFonts w:ascii="Garamond" w:eastAsia="Calibri" w:hAnsi="Garamond" w:cs="Times New Roman"/>
          <w:vertAlign w:val="superscript"/>
        </w:rPr>
        <w:footnoteReference w:id="606"/>
      </w:r>
      <w:r w:rsidRPr="003037D2">
        <w:rPr>
          <w:rFonts w:ascii="Garamond" w:eastAsia="Calibri" w:hAnsi="Garamond" w:cs="Times New Roman"/>
        </w:rPr>
        <w:t xml:space="preserve"> </w:t>
      </w:r>
    </w:p>
    <w:p w14:paraId="40FA09A1" w14:textId="77777777" w:rsidR="00162224" w:rsidRPr="003037D2" w:rsidRDefault="00162224" w:rsidP="00162224">
      <w:pPr>
        <w:tabs>
          <w:tab w:val="left" w:pos="5728"/>
        </w:tabs>
        <w:spacing w:line="360" w:lineRule="auto"/>
        <w:ind w:left="2160"/>
        <w:rPr>
          <w:rFonts w:ascii="Garamond" w:eastAsia="Calibri" w:hAnsi="Garamond" w:cs="Times New Roman"/>
        </w:rPr>
      </w:pPr>
    </w:p>
    <w:p w14:paraId="48412F32" w14:textId="12136F9B" w:rsidR="00162224" w:rsidRPr="003037D2" w:rsidRDefault="00162224" w:rsidP="00667CD5">
      <w:pPr>
        <w:tabs>
          <w:tab w:val="left" w:pos="5728"/>
        </w:tabs>
        <w:spacing w:line="360" w:lineRule="auto"/>
        <w:rPr>
          <w:rFonts w:ascii="Garamond" w:eastAsia="Calibri" w:hAnsi="Garamond" w:cs="Times New Roman"/>
        </w:rPr>
      </w:pPr>
      <w:r w:rsidRPr="003037D2">
        <w:rPr>
          <w:rFonts w:ascii="Garamond" w:eastAsia="Calibri" w:hAnsi="Garamond" w:cs="Times New Roman"/>
        </w:rPr>
        <w:t xml:space="preserve">Both body and time are figured as ultimately turning to dust, something which passes and crumbles, at ‘the blast of deaths incessant motion’. The time that is here described must be the lifespan of </w:t>
      </w:r>
      <w:proofErr w:type="gramStart"/>
      <w:r w:rsidRPr="003037D2">
        <w:rPr>
          <w:rFonts w:ascii="Garamond" w:eastAsia="Calibri" w:hAnsi="Garamond" w:cs="Times New Roman"/>
        </w:rPr>
        <w:t>each individual</w:t>
      </w:r>
      <w:proofErr w:type="gramEnd"/>
      <w:r w:rsidRPr="003037D2">
        <w:rPr>
          <w:rFonts w:ascii="Garamond" w:eastAsia="Calibri" w:hAnsi="Garamond" w:cs="Times New Roman"/>
        </w:rPr>
        <w:t xml:space="preserve">, rather than eternity. The process of contemplating mortality in this manner is explicitly likened to the process of reading: </w:t>
      </w:r>
    </w:p>
    <w:p w14:paraId="07BC7738" w14:textId="77777777" w:rsidR="00162224" w:rsidRPr="003037D2" w:rsidRDefault="00162224" w:rsidP="00162224">
      <w:pPr>
        <w:tabs>
          <w:tab w:val="left" w:pos="5728"/>
        </w:tabs>
        <w:ind w:left="2160"/>
        <w:rPr>
          <w:rFonts w:ascii="Garamond" w:eastAsia="Calibri" w:hAnsi="Garamond" w:cs="Times New Roman"/>
        </w:rPr>
      </w:pPr>
      <w:r w:rsidRPr="003037D2">
        <w:rPr>
          <w:rFonts w:ascii="Garamond" w:eastAsia="Calibri" w:hAnsi="Garamond" w:cs="Times New Roman"/>
        </w:rPr>
        <w:t xml:space="preserve">… </w:t>
      </w:r>
      <w:proofErr w:type="gramStart"/>
      <w:r w:rsidRPr="003037D2">
        <w:rPr>
          <w:rFonts w:ascii="Garamond" w:eastAsia="Calibri" w:hAnsi="Garamond" w:cs="Times New Roman"/>
        </w:rPr>
        <w:t>Therefore</w:t>
      </w:r>
      <w:proofErr w:type="gramEnd"/>
      <w:r w:rsidRPr="003037D2">
        <w:rPr>
          <w:rFonts w:ascii="Garamond" w:eastAsia="Calibri" w:hAnsi="Garamond" w:cs="Times New Roman"/>
        </w:rPr>
        <w:t xml:space="preserve"> I gladly trust</w:t>
      </w:r>
    </w:p>
    <w:p w14:paraId="643661F4" w14:textId="77777777" w:rsidR="00162224" w:rsidRPr="003037D2" w:rsidRDefault="00162224" w:rsidP="00162224">
      <w:pPr>
        <w:tabs>
          <w:tab w:val="left" w:pos="5728"/>
        </w:tabs>
        <w:ind w:left="2160"/>
        <w:rPr>
          <w:rFonts w:ascii="Garamond" w:eastAsia="Calibri" w:hAnsi="Garamond" w:cs="Times New Roman"/>
        </w:rPr>
      </w:pPr>
    </w:p>
    <w:p w14:paraId="1558B9D7" w14:textId="77777777" w:rsidR="00162224" w:rsidRPr="003037D2" w:rsidRDefault="00162224" w:rsidP="00162224">
      <w:pPr>
        <w:tabs>
          <w:tab w:val="left" w:pos="5728"/>
        </w:tabs>
        <w:ind w:left="2160"/>
        <w:rPr>
          <w:rFonts w:ascii="Garamond" w:eastAsia="Calibri" w:hAnsi="Garamond" w:cs="Times New Roman"/>
        </w:rPr>
      </w:pPr>
      <w:r w:rsidRPr="003037D2">
        <w:rPr>
          <w:rFonts w:ascii="Garamond" w:eastAsia="Calibri" w:hAnsi="Garamond" w:cs="Times New Roman"/>
        </w:rPr>
        <w:t xml:space="preserve">My </w:t>
      </w:r>
      <w:proofErr w:type="spellStart"/>
      <w:r w:rsidRPr="003037D2">
        <w:rPr>
          <w:rFonts w:ascii="Garamond" w:eastAsia="Calibri" w:hAnsi="Garamond" w:cs="Times New Roman"/>
        </w:rPr>
        <w:t>bodie</w:t>
      </w:r>
      <w:proofErr w:type="spellEnd"/>
      <w:r w:rsidRPr="003037D2">
        <w:rPr>
          <w:rFonts w:ascii="Garamond" w:eastAsia="Calibri" w:hAnsi="Garamond" w:cs="Times New Roman"/>
        </w:rPr>
        <w:t xml:space="preserve"> to this school, that it may learn</w:t>
      </w:r>
    </w:p>
    <w:p w14:paraId="07DE2BAD" w14:textId="77777777" w:rsidR="00162224" w:rsidRPr="003037D2" w:rsidRDefault="00162224" w:rsidP="00162224">
      <w:pPr>
        <w:tabs>
          <w:tab w:val="left" w:pos="5728"/>
        </w:tabs>
        <w:ind w:left="2160"/>
        <w:rPr>
          <w:rFonts w:ascii="Garamond" w:eastAsia="Calibri" w:hAnsi="Garamond" w:cs="Times New Roman"/>
        </w:rPr>
      </w:pPr>
      <w:r w:rsidRPr="003037D2">
        <w:rPr>
          <w:rFonts w:ascii="Garamond" w:eastAsia="Calibri" w:hAnsi="Garamond" w:cs="Times New Roman"/>
        </w:rPr>
        <w:t xml:space="preserve">To spell his element, and </w:t>
      </w:r>
      <w:proofErr w:type="spellStart"/>
      <w:r w:rsidRPr="003037D2">
        <w:rPr>
          <w:rFonts w:ascii="Garamond" w:eastAsia="Calibri" w:hAnsi="Garamond" w:cs="Times New Roman"/>
        </w:rPr>
        <w:t>finde</w:t>
      </w:r>
      <w:proofErr w:type="spellEnd"/>
      <w:r w:rsidRPr="003037D2">
        <w:rPr>
          <w:rFonts w:ascii="Garamond" w:eastAsia="Calibri" w:hAnsi="Garamond" w:cs="Times New Roman"/>
        </w:rPr>
        <w:t xml:space="preserve"> his </w:t>
      </w:r>
      <w:proofErr w:type="spellStart"/>
      <w:r w:rsidRPr="003037D2">
        <w:rPr>
          <w:rFonts w:ascii="Garamond" w:eastAsia="Calibri" w:hAnsi="Garamond" w:cs="Times New Roman"/>
        </w:rPr>
        <w:t>brith</w:t>
      </w:r>
      <w:proofErr w:type="spellEnd"/>
      <w:r w:rsidRPr="003037D2">
        <w:rPr>
          <w:rFonts w:ascii="Garamond" w:eastAsia="Calibri" w:hAnsi="Garamond" w:cs="Times New Roman"/>
        </w:rPr>
        <w:t xml:space="preserve"> </w:t>
      </w:r>
    </w:p>
    <w:p w14:paraId="713E32A8" w14:textId="77777777" w:rsidR="00162224" w:rsidRPr="003037D2" w:rsidRDefault="00162224" w:rsidP="00162224">
      <w:pPr>
        <w:tabs>
          <w:tab w:val="left" w:pos="5728"/>
        </w:tabs>
        <w:ind w:left="2160"/>
        <w:rPr>
          <w:rFonts w:ascii="Garamond" w:eastAsia="Calibri" w:hAnsi="Garamond" w:cs="Times New Roman"/>
        </w:rPr>
      </w:pPr>
      <w:r w:rsidRPr="003037D2">
        <w:rPr>
          <w:rFonts w:ascii="Garamond" w:eastAsia="Calibri" w:hAnsi="Garamond" w:cs="Times New Roman"/>
        </w:rPr>
        <w:t xml:space="preserve">Written in </w:t>
      </w:r>
      <w:proofErr w:type="spellStart"/>
      <w:r w:rsidRPr="003037D2">
        <w:rPr>
          <w:rFonts w:ascii="Garamond" w:eastAsia="Calibri" w:hAnsi="Garamond" w:cs="Times New Roman"/>
        </w:rPr>
        <w:t>dustie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heraldrie</w:t>
      </w:r>
      <w:proofErr w:type="spellEnd"/>
      <w:r w:rsidRPr="003037D2">
        <w:rPr>
          <w:rFonts w:ascii="Garamond" w:eastAsia="Calibri" w:hAnsi="Garamond" w:cs="Times New Roman"/>
        </w:rPr>
        <w:t xml:space="preserve"> and lines.</w:t>
      </w:r>
      <w:r w:rsidRPr="003037D2">
        <w:rPr>
          <w:rFonts w:ascii="Garamond" w:eastAsia="Calibri" w:hAnsi="Garamond" w:cs="Times New Roman"/>
          <w:vertAlign w:val="superscript"/>
        </w:rPr>
        <w:t xml:space="preserve"> </w:t>
      </w:r>
      <w:r w:rsidRPr="003037D2">
        <w:rPr>
          <w:rFonts w:ascii="Garamond" w:eastAsia="Calibri" w:hAnsi="Garamond" w:cs="Times New Roman"/>
          <w:vertAlign w:val="superscript"/>
        </w:rPr>
        <w:footnoteReference w:id="607"/>
      </w:r>
      <w:r w:rsidRPr="003037D2">
        <w:rPr>
          <w:rFonts w:ascii="Garamond" w:eastAsia="Calibri" w:hAnsi="Garamond" w:cs="Times New Roman"/>
        </w:rPr>
        <w:t xml:space="preserve">  </w:t>
      </w:r>
    </w:p>
    <w:p w14:paraId="7A2A5AAD" w14:textId="77777777" w:rsidR="00162224" w:rsidRPr="003037D2" w:rsidRDefault="00162224" w:rsidP="00162224">
      <w:pPr>
        <w:tabs>
          <w:tab w:val="left" w:pos="5728"/>
        </w:tabs>
        <w:spacing w:line="360" w:lineRule="auto"/>
        <w:ind w:left="2160"/>
        <w:rPr>
          <w:rFonts w:ascii="Garamond" w:eastAsia="Calibri" w:hAnsi="Garamond" w:cs="Times New Roman"/>
        </w:rPr>
      </w:pPr>
    </w:p>
    <w:p w14:paraId="45E5A498" w14:textId="2D85002A" w:rsidR="00162224" w:rsidRPr="003037D2" w:rsidRDefault="00162224" w:rsidP="00162224">
      <w:pPr>
        <w:tabs>
          <w:tab w:val="left" w:pos="5728"/>
        </w:tabs>
        <w:spacing w:line="360" w:lineRule="auto"/>
        <w:rPr>
          <w:rFonts w:ascii="Garamond" w:eastAsia="Calibri" w:hAnsi="Garamond" w:cs="Times New Roman"/>
        </w:rPr>
      </w:pPr>
      <w:r w:rsidRPr="003037D2">
        <w:rPr>
          <w:rFonts w:ascii="Garamond" w:eastAsia="Calibri" w:hAnsi="Garamond" w:cs="Times New Roman"/>
        </w:rPr>
        <w:t xml:space="preserve">The genealogical charts that seem to offer an insight into one’s character dissolve however, also passing into dust. The poem gently mocks those who visit monuments to commemorate their ancestors, asking ‘what shall point out </w:t>
      </w:r>
      <w:proofErr w:type="gramStart"/>
      <w:r w:rsidRPr="003037D2">
        <w:rPr>
          <w:rFonts w:ascii="Garamond" w:eastAsia="Calibri" w:hAnsi="Garamond" w:cs="Times New Roman"/>
        </w:rPr>
        <w:t>them,/</w:t>
      </w:r>
      <w:proofErr w:type="gramEnd"/>
      <w:r w:rsidRPr="003037D2">
        <w:rPr>
          <w:rFonts w:ascii="Garamond" w:eastAsia="Calibri" w:hAnsi="Garamond" w:cs="Times New Roman"/>
        </w:rPr>
        <w:t xml:space="preserve"> When they shall bow, and keel, and fall down flat, to kiss those heaps, which now they have in trust?’ As the monuments will pass into dust as much as the bodies they now contain, the speaker is ambivalent about their use as mnemonic. The question of how the transformed body can assist in the processes of memory is one addressed in a sermon by Lancelot </w:t>
      </w:r>
      <w:r w:rsidRPr="003037D2">
        <w:rPr>
          <w:rFonts w:ascii="Garamond" w:eastAsia="Calibri" w:hAnsi="Garamond" w:cs="Times New Roman"/>
        </w:rPr>
        <w:lastRenderedPageBreak/>
        <w:t>Andrewes, on Luke 17:32, ‘Remember Lot’s wife’.</w:t>
      </w:r>
      <w:r w:rsidRPr="003037D2">
        <w:rPr>
          <w:rFonts w:ascii="Garamond" w:eastAsia="Calibri" w:hAnsi="Garamond" w:cs="Times New Roman"/>
          <w:vertAlign w:val="superscript"/>
        </w:rPr>
        <w:footnoteReference w:id="608"/>
      </w:r>
      <w:r w:rsidRPr="003037D2">
        <w:rPr>
          <w:rFonts w:ascii="Garamond" w:eastAsia="Calibri" w:hAnsi="Garamond" w:cs="Times New Roman"/>
        </w:rPr>
        <w:t xml:space="preserve"> Andrewes declares that this is the shortest verse in scripture, but that this is evidence of it’s worth as ‘it </w:t>
      </w:r>
      <w:proofErr w:type="spellStart"/>
      <w:r w:rsidRPr="003037D2">
        <w:rPr>
          <w:rFonts w:ascii="Garamond" w:eastAsia="Calibri" w:hAnsi="Garamond" w:cs="Times New Roman"/>
        </w:rPr>
        <w:t>fareth</w:t>
      </w:r>
      <w:proofErr w:type="spellEnd"/>
      <w:r w:rsidRPr="003037D2">
        <w:rPr>
          <w:rFonts w:ascii="Garamond" w:eastAsia="Calibri" w:hAnsi="Garamond" w:cs="Times New Roman"/>
        </w:rPr>
        <w:t xml:space="preserve"> with sentences as with coins, they that in smallest compass contain greatest value are best esteemed’, as ‘the carried away, and the better kept; and the better called for when we need it’. Andrewes argues that Lot’s wife’s punishment (of being turned into a pillar of salt after looking back on her homeland against God’s command) was intended to make her a </w:t>
      </w:r>
      <w:r w:rsidRPr="003037D2">
        <w:rPr>
          <w:rFonts w:ascii="Garamond" w:eastAsia="Calibri" w:hAnsi="Garamond" w:cs="Times New Roman"/>
          <w:i/>
          <w:iCs/>
        </w:rPr>
        <w:t xml:space="preserve">memento’, </w:t>
      </w:r>
      <w:r w:rsidRPr="003037D2">
        <w:rPr>
          <w:rFonts w:ascii="Garamond" w:eastAsia="Calibri" w:hAnsi="Garamond" w:cs="Times New Roman"/>
        </w:rPr>
        <w:t>‘she so died as she remained a spectacle of God’s wrath, and a by-word to posterity’.</w:t>
      </w:r>
      <w:r w:rsidRPr="003037D2">
        <w:rPr>
          <w:rFonts w:ascii="Garamond" w:eastAsia="Calibri" w:hAnsi="Garamond" w:cs="Times New Roman"/>
          <w:vertAlign w:val="superscript"/>
        </w:rPr>
        <w:footnoteReference w:id="609"/>
      </w:r>
      <w:r w:rsidRPr="003037D2">
        <w:rPr>
          <w:rFonts w:ascii="Garamond" w:eastAsia="Calibri" w:hAnsi="Garamond" w:cs="Times New Roman"/>
        </w:rPr>
        <w:t xml:space="preserve"> A body has been transformed into a monument in order to act as a memorial device for believers. Like He</w:t>
      </w:r>
      <w:r w:rsidR="00814479">
        <w:rPr>
          <w:rFonts w:ascii="Garamond" w:eastAsia="Calibri" w:hAnsi="Garamond" w:cs="Times New Roman"/>
        </w:rPr>
        <w:t>r</w:t>
      </w:r>
      <w:r w:rsidRPr="003037D2">
        <w:rPr>
          <w:rFonts w:ascii="Garamond" w:eastAsia="Calibri" w:hAnsi="Garamond" w:cs="Times New Roman"/>
        </w:rPr>
        <w:t xml:space="preserve">bert’s </w:t>
      </w:r>
      <w:r w:rsidR="007C61A3" w:rsidRPr="003037D2">
        <w:rPr>
          <w:rFonts w:ascii="Garamond" w:eastAsia="Calibri" w:hAnsi="Garamond" w:cs="Times New Roman"/>
        </w:rPr>
        <w:t>‘</w:t>
      </w:r>
      <w:r w:rsidRPr="003037D2">
        <w:rPr>
          <w:rFonts w:ascii="Garamond" w:eastAsia="Calibri" w:hAnsi="Garamond" w:cs="Times New Roman"/>
        </w:rPr>
        <w:t>Church Monuments</w:t>
      </w:r>
      <w:r w:rsidR="007C61A3" w:rsidRPr="003037D2">
        <w:rPr>
          <w:rFonts w:ascii="Garamond" w:eastAsia="Calibri" w:hAnsi="Garamond" w:cs="Times New Roman"/>
        </w:rPr>
        <w:t>’</w:t>
      </w:r>
      <w:r w:rsidRPr="003037D2">
        <w:rPr>
          <w:rFonts w:ascii="Garamond" w:eastAsia="Calibri" w:hAnsi="Garamond" w:cs="Times New Roman"/>
        </w:rPr>
        <w:t xml:space="preserve">, however, this is not a final, stable process. Andrewes instructs his congregation to take some salt from Lot’s wife and ‘sprinkle </w:t>
      </w:r>
      <w:proofErr w:type="gramStart"/>
      <w:r w:rsidRPr="003037D2">
        <w:rPr>
          <w:rFonts w:ascii="Garamond" w:eastAsia="Calibri" w:hAnsi="Garamond" w:cs="Times New Roman"/>
        </w:rPr>
        <w:t>ourselves</w:t>
      </w:r>
      <w:proofErr w:type="gramEnd"/>
      <w:r w:rsidRPr="003037D2">
        <w:rPr>
          <w:rFonts w:ascii="Garamond" w:eastAsia="Calibri" w:hAnsi="Garamond" w:cs="Times New Roman"/>
        </w:rPr>
        <w:t xml:space="preserve"> with the salt of her pillar’, melding this body with their own. Similarly, Herbert reminds his readers that the tombstones they gaze upon as </w:t>
      </w:r>
      <w:r w:rsidRPr="003037D2">
        <w:rPr>
          <w:rFonts w:ascii="Garamond" w:eastAsia="Calibri" w:hAnsi="Garamond" w:cs="Times New Roman"/>
          <w:i/>
          <w:iCs/>
        </w:rPr>
        <w:t xml:space="preserve">memento mori </w:t>
      </w:r>
      <w:r w:rsidRPr="003037D2">
        <w:rPr>
          <w:rFonts w:ascii="Garamond" w:eastAsia="Calibri" w:hAnsi="Garamond" w:cs="Times New Roman"/>
        </w:rPr>
        <w:t xml:space="preserve">whilst praying in church will themselves disintegrate into the same dust as their bodies. </w:t>
      </w:r>
    </w:p>
    <w:p w14:paraId="15E83DE7" w14:textId="77777777" w:rsidR="00162224" w:rsidRPr="003037D2" w:rsidRDefault="00162224" w:rsidP="00162224">
      <w:pPr>
        <w:tabs>
          <w:tab w:val="left" w:pos="5728"/>
        </w:tabs>
        <w:spacing w:line="360" w:lineRule="auto"/>
        <w:rPr>
          <w:rFonts w:ascii="Garamond" w:eastAsia="Calibri" w:hAnsi="Garamond" w:cs="Times New Roman"/>
        </w:rPr>
      </w:pPr>
    </w:p>
    <w:p w14:paraId="099B82DD" w14:textId="4C390846" w:rsidR="00162224" w:rsidRPr="003037D2" w:rsidRDefault="00162224" w:rsidP="00162224">
      <w:pPr>
        <w:tabs>
          <w:tab w:val="left" w:pos="5728"/>
        </w:tabs>
        <w:spacing w:line="360" w:lineRule="auto"/>
        <w:ind w:firstLine="697"/>
        <w:rPr>
          <w:rFonts w:ascii="Garamond" w:eastAsia="Calibri" w:hAnsi="Garamond" w:cs="Times New Roman"/>
        </w:rPr>
      </w:pPr>
      <w:r w:rsidRPr="003037D2">
        <w:rPr>
          <w:rFonts w:ascii="Garamond" w:eastAsia="Calibri" w:hAnsi="Garamond" w:cs="Times New Roman"/>
        </w:rPr>
        <w:t xml:space="preserve">From the productive yet meditative use of time advocated in </w:t>
      </w:r>
      <w:r w:rsidRPr="003037D2">
        <w:rPr>
          <w:rFonts w:ascii="Garamond" w:eastAsia="Calibri" w:hAnsi="Garamond" w:cs="Times New Roman"/>
          <w:i/>
          <w:iCs/>
        </w:rPr>
        <w:t xml:space="preserve">The Country Parson </w:t>
      </w:r>
      <w:r w:rsidRPr="003037D2">
        <w:rPr>
          <w:rFonts w:ascii="Garamond" w:eastAsia="Calibri" w:hAnsi="Garamond" w:cs="Times New Roman"/>
        </w:rPr>
        <w:t xml:space="preserve">and ‘The Church Porch’, Herbert provides communally held memories, in the form of proverbial wisdom and </w:t>
      </w:r>
      <w:proofErr w:type="spellStart"/>
      <w:r w:rsidRPr="003037D2">
        <w:rPr>
          <w:rFonts w:ascii="Garamond" w:eastAsia="Calibri" w:hAnsi="Garamond" w:cs="Times New Roman"/>
        </w:rPr>
        <w:t>commonplaced</w:t>
      </w:r>
      <w:proofErr w:type="spellEnd"/>
      <w:r w:rsidRPr="003037D2">
        <w:rPr>
          <w:rFonts w:ascii="Garamond" w:eastAsia="Calibri" w:hAnsi="Garamond" w:cs="Times New Roman"/>
        </w:rPr>
        <w:t xml:space="preserve"> poetry. These commonplaces can be used as a model for occasional reading, </w:t>
      </w:r>
      <w:proofErr w:type="gramStart"/>
      <w:r w:rsidRPr="003037D2">
        <w:rPr>
          <w:rFonts w:ascii="Garamond" w:eastAsia="Calibri" w:hAnsi="Garamond" w:cs="Times New Roman"/>
        </w:rPr>
        <w:t>both of the Bible</w:t>
      </w:r>
      <w:proofErr w:type="gramEnd"/>
      <w:r w:rsidRPr="003037D2">
        <w:rPr>
          <w:rFonts w:ascii="Garamond" w:eastAsia="Calibri" w:hAnsi="Garamond" w:cs="Times New Roman"/>
        </w:rPr>
        <w:t xml:space="preserve"> and of </w:t>
      </w:r>
      <w:r w:rsidRPr="003037D2">
        <w:rPr>
          <w:rFonts w:ascii="Garamond" w:eastAsia="Calibri" w:hAnsi="Garamond" w:cs="Times New Roman"/>
          <w:i/>
          <w:iCs/>
        </w:rPr>
        <w:t>The Temple</w:t>
      </w:r>
      <w:r w:rsidR="00470D01">
        <w:rPr>
          <w:rFonts w:ascii="Garamond" w:eastAsia="Calibri" w:hAnsi="Garamond" w:cs="Times New Roman"/>
          <w:i/>
          <w:iCs/>
        </w:rPr>
        <w:t>,</w:t>
      </w:r>
      <w:r w:rsidRPr="003037D2">
        <w:rPr>
          <w:rFonts w:ascii="Garamond" w:eastAsia="Calibri" w:hAnsi="Garamond" w:cs="Times New Roman"/>
          <w:i/>
          <w:iCs/>
        </w:rPr>
        <w:t xml:space="preserve"> </w:t>
      </w:r>
      <w:r w:rsidRPr="003037D2">
        <w:rPr>
          <w:rFonts w:ascii="Garamond" w:eastAsia="Calibri" w:hAnsi="Garamond" w:cs="Times New Roman"/>
        </w:rPr>
        <w:t xml:space="preserve">which helps link the reader back to the Biblical past and previous church festivals. The landmarks remain constant aids to memory as the reader moves through the year. Pattern poems and hieroglyph poems particularly lent themselves to occasional reading, due to the complex temporal processes of engaging with this type of verse upon the page, and the fact that a symbolic view of language carries within </w:t>
      </w:r>
      <w:proofErr w:type="gramStart"/>
      <w:r w:rsidRPr="003037D2">
        <w:rPr>
          <w:rFonts w:ascii="Garamond" w:eastAsia="Calibri" w:hAnsi="Garamond" w:cs="Times New Roman"/>
        </w:rPr>
        <w:t>it</w:t>
      </w:r>
      <w:proofErr w:type="gramEnd"/>
      <w:r w:rsidRPr="003037D2">
        <w:rPr>
          <w:rFonts w:ascii="Garamond" w:eastAsia="Calibri" w:hAnsi="Garamond" w:cs="Times New Roman"/>
        </w:rPr>
        <w:t xml:space="preserve"> important questions about how language can work through time. As seen in the example of Rawdon’s miscellany, these poems also lend themselves to being absorbed into personal writing and acts of memory. Whilst time has been figured spatially in Herbert’s works, as ‘landmarks to distinguish times’ in Walton’s terms, throughout </w:t>
      </w:r>
      <w:r w:rsidRPr="003037D2">
        <w:rPr>
          <w:rFonts w:ascii="Garamond" w:eastAsia="Calibri" w:hAnsi="Garamond" w:cs="Times New Roman"/>
          <w:i/>
          <w:iCs/>
        </w:rPr>
        <w:t xml:space="preserve">The Temple </w:t>
      </w:r>
      <w:r w:rsidRPr="003037D2">
        <w:rPr>
          <w:rFonts w:ascii="Garamond" w:eastAsia="Calibri" w:hAnsi="Garamond" w:cs="Times New Roman"/>
        </w:rPr>
        <w:t xml:space="preserve">comes reminders that these memorials shall themselves be subject to the ravages of time. Herbert, however, seems to offer a hope that by engaging with communal memory building, the book itself and the time </w:t>
      </w:r>
      <w:proofErr w:type="spellStart"/>
      <w:r w:rsidRPr="003037D2">
        <w:rPr>
          <w:rFonts w:ascii="Garamond" w:eastAsia="Calibri" w:hAnsi="Garamond" w:cs="Times New Roman"/>
        </w:rPr>
        <w:t>materialised</w:t>
      </w:r>
      <w:proofErr w:type="spellEnd"/>
      <w:r w:rsidRPr="003037D2">
        <w:rPr>
          <w:rFonts w:ascii="Garamond" w:eastAsia="Calibri" w:hAnsi="Garamond" w:cs="Times New Roman"/>
        </w:rPr>
        <w:t xml:space="preserve"> within it may in some manner last.  </w:t>
      </w:r>
    </w:p>
    <w:p w14:paraId="2DF817C0" w14:textId="77777777" w:rsidR="00162224" w:rsidRPr="003037D2" w:rsidRDefault="00162224" w:rsidP="00162224">
      <w:pPr>
        <w:tabs>
          <w:tab w:val="left" w:pos="5728"/>
        </w:tabs>
        <w:spacing w:line="360" w:lineRule="auto"/>
        <w:rPr>
          <w:rFonts w:ascii="Garamond" w:eastAsia="Calibri" w:hAnsi="Garamond" w:cs="Times New Roman"/>
        </w:rPr>
      </w:pPr>
      <w:r w:rsidRPr="003037D2">
        <w:rPr>
          <w:rFonts w:ascii="Garamond" w:eastAsia="Calibri" w:hAnsi="Garamond" w:cs="Times New Roman"/>
        </w:rPr>
        <w:t xml:space="preserve"> </w:t>
      </w:r>
      <w:r w:rsidRPr="003037D2">
        <w:rPr>
          <w:rFonts w:ascii="Garamond" w:eastAsia="Calibri" w:hAnsi="Garamond" w:cs="Times New Roman"/>
        </w:rPr>
        <w:tab/>
      </w:r>
    </w:p>
    <w:p w14:paraId="21B3F4D2" w14:textId="77777777" w:rsidR="00162224" w:rsidRPr="003037D2" w:rsidRDefault="00162224" w:rsidP="00162224">
      <w:pPr>
        <w:tabs>
          <w:tab w:val="left" w:pos="5728"/>
        </w:tabs>
        <w:spacing w:line="360" w:lineRule="auto"/>
        <w:rPr>
          <w:rFonts w:ascii="Garamond" w:eastAsia="Calibri" w:hAnsi="Garamond" w:cs="Times New Roman"/>
        </w:rPr>
      </w:pPr>
    </w:p>
    <w:p w14:paraId="0FC3EE7D" w14:textId="77777777" w:rsidR="00162224" w:rsidRPr="003037D2" w:rsidRDefault="00162224" w:rsidP="00162224">
      <w:pPr>
        <w:tabs>
          <w:tab w:val="left" w:pos="5728"/>
        </w:tabs>
        <w:spacing w:line="360" w:lineRule="auto"/>
        <w:rPr>
          <w:rFonts w:ascii="Garamond" w:eastAsia="Calibri" w:hAnsi="Garamond" w:cs="Times New Roman"/>
        </w:rPr>
      </w:pPr>
    </w:p>
    <w:p w14:paraId="6AA0EED9" w14:textId="77777777" w:rsidR="00162224" w:rsidRPr="003037D2" w:rsidRDefault="00162224" w:rsidP="00162224">
      <w:pPr>
        <w:tabs>
          <w:tab w:val="left" w:pos="5728"/>
        </w:tabs>
        <w:spacing w:line="360" w:lineRule="auto"/>
        <w:rPr>
          <w:rFonts w:ascii="Garamond" w:eastAsia="Calibri" w:hAnsi="Garamond" w:cs="Times New Roman"/>
        </w:rPr>
      </w:pPr>
    </w:p>
    <w:p w14:paraId="3AF7F8F0" w14:textId="77777777" w:rsidR="00162224" w:rsidRPr="003037D2" w:rsidRDefault="00162224" w:rsidP="00162224">
      <w:pPr>
        <w:rPr>
          <w:rFonts w:ascii="Garamond" w:eastAsia="Calibri" w:hAnsi="Garamond" w:cs="Times New Roman"/>
        </w:rPr>
      </w:pPr>
    </w:p>
    <w:p w14:paraId="5615DD90" w14:textId="77777777" w:rsidR="00162224" w:rsidRPr="003037D2" w:rsidRDefault="00162224" w:rsidP="00162224">
      <w:pPr>
        <w:rPr>
          <w:rFonts w:ascii="Garamond" w:eastAsia="Calibri" w:hAnsi="Garamond" w:cs="Times New Roman"/>
        </w:rPr>
      </w:pPr>
    </w:p>
    <w:p w14:paraId="1FE1B701" w14:textId="77777777" w:rsidR="00162224" w:rsidRPr="003037D2" w:rsidRDefault="00162224" w:rsidP="00162224">
      <w:pPr>
        <w:tabs>
          <w:tab w:val="left" w:pos="5728"/>
        </w:tabs>
        <w:spacing w:line="360" w:lineRule="auto"/>
        <w:rPr>
          <w:rFonts w:ascii="Garamond" w:hAnsi="Garamond"/>
        </w:rPr>
        <w:sectPr w:rsidR="00162224" w:rsidRPr="003037D2" w:rsidSect="00162224">
          <w:footnotePr>
            <w:numRestart w:val="eachSect"/>
          </w:footnotePr>
          <w:pgSz w:w="11906" w:h="16838"/>
          <w:pgMar w:top="1440" w:right="1440" w:bottom="1440" w:left="1440" w:header="709" w:footer="709" w:gutter="851"/>
          <w:cols w:space="708"/>
          <w:docGrid w:linePitch="360"/>
        </w:sectPr>
      </w:pPr>
    </w:p>
    <w:p w14:paraId="3136651A" w14:textId="77777777" w:rsidR="00162224" w:rsidRPr="003037D2" w:rsidRDefault="00162224" w:rsidP="00162224">
      <w:pPr>
        <w:pStyle w:val="Heading1"/>
        <w:spacing w:line="360" w:lineRule="auto"/>
        <w:rPr>
          <w:rFonts w:ascii="Garamond" w:hAnsi="Garamond"/>
          <w:b/>
          <w:bCs/>
          <w:color w:val="4472C4" w:themeColor="accent1"/>
          <w:sz w:val="28"/>
          <w:szCs w:val="28"/>
        </w:rPr>
      </w:pPr>
      <w:bookmarkStart w:id="64" w:name="_Toc3967187"/>
      <w:bookmarkStart w:id="65" w:name="_Hlk532468588"/>
      <w:r w:rsidRPr="003037D2">
        <w:rPr>
          <w:rFonts w:ascii="Garamond" w:hAnsi="Garamond"/>
          <w:b/>
          <w:bCs/>
          <w:color w:val="4472C4" w:themeColor="accent1"/>
          <w:sz w:val="28"/>
          <w:szCs w:val="28"/>
        </w:rPr>
        <w:lastRenderedPageBreak/>
        <w:t>CHAPTER IV: ‘THIS SERMON MIGHT MINISTER OCCASION OF PERPETUALL REMEMBRANCE’</w:t>
      </w:r>
      <w:bookmarkEnd w:id="64"/>
      <w:r w:rsidRPr="003037D2">
        <w:rPr>
          <w:rFonts w:ascii="Garamond" w:hAnsi="Garamond"/>
          <w:color w:val="4472C4" w:themeColor="accent1"/>
          <w:sz w:val="28"/>
          <w:szCs w:val="28"/>
        </w:rPr>
        <w:t xml:space="preserve"> </w:t>
      </w:r>
      <w:r w:rsidRPr="003037D2">
        <w:rPr>
          <w:rFonts w:ascii="Garamond" w:hAnsi="Garamond"/>
          <w:b/>
          <w:bCs/>
          <w:color w:val="4472C4" w:themeColor="accent1"/>
          <w:sz w:val="28"/>
          <w:szCs w:val="28"/>
        </w:rPr>
        <w:t xml:space="preserve">  </w:t>
      </w:r>
    </w:p>
    <w:p w14:paraId="0ED151B8" w14:textId="77777777" w:rsidR="00162224" w:rsidRPr="003037D2" w:rsidRDefault="00162224" w:rsidP="00162224">
      <w:pPr>
        <w:spacing w:line="360" w:lineRule="auto"/>
        <w:rPr>
          <w:rFonts w:ascii="Garamond" w:hAnsi="Garamond"/>
        </w:rPr>
      </w:pPr>
      <w:r w:rsidRPr="003037D2">
        <w:rPr>
          <w:rFonts w:ascii="Garamond" w:hAnsi="Garamond"/>
        </w:rPr>
        <w:tab/>
      </w:r>
      <w:r w:rsidR="00E04035">
        <w:rPr>
          <w:rFonts w:ascii="Garamond" w:hAnsi="Garamond"/>
        </w:rPr>
        <w:pict w14:anchorId="535E41E9">
          <v:rect id="_x0000_i1029" style="width:0;height:1.5pt" o:hralign="center" o:hrstd="t" o:hr="t" fillcolor="#a0a0a0" stroked="f"/>
        </w:pict>
      </w:r>
    </w:p>
    <w:p w14:paraId="0F38A6F6" w14:textId="77777777" w:rsidR="00162224" w:rsidRPr="003037D2" w:rsidRDefault="00162224" w:rsidP="00162224">
      <w:pPr>
        <w:spacing w:line="360" w:lineRule="auto"/>
        <w:ind w:firstLine="360"/>
        <w:rPr>
          <w:rFonts w:ascii="Garamond" w:hAnsi="Garamond" w:cs="Times New Roman"/>
        </w:rPr>
      </w:pPr>
    </w:p>
    <w:p w14:paraId="0B69D7CE" w14:textId="13A3F658" w:rsidR="00162224" w:rsidRPr="003037D2" w:rsidRDefault="00162224" w:rsidP="00162224">
      <w:pPr>
        <w:spacing w:line="360" w:lineRule="auto"/>
        <w:ind w:firstLine="360"/>
        <w:rPr>
          <w:rFonts w:ascii="Garamond" w:hAnsi="Garamond" w:cs="Times New Roman"/>
        </w:rPr>
      </w:pPr>
      <w:r w:rsidRPr="003037D2">
        <w:rPr>
          <w:rFonts w:ascii="Garamond" w:hAnsi="Garamond" w:cs="Times New Roman"/>
        </w:rPr>
        <w:t xml:space="preserve">In </w:t>
      </w:r>
      <w:r w:rsidRPr="003037D2">
        <w:rPr>
          <w:rFonts w:ascii="Garamond" w:hAnsi="Garamond" w:cs="Times New Roman"/>
          <w:i/>
        </w:rPr>
        <w:t xml:space="preserve">Politics and the Paul’s Cross Sermons, </w:t>
      </w:r>
      <w:r w:rsidRPr="003037D2">
        <w:rPr>
          <w:rFonts w:ascii="Garamond" w:hAnsi="Garamond" w:cs="Times New Roman"/>
        </w:rPr>
        <w:t xml:space="preserve">Mary Morrissey suggests that for early modern readers and sermon-goers the printed texts of sermons </w:t>
      </w:r>
      <w:proofErr w:type="gramStart"/>
      <w:r w:rsidRPr="003037D2">
        <w:rPr>
          <w:rFonts w:ascii="Garamond" w:hAnsi="Garamond" w:cs="Times New Roman"/>
        </w:rPr>
        <w:t>were seen as</w:t>
      </w:r>
      <w:proofErr w:type="gramEnd"/>
      <w:r w:rsidRPr="003037D2">
        <w:rPr>
          <w:rFonts w:ascii="Garamond" w:hAnsi="Garamond" w:cs="Times New Roman"/>
        </w:rPr>
        <w:t xml:space="preserve"> ‘different versions’ of the oration. She argues that these sermons can therefore be approached as ‘events that we now encounter through manuscript and printed </w:t>
      </w:r>
      <w:proofErr w:type="gramStart"/>
      <w:r w:rsidRPr="003037D2">
        <w:rPr>
          <w:rFonts w:ascii="Garamond" w:hAnsi="Garamond" w:cs="Times New Roman"/>
        </w:rPr>
        <w:t>copies’</w:t>
      </w:r>
      <w:proofErr w:type="gramEnd"/>
      <w:r w:rsidRPr="003037D2">
        <w:rPr>
          <w:rFonts w:ascii="Garamond" w:hAnsi="Garamond" w:cs="Times New Roman"/>
        </w:rPr>
        <w:t>.</w:t>
      </w:r>
      <w:r w:rsidRPr="003037D2">
        <w:rPr>
          <w:rStyle w:val="FootnoteReference"/>
          <w:rFonts w:ascii="Garamond" w:hAnsi="Garamond" w:cs="Times New Roman"/>
        </w:rPr>
        <w:footnoteReference w:id="610"/>
      </w:r>
      <w:r w:rsidRPr="003037D2">
        <w:rPr>
          <w:rFonts w:ascii="Garamond" w:hAnsi="Garamond" w:cs="Times New Roman"/>
        </w:rPr>
        <w:t xml:space="preserve"> It is this notion of sermon as an </w:t>
      </w:r>
      <w:r w:rsidRPr="003037D2">
        <w:rPr>
          <w:rFonts w:ascii="Garamond" w:hAnsi="Garamond" w:cs="Times New Roman"/>
          <w:i/>
        </w:rPr>
        <w:t xml:space="preserve">event </w:t>
      </w:r>
      <w:r w:rsidRPr="003037D2">
        <w:rPr>
          <w:rFonts w:ascii="Garamond" w:hAnsi="Garamond" w:cs="Times New Roman"/>
        </w:rPr>
        <w:t xml:space="preserve">which informs this chapter, moving from the space of the page in the preceding chapter to the performance space. As events, sermons bring time and space together, rather than presenting them as oppositional forces. In Richard Bernard’s guide to preachers, </w:t>
      </w:r>
      <w:r w:rsidRPr="003037D2">
        <w:rPr>
          <w:rFonts w:ascii="Garamond" w:hAnsi="Garamond" w:cs="Times New Roman"/>
          <w:i/>
        </w:rPr>
        <w:t xml:space="preserve">The Faithful Shepherd, </w:t>
      </w:r>
      <w:r w:rsidRPr="003037D2">
        <w:rPr>
          <w:rFonts w:ascii="Garamond" w:hAnsi="Garamond" w:cs="Times New Roman"/>
        </w:rPr>
        <w:t xml:space="preserve">he </w:t>
      </w:r>
      <w:proofErr w:type="spellStart"/>
      <w:r w:rsidRPr="003037D2">
        <w:rPr>
          <w:rFonts w:ascii="Garamond" w:hAnsi="Garamond" w:cs="Times New Roman"/>
        </w:rPr>
        <w:t>emphasises</w:t>
      </w:r>
      <w:proofErr w:type="spellEnd"/>
      <w:r w:rsidRPr="003037D2">
        <w:rPr>
          <w:rFonts w:ascii="Garamond" w:hAnsi="Garamond" w:cs="Times New Roman"/>
        </w:rPr>
        <w:t xml:space="preserve"> the importance of choosing a text and subject ‘fit for the hearers… agreeing to the persons, the time and the place’.</w:t>
      </w:r>
      <w:r w:rsidRPr="003037D2">
        <w:rPr>
          <w:rStyle w:val="FootnoteReference"/>
          <w:rFonts w:ascii="Garamond" w:hAnsi="Garamond" w:cs="Times New Roman"/>
        </w:rPr>
        <w:footnoteReference w:id="611"/>
      </w:r>
      <w:r w:rsidRPr="003037D2">
        <w:rPr>
          <w:rFonts w:ascii="Garamond" w:hAnsi="Garamond" w:cs="Times New Roman"/>
        </w:rPr>
        <w:t xml:space="preserve"> An effective sermon is one which takes account of all these factors. In this chapter, I explore the part that sermons played in the early modern book trade, discussing the challenges and opportunities that publication brought, and then examine what a large-scale study of sermon title pages can tell us about the way in which sermons were valued, be that for the time or place they were performed. My examination of sermon title pages demonstrates that these texts were explicitly valued for the way in which they captured an event: held at a </w:t>
      </w:r>
      <w:proofErr w:type="gramStart"/>
      <w:r w:rsidRPr="003037D2">
        <w:rPr>
          <w:rFonts w:ascii="Garamond" w:hAnsi="Garamond" w:cs="Times New Roman"/>
        </w:rPr>
        <w:t>particular moment</w:t>
      </w:r>
      <w:proofErr w:type="gramEnd"/>
      <w:r w:rsidRPr="003037D2">
        <w:rPr>
          <w:rFonts w:ascii="Garamond" w:hAnsi="Garamond" w:cs="Times New Roman"/>
        </w:rPr>
        <w:t xml:space="preserve"> in a particular place. The chapter closes with an exploration of John Donne’s invocation of memory in his sermons. The processes of memory and </w:t>
      </w:r>
      <w:proofErr w:type="spellStart"/>
      <w:r w:rsidRPr="003037D2">
        <w:rPr>
          <w:rFonts w:ascii="Garamond" w:hAnsi="Garamond" w:cs="Times New Roman"/>
        </w:rPr>
        <w:t>memorialising</w:t>
      </w:r>
      <w:proofErr w:type="spellEnd"/>
      <w:r w:rsidRPr="003037D2">
        <w:rPr>
          <w:rFonts w:ascii="Garamond" w:hAnsi="Garamond" w:cs="Times New Roman"/>
        </w:rPr>
        <w:t xml:space="preserve"> are necessarily temporally complex: to </w:t>
      </w:r>
      <w:proofErr w:type="spellStart"/>
      <w:r w:rsidRPr="003037D2">
        <w:rPr>
          <w:rFonts w:ascii="Garamond" w:hAnsi="Garamond" w:cs="Times New Roman"/>
        </w:rPr>
        <w:t>memorialise</w:t>
      </w:r>
      <w:proofErr w:type="spellEnd"/>
      <w:r w:rsidRPr="003037D2">
        <w:rPr>
          <w:rFonts w:ascii="Garamond" w:hAnsi="Garamond" w:cs="Times New Roman"/>
        </w:rPr>
        <w:t xml:space="preserve"> something is to fix it to a </w:t>
      </w:r>
      <w:proofErr w:type="gramStart"/>
      <w:r w:rsidRPr="003037D2">
        <w:rPr>
          <w:rFonts w:ascii="Garamond" w:hAnsi="Garamond" w:cs="Times New Roman"/>
        </w:rPr>
        <w:t>particular point</w:t>
      </w:r>
      <w:proofErr w:type="gramEnd"/>
      <w:r w:rsidRPr="003037D2">
        <w:rPr>
          <w:rFonts w:ascii="Garamond" w:hAnsi="Garamond" w:cs="Times New Roman"/>
        </w:rPr>
        <w:t xml:space="preserve"> in the past, at the same time as bringing it closer to the present moment. Donne often draws attention to the very ‘</w:t>
      </w:r>
      <w:proofErr w:type="spellStart"/>
      <w:r w:rsidRPr="003037D2">
        <w:rPr>
          <w:rFonts w:ascii="Garamond" w:hAnsi="Garamond" w:cs="Times New Roman"/>
        </w:rPr>
        <w:t>eventness</w:t>
      </w:r>
      <w:proofErr w:type="spellEnd"/>
      <w:r w:rsidRPr="003037D2">
        <w:rPr>
          <w:rFonts w:ascii="Garamond" w:hAnsi="Garamond" w:cs="Times New Roman"/>
        </w:rPr>
        <w:t xml:space="preserve">’ of his sermons, focusing on the </w:t>
      </w:r>
      <w:proofErr w:type="gramStart"/>
      <w:r w:rsidRPr="003037D2">
        <w:rPr>
          <w:rFonts w:ascii="Garamond" w:hAnsi="Garamond" w:cs="Times New Roman"/>
        </w:rPr>
        <w:t>particular location</w:t>
      </w:r>
      <w:proofErr w:type="gramEnd"/>
      <w:r w:rsidRPr="003037D2">
        <w:rPr>
          <w:rFonts w:ascii="Garamond" w:hAnsi="Garamond" w:cs="Times New Roman"/>
        </w:rPr>
        <w:t xml:space="preserve"> in which he spoke, the circumstances of the day and even his own body. Most famously, in ‘Death’s Duel’ , ‘</w:t>
      </w:r>
      <w:proofErr w:type="spellStart"/>
      <w:r w:rsidRPr="003037D2">
        <w:rPr>
          <w:rFonts w:ascii="Garamond" w:hAnsi="Garamond" w:cs="Times New Roman"/>
        </w:rPr>
        <w:t>stiled</w:t>
      </w:r>
      <w:proofErr w:type="spellEnd"/>
      <w:r w:rsidRPr="003037D2">
        <w:rPr>
          <w:rFonts w:ascii="Garamond" w:hAnsi="Garamond" w:cs="Times New Roman"/>
        </w:rPr>
        <w:t xml:space="preserve"> the Authors </w:t>
      </w:r>
      <w:proofErr w:type="spellStart"/>
      <w:r w:rsidRPr="003037D2">
        <w:rPr>
          <w:rFonts w:ascii="Garamond" w:hAnsi="Garamond" w:cs="Times New Roman"/>
        </w:rPr>
        <w:t>owne</w:t>
      </w:r>
      <w:proofErr w:type="spellEnd"/>
      <w:r w:rsidRPr="003037D2">
        <w:rPr>
          <w:rFonts w:ascii="Garamond" w:hAnsi="Garamond" w:cs="Times New Roman"/>
        </w:rPr>
        <w:t xml:space="preserve"> funeral Sermon’, Donne repeatedly took on the words of various biblical figures to draw attention to his own wasted body as a </w:t>
      </w:r>
      <w:r w:rsidRPr="003037D2">
        <w:rPr>
          <w:rFonts w:ascii="Garamond" w:hAnsi="Garamond" w:cs="Times New Roman"/>
          <w:i/>
          <w:iCs/>
        </w:rPr>
        <w:t>memento mori</w:t>
      </w:r>
      <w:r w:rsidRPr="003037D2">
        <w:rPr>
          <w:rFonts w:ascii="Garamond" w:hAnsi="Garamond" w:cs="Times New Roman"/>
        </w:rPr>
        <w:t xml:space="preserve">, declaring, ‘my body had bene but the house of death’, and ‘now O Lord take, I beseech </w:t>
      </w:r>
      <w:r w:rsidRPr="003037D2">
        <w:rPr>
          <w:rFonts w:ascii="Garamond" w:hAnsi="Garamond" w:cs="Times New Roman"/>
        </w:rPr>
        <w:lastRenderedPageBreak/>
        <w:t xml:space="preserve">thee, my life from </w:t>
      </w:r>
      <w:proofErr w:type="spellStart"/>
      <w:r w:rsidRPr="003037D2">
        <w:rPr>
          <w:rFonts w:ascii="Garamond" w:hAnsi="Garamond" w:cs="Times New Roman"/>
        </w:rPr>
        <w:t>mee</w:t>
      </w:r>
      <w:proofErr w:type="spellEnd"/>
      <w:r w:rsidRPr="003037D2">
        <w:rPr>
          <w:rFonts w:ascii="Garamond" w:hAnsi="Garamond" w:cs="Times New Roman"/>
        </w:rPr>
        <w:t>, for it is better for me to dye then live’.</w:t>
      </w:r>
      <w:r w:rsidRPr="003037D2">
        <w:rPr>
          <w:rStyle w:val="FootnoteReference"/>
          <w:rFonts w:ascii="Garamond" w:hAnsi="Garamond" w:cs="Times New Roman"/>
        </w:rPr>
        <w:footnoteReference w:id="612"/>
      </w:r>
      <w:r w:rsidRPr="003037D2">
        <w:rPr>
          <w:rFonts w:ascii="Garamond" w:hAnsi="Garamond" w:cs="Times New Roman"/>
        </w:rPr>
        <w:t xml:space="preserve"> Creating sermons that were memorable at the same time as </w:t>
      </w:r>
      <w:proofErr w:type="spellStart"/>
      <w:r w:rsidRPr="003037D2">
        <w:rPr>
          <w:rFonts w:ascii="Garamond" w:hAnsi="Garamond" w:cs="Times New Roman"/>
        </w:rPr>
        <w:t>memorialising</w:t>
      </w:r>
      <w:proofErr w:type="spellEnd"/>
      <w:r w:rsidRPr="003037D2">
        <w:rPr>
          <w:rFonts w:ascii="Garamond" w:hAnsi="Garamond" w:cs="Times New Roman"/>
        </w:rPr>
        <w:t xml:space="preserve"> the words of the Bible results in the superimposition of different time frames. </w:t>
      </w:r>
    </w:p>
    <w:p w14:paraId="24141A50" w14:textId="449B155F" w:rsidR="001F1F6B" w:rsidRDefault="001F1F6B" w:rsidP="00162224">
      <w:pPr>
        <w:spacing w:line="360" w:lineRule="auto"/>
        <w:ind w:firstLine="360"/>
        <w:rPr>
          <w:rFonts w:ascii="Garamond" w:hAnsi="Garamond" w:cs="Times New Roman"/>
        </w:rPr>
      </w:pPr>
    </w:p>
    <w:p w14:paraId="0C8FA945" w14:textId="77777777" w:rsidR="00667CD5" w:rsidRPr="003037D2" w:rsidRDefault="00667CD5" w:rsidP="00162224">
      <w:pPr>
        <w:spacing w:line="360" w:lineRule="auto"/>
        <w:ind w:firstLine="360"/>
        <w:rPr>
          <w:rFonts w:ascii="Garamond" w:hAnsi="Garamond" w:cs="Times New Roman"/>
        </w:rPr>
      </w:pPr>
    </w:p>
    <w:p w14:paraId="7688A24B" w14:textId="77777777" w:rsidR="00162224" w:rsidRPr="003037D2" w:rsidRDefault="00162224" w:rsidP="00162224">
      <w:pPr>
        <w:pStyle w:val="Heading2"/>
        <w:numPr>
          <w:ilvl w:val="0"/>
          <w:numId w:val="19"/>
        </w:numPr>
        <w:rPr>
          <w:rFonts w:cs="Times New Roman"/>
          <w:i w:val="0"/>
          <w:iCs/>
        </w:rPr>
      </w:pPr>
      <w:bookmarkStart w:id="67" w:name="_Toc3967188"/>
      <w:r w:rsidRPr="003037D2">
        <w:rPr>
          <w:i w:val="0"/>
          <w:iCs/>
          <w:sz w:val="28"/>
          <w:szCs w:val="28"/>
        </w:rPr>
        <w:t>‘A bastard brood of Sermons’: The Press and the Pulpit</w:t>
      </w:r>
      <w:bookmarkEnd w:id="67"/>
      <w:r w:rsidRPr="003037D2">
        <w:rPr>
          <w:rFonts w:cs="Times New Roman"/>
          <w:i w:val="0"/>
          <w:iCs/>
        </w:rPr>
        <w:tab/>
      </w:r>
    </w:p>
    <w:p w14:paraId="72C71ABE" w14:textId="77777777" w:rsidR="00162224" w:rsidRPr="003037D2" w:rsidRDefault="00162224" w:rsidP="00162224">
      <w:pPr>
        <w:spacing w:line="360" w:lineRule="auto"/>
        <w:rPr>
          <w:rFonts w:ascii="Garamond" w:hAnsi="Garamond"/>
        </w:rPr>
      </w:pPr>
    </w:p>
    <w:p w14:paraId="5B59E2D5" w14:textId="6056E9C1" w:rsidR="00162224" w:rsidRDefault="00162224" w:rsidP="00162224">
      <w:pPr>
        <w:spacing w:line="360" w:lineRule="auto"/>
        <w:ind w:firstLine="720"/>
        <w:rPr>
          <w:rFonts w:ascii="Garamond" w:hAnsi="Garamond" w:cs="Times New Roman"/>
        </w:rPr>
      </w:pPr>
      <w:r w:rsidRPr="003037D2">
        <w:rPr>
          <w:rFonts w:ascii="Garamond" w:hAnsi="Garamond" w:cs="Times New Roman"/>
        </w:rPr>
        <w:t>Historians of print culture have explored the explosion in the press in the period from Elizabeth I’s death to the beginning of the Civil War. Numbers of titles printed annually doubled from around 250 per year to more than 500. Of these, 14% were sermons, a crucial element of the early modern book trade, although this is often overlooked in modern literary studies.</w:t>
      </w:r>
      <w:r w:rsidRPr="003037D2">
        <w:rPr>
          <w:rStyle w:val="FootnoteReference"/>
          <w:rFonts w:ascii="Garamond" w:hAnsi="Garamond" w:cs="Times New Roman"/>
        </w:rPr>
        <w:footnoteReference w:id="613"/>
      </w:r>
      <w:r w:rsidRPr="003037D2">
        <w:rPr>
          <w:rFonts w:ascii="Garamond" w:hAnsi="Garamond" w:cs="Times New Roman"/>
        </w:rPr>
        <w:t xml:space="preserve"> As Lori Anne Ferrell writes, the best-selling preacher in Elizabethan England was Henry Smith, and ‘we have barely heard of the man since’.</w:t>
      </w:r>
      <w:r w:rsidRPr="003037D2">
        <w:rPr>
          <w:rStyle w:val="FootnoteReference"/>
          <w:rFonts w:ascii="Garamond" w:hAnsi="Garamond" w:cs="Times New Roman"/>
        </w:rPr>
        <w:footnoteReference w:id="614"/>
      </w:r>
      <w:r w:rsidRPr="003037D2">
        <w:rPr>
          <w:rFonts w:ascii="Garamond" w:hAnsi="Garamond" w:cs="Times New Roman"/>
        </w:rPr>
        <w:t xml:space="preserve"> In an assessment of the market share types of book had in the Elizabethan market, Alan B. Farmer and Zachary Lesser demonstrate religion was the most popular genre, making up a 40.2% market share between 1559 and 1602. This was more than the market share of the next two most popular categories added together, ‘Politics and history’ with a 20.9% market share and ‘Posey and the Arts’ at 19.2% respectively.</w:t>
      </w:r>
      <w:r w:rsidRPr="003037D2">
        <w:rPr>
          <w:rStyle w:val="FootnoteReference"/>
          <w:rFonts w:ascii="Garamond" w:hAnsi="Garamond" w:cs="Times New Roman"/>
        </w:rPr>
        <w:footnoteReference w:id="615"/>
      </w:r>
      <w:r w:rsidRPr="003037D2">
        <w:rPr>
          <w:rFonts w:ascii="Garamond" w:hAnsi="Garamond" w:cs="Times New Roman"/>
        </w:rPr>
        <w:t xml:space="preserve"> Sermons were printed in great numbers: Bennet estimated that 2,000 sermons were published in the period from 1603-1640 and Alan Herr has suggested that during Elizabeth’s reign 1,200 sermons appeared in 513 separate publications.</w:t>
      </w:r>
      <w:r w:rsidRPr="003037D2">
        <w:rPr>
          <w:rStyle w:val="FootnoteReference"/>
          <w:rFonts w:ascii="Garamond" w:hAnsi="Garamond" w:cs="Times New Roman"/>
        </w:rPr>
        <w:footnoteReference w:id="616"/>
      </w:r>
      <w:r w:rsidRPr="003037D2">
        <w:rPr>
          <w:rFonts w:ascii="Garamond" w:hAnsi="Garamond" w:cs="Times New Roman"/>
        </w:rPr>
        <w:t xml:space="preserve"> Farmer and Lesser argue that sermons were particularly important in the sector of the print market they term ‘innovative’, made up of primarily new titles and first editions. However, these reprints ‘were n</w:t>
      </w:r>
      <w:r w:rsidR="00470D01">
        <w:rPr>
          <w:rFonts w:ascii="Garamond" w:hAnsi="Garamond" w:cs="Times New Roman"/>
        </w:rPr>
        <w:t>ot the kind of steady-selling, “standard”</w:t>
      </w:r>
      <w:r w:rsidRPr="003037D2">
        <w:rPr>
          <w:rFonts w:ascii="Garamond" w:hAnsi="Garamond" w:cs="Times New Roman"/>
        </w:rPr>
        <w:t xml:space="preserve"> titles that discouraged the publication of new works’. If titles proved popular, printers would respond to this perceived demand by expanding their offerings in this genre. Farmer and Lesser use detailed analysis of market shares and reprint rates,  demonstrating that ‘the frequent reprinting of both professional plays (41.8%) and sermons (29.5%) in the late </w:t>
      </w:r>
      <w:r w:rsidRPr="003037D2">
        <w:rPr>
          <w:rFonts w:ascii="Garamond" w:hAnsi="Garamond" w:cs="Times New Roman"/>
        </w:rPr>
        <w:lastRenderedPageBreak/>
        <w:t>Elizabethan period did lead to more new titles being published, beginning at around 1600 for professional plays and 1606 for sermons’.</w:t>
      </w:r>
      <w:r w:rsidRPr="003037D2">
        <w:rPr>
          <w:rStyle w:val="FootnoteReference"/>
          <w:rFonts w:ascii="Garamond" w:hAnsi="Garamond" w:cs="Times New Roman"/>
        </w:rPr>
        <w:footnoteReference w:id="617"/>
      </w:r>
      <w:r w:rsidRPr="003037D2">
        <w:rPr>
          <w:rFonts w:ascii="Garamond" w:hAnsi="Garamond" w:cs="Times New Roman"/>
        </w:rPr>
        <w:t xml:space="preserve"> Peter Blayney and Michael </w:t>
      </w:r>
      <w:proofErr w:type="spellStart"/>
      <w:r w:rsidRPr="003037D2">
        <w:rPr>
          <w:rFonts w:ascii="Garamond" w:hAnsi="Garamond" w:cs="Times New Roman"/>
        </w:rPr>
        <w:t>Saegner</w:t>
      </w:r>
      <w:proofErr w:type="spellEnd"/>
      <w:r w:rsidRPr="003037D2">
        <w:rPr>
          <w:rFonts w:ascii="Garamond" w:hAnsi="Garamond" w:cs="Times New Roman"/>
        </w:rPr>
        <w:t xml:space="preserve"> have both written about the interplay between the publishing of plays and sermons, discussed in greater detail later in this chapter when considering the figure of the preacher.</w:t>
      </w:r>
      <w:r w:rsidRPr="003037D2">
        <w:rPr>
          <w:rStyle w:val="FootnoteReference"/>
          <w:rFonts w:ascii="Garamond" w:hAnsi="Garamond" w:cs="Times New Roman"/>
        </w:rPr>
        <w:footnoteReference w:id="618"/>
      </w:r>
      <w:r w:rsidRPr="003037D2">
        <w:rPr>
          <w:rFonts w:ascii="Garamond" w:hAnsi="Garamond" w:cs="Times New Roman"/>
        </w:rPr>
        <w:t xml:space="preserve"> </w:t>
      </w:r>
    </w:p>
    <w:p w14:paraId="22F91314" w14:textId="77777777" w:rsidR="00667CD5" w:rsidRPr="003037D2" w:rsidRDefault="00667CD5" w:rsidP="00162224">
      <w:pPr>
        <w:spacing w:line="360" w:lineRule="auto"/>
        <w:ind w:firstLine="720"/>
        <w:rPr>
          <w:rFonts w:ascii="Garamond" w:hAnsi="Garamond" w:cs="Times New Roman"/>
        </w:rPr>
      </w:pPr>
    </w:p>
    <w:p w14:paraId="225FF04E" w14:textId="6D640BB2" w:rsidR="00162224" w:rsidRDefault="00162224" w:rsidP="001F1F6B">
      <w:pPr>
        <w:spacing w:line="360" w:lineRule="auto"/>
        <w:ind w:firstLine="720"/>
        <w:rPr>
          <w:rFonts w:ascii="Garamond" w:hAnsi="Garamond" w:cs="Times New Roman"/>
        </w:rPr>
      </w:pPr>
      <w:r w:rsidRPr="003037D2">
        <w:rPr>
          <w:rFonts w:ascii="Garamond" w:hAnsi="Garamond" w:cs="Times New Roman"/>
        </w:rPr>
        <w:t xml:space="preserve">As books were a commercial project, in many ways the printing of sermons was dictated by demands of the market, however there were still devotional matters to consider. The printing and marketing of sermons was a thorny issue. Courting popularity in religious matters could lead to censure from the crown or church hierarchy. John Whitgift, in a </w:t>
      </w:r>
      <w:r w:rsidRPr="003037D2">
        <w:rPr>
          <w:rFonts w:ascii="Garamond" w:hAnsi="Garamond" w:cs="Times New Roman"/>
          <w:i/>
          <w:iCs/>
        </w:rPr>
        <w:t>‘</w:t>
      </w:r>
      <w:proofErr w:type="spellStart"/>
      <w:r w:rsidRPr="003037D2">
        <w:rPr>
          <w:rFonts w:ascii="Garamond" w:hAnsi="Garamond" w:cs="Times New Roman"/>
        </w:rPr>
        <w:t>godlie</w:t>
      </w:r>
      <w:proofErr w:type="spellEnd"/>
      <w:r w:rsidRPr="003037D2">
        <w:rPr>
          <w:rFonts w:ascii="Garamond" w:hAnsi="Garamond" w:cs="Times New Roman"/>
        </w:rPr>
        <w:t xml:space="preserve"> sermon preached before the </w:t>
      </w:r>
      <w:proofErr w:type="spellStart"/>
      <w:r w:rsidRPr="003037D2">
        <w:rPr>
          <w:rFonts w:ascii="Garamond" w:hAnsi="Garamond" w:cs="Times New Roman"/>
        </w:rPr>
        <w:t>Queenes</w:t>
      </w:r>
      <w:proofErr w:type="spellEnd"/>
      <w:r w:rsidRPr="003037D2">
        <w:rPr>
          <w:rFonts w:ascii="Garamond" w:hAnsi="Garamond" w:cs="Times New Roman"/>
        </w:rPr>
        <w:t xml:space="preserve"> </w:t>
      </w:r>
      <w:proofErr w:type="spellStart"/>
      <w:r w:rsidRPr="003037D2">
        <w:rPr>
          <w:rFonts w:ascii="Garamond" w:hAnsi="Garamond" w:cs="Times New Roman"/>
        </w:rPr>
        <w:t>Majestie</w:t>
      </w:r>
      <w:proofErr w:type="spellEnd"/>
      <w:r w:rsidRPr="003037D2">
        <w:rPr>
          <w:rFonts w:ascii="Garamond" w:hAnsi="Garamond" w:cs="Times New Roman"/>
        </w:rPr>
        <w:t xml:space="preserve"> at </w:t>
      </w:r>
      <w:proofErr w:type="spellStart"/>
      <w:r w:rsidRPr="003037D2">
        <w:rPr>
          <w:rFonts w:ascii="Garamond" w:hAnsi="Garamond" w:cs="Times New Roman"/>
        </w:rPr>
        <w:t>Grenewich</w:t>
      </w:r>
      <w:proofErr w:type="spellEnd"/>
      <w:r w:rsidRPr="003037D2">
        <w:rPr>
          <w:rFonts w:ascii="Garamond" w:hAnsi="Garamond" w:cs="Times New Roman"/>
        </w:rPr>
        <w:t xml:space="preserve"> the 26 of March [1573]’ warned his auditors that it is ‘a worthy [and] </w:t>
      </w:r>
      <w:proofErr w:type="spellStart"/>
      <w:r w:rsidRPr="003037D2">
        <w:rPr>
          <w:rFonts w:ascii="Garamond" w:hAnsi="Garamond" w:cs="Times New Roman"/>
        </w:rPr>
        <w:t>necessarie</w:t>
      </w:r>
      <w:proofErr w:type="spellEnd"/>
      <w:r w:rsidRPr="003037D2">
        <w:rPr>
          <w:rFonts w:ascii="Garamond" w:hAnsi="Garamond" w:cs="Times New Roman"/>
        </w:rPr>
        <w:t xml:space="preserve"> lesson for all men to </w:t>
      </w:r>
      <w:proofErr w:type="spellStart"/>
      <w:r w:rsidRPr="003037D2">
        <w:rPr>
          <w:rFonts w:ascii="Garamond" w:hAnsi="Garamond" w:cs="Times New Roman"/>
        </w:rPr>
        <w:t>learne</w:t>
      </w:r>
      <w:proofErr w:type="spellEnd"/>
      <w:r w:rsidRPr="003037D2">
        <w:rPr>
          <w:rFonts w:ascii="Garamond" w:hAnsi="Garamond" w:cs="Times New Roman"/>
        </w:rPr>
        <w:t>, especially such as be in authority… [not to] hunt after popular fame [and] commendation’.</w:t>
      </w:r>
      <w:r w:rsidRPr="003037D2">
        <w:rPr>
          <w:rStyle w:val="FootnoteReference"/>
          <w:rFonts w:ascii="Garamond" w:hAnsi="Garamond" w:cs="Times New Roman"/>
        </w:rPr>
        <w:footnoteReference w:id="619"/>
      </w:r>
      <w:r w:rsidRPr="003037D2">
        <w:rPr>
          <w:rFonts w:ascii="Garamond" w:hAnsi="Garamond" w:cs="Times New Roman"/>
        </w:rPr>
        <w:t xml:space="preserve"> Whitgift quotes from St. Ambrose, saying that such ‘fame’ is the same as an image ‘gorgeous and </w:t>
      </w:r>
      <w:proofErr w:type="spellStart"/>
      <w:r w:rsidRPr="003037D2">
        <w:rPr>
          <w:rFonts w:ascii="Garamond" w:hAnsi="Garamond" w:cs="Times New Roman"/>
        </w:rPr>
        <w:t>beautifull</w:t>
      </w:r>
      <w:proofErr w:type="spellEnd"/>
      <w:r w:rsidRPr="003037D2">
        <w:rPr>
          <w:rFonts w:ascii="Garamond" w:hAnsi="Garamond" w:cs="Times New Roman"/>
        </w:rPr>
        <w:t xml:space="preserve"> without, but </w:t>
      </w:r>
      <w:proofErr w:type="spellStart"/>
      <w:r w:rsidRPr="003037D2">
        <w:rPr>
          <w:rFonts w:ascii="Garamond" w:hAnsi="Garamond" w:cs="Times New Roman"/>
        </w:rPr>
        <w:t>emptie</w:t>
      </w:r>
      <w:proofErr w:type="spellEnd"/>
      <w:r w:rsidRPr="003037D2">
        <w:rPr>
          <w:rFonts w:ascii="Garamond" w:hAnsi="Garamond" w:cs="Times New Roman"/>
        </w:rPr>
        <w:t xml:space="preserve"> and </w:t>
      </w:r>
      <w:proofErr w:type="spellStart"/>
      <w:r w:rsidRPr="003037D2">
        <w:rPr>
          <w:rFonts w:ascii="Garamond" w:hAnsi="Garamond" w:cs="Times New Roman"/>
        </w:rPr>
        <w:t>vayne</w:t>
      </w:r>
      <w:proofErr w:type="spellEnd"/>
      <w:r w:rsidRPr="003037D2">
        <w:rPr>
          <w:rFonts w:ascii="Garamond" w:hAnsi="Garamond" w:cs="Times New Roman"/>
        </w:rPr>
        <w:t xml:space="preserve"> within’, and that in ‘ecclesiastical persons… it </w:t>
      </w:r>
      <w:proofErr w:type="spellStart"/>
      <w:r w:rsidRPr="003037D2">
        <w:rPr>
          <w:rFonts w:ascii="Garamond" w:hAnsi="Garamond" w:cs="Times New Roman"/>
        </w:rPr>
        <w:t>driveth</w:t>
      </w:r>
      <w:proofErr w:type="spellEnd"/>
      <w:r w:rsidRPr="003037D2">
        <w:rPr>
          <w:rFonts w:ascii="Garamond" w:hAnsi="Garamond" w:cs="Times New Roman"/>
        </w:rPr>
        <w:t xml:space="preserve"> them from the truth, [and] </w:t>
      </w:r>
      <w:proofErr w:type="spellStart"/>
      <w:r w:rsidRPr="003037D2">
        <w:rPr>
          <w:rFonts w:ascii="Garamond" w:hAnsi="Garamond" w:cs="Times New Roman"/>
        </w:rPr>
        <w:t>casteth</w:t>
      </w:r>
      <w:proofErr w:type="spellEnd"/>
      <w:r w:rsidRPr="003037D2">
        <w:rPr>
          <w:rFonts w:ascii="Garamond" w:hAnsi="Garamond" w:cs="Times New Roman"/>
        </w:rPr>
        <w:t xml:space="preserve"> them into error…. it so </w:t>
      </w:r>
      <w:proofErr w:type="spellStart"/>
      <w:r w:rsidRPr="003037D2">
        <w:rPr>
          <w:rFonts w:ascii="Garamond" w:hAnsi="Garamond" w:cs="Times New Roman"/>
        </w:rPr>
        <w:t>puffeth</w:t>
      </w:r>
      <w:proofErr w:type="spellEnd"/>
      <w:r w:rsidRPr="003037D2">
        <w:rPr>
          <w:rFonts w:ascii="Garamond" w:hAnsi="Garamond" w:cs="Times New Roman"/>
        </w:rPr>
        <w:t xml:space="preserve"> up the </w:t>
      </w:r>
      <w:proofErr w:type="spellStart"/>
      <w:r w:rsidRPr="003037D2">
        <w:rPr>
          <w:rFonts w:ascii="Garamond" w:hAnsi="Garamond" w:cs="Times New Roman"/>
        </w:rPr>
        <w:t>myndes</w:t>
      </w:r>
      <w:proofErr w:type="spellEnd"/>
      <w:r w:rsidRPr="003037D2">
        <w:rPr>
          <w:rFonts w:ascii="Garamond" w:hAnsi="Garamond" w:cs="Times New Roman"/>
        </w:rPr>
        <w:t xml:space="preserve"> of their teachers with an opinion of themselves that they dare be </w:t>
      </w:r>
      <w:proofErr w:type="spellStart"/>
      <w:r w:rsidRPr="003037D2">
        <w:rPr>
          <w:rFonts w:ascii="Garamond" w:hAnsi="Garamond" w:cs="Times New Roman"/>
        </w:rPr>
        <w:t>bolde</w:t>
      </w:r>
      <w:proofErr w:type="spellEnd"/>
      <w:r w:rsidRPr="003037D2">
        <w:rPr>
          <w:rFonts w:ascii="Garamond" w:hAnsi="Garamond" w:cs="Times New Roman"/>
        </w:rPr>
        <w:t xml:space="preserve"> to propound anything’.</w:t>
      </w:r>
      <w:r w:rsidRPr="003037D2">
        <w:rPr>
          <w:rStyle w:val="FootnoteReference"/>
          <w:rFonts w:ascii="Garamond" w:hAnsi="Garamond" w:cs="Times New Roman"/>
        </w:rPr>
        <w:footnoteReference w:id="620"/>
      </w:r>
      <w:r w:rsidRPr="003037D2">
        <w:rPr>
          <w:rFonts w:ascii="Garamond" w:hAnsi="Garamond" w:cs="Times New Roman"/>
        </w:rPr>
        <w:t xml:space="preserve"> However, as Ferrell has shown, popularity could also demonstrate a preacher’s command of their art. She gives the example of ‘silver-tongued [Henry] Smith’, who commanded ‘standing room only’ sermons at St</w:t>
      </w:r>
      <w:r w:rsidR="00667CD5">
        <w:rPr>
          <w:rFonts w:ascii="Garamond" w:hAnsi="Garamond" w:cs="Times New Roman"/>
        </w:rPr>
        <w:t>.</w:t>
      </w:r>
      <w:r w:rsidRPr="003037D2">
        <w:rPr>
          <w:rFonts w:ascii="Garamond" w:hAnsi="Garamond" w:cs="Times New Roman"/>
        </w:rPr>
        <w:t xml:space="preserve"> Clement Danes.</w:t>
      </w:r>
      <w:r w:rsidRPr="003037D2">
        <w:rPr>
          <w:rStyle w:val="FootnoteReference"/>
          <w:rFonts w:ascii="Garamond" w:hAnsi="Garamond" w:cs="Times New Roman"/>
        </w:rPr>
        <w:footnoteReference w:id="621"/>
      </w:r>
      <w:r w:rsidRPr="003037D2">
        <w:rPr>
          <w:rFonts w:ascii="Garamond" w:hAnsi="Garamond" w:cs="Times New Roman"/>
        </w:rPr>
        <w:t xml:space="preserve"> Paul Voss argues that unlike courtly poets, who worried that appearing in print could taint their work with populism, preachers ‘had little trouble overcoming the perceived cultural prejudices’ of print. Voss states that ‘ministers embraced the expanding technology as a more efficient means of reaching larger audiences…[and] courted, cherished, and exalted the status of the author’.</w:t>
      </w:r>
      <w:r w:rsidRPr="003037D2">
        <w:rPr>
          <w:rStyle w:val="FootnoteReference"/>
          <w:rFonts w:ascii="Garamond" w:hAnsi="Garamond" w:cs="Times New Roman"/>
        </w:rPr>
        <w:footnoteReference w:id="622"/>
      </w:r>
      <w:r w:rsidRPr="003037D2">
        <w:rPr>
          <w:rFonts w:ascii="Garamond" w:hAnsi="Garamond" w:cs="Times New Roman"/>
        </w:rPr>
        <w:t xml:space="preserve"> Voss argues that preachers and theologians were the first profession to really harness the power of the press to reach large numbers of people. Perhaps this was due to the practical mind-set we saw George Herbert exalting in the previous chapter: </w:t>
      </w:r>
      <w:r w:rsidRPr="003037D2">
        <w:rPr>
          <w:rFonts w:ascii="Garamond" w:hAnsi="Garamond" w:cs="Times New Roman"/>
        </w:rPr>
        <w:lastRenderedPageBreak/>
        <w:t xml:space="preserve">preachers were encouraged to make use of whatever tools they had to hand in order to fulfil their role as teacher and leader. </w:t>
      </w:r>
    </w:p>
    <w:p w14:paraId="3FBCBF8B" w14:textId="77777777" w:rsidR="00667CD5" w:rsidRPr="003037D2" w:rsidRDefault="00667CD5" w:rsidP="001F1F6B">
      <w:pPr>
        <w:spacing w:line="360" w:lineRule="auto"/>
        <w:ind w:firstLine="720"/>
        <w:rPr>
          <w:rFonts w:ascii="Garamond" w:hAnsi="Garamond" w:cs="Times New Roman"/>
        </w:rPr>
      </w:pPr>
    </w:p>
    <w:p w14:paraId="55929B87" w14:textId="4DB2EE12" w:rsidR="00162224" w:rsidRPr="003037D2" w:rsidRDefault="00162224" w:rsidP="00162224">
      <w:pPr>
        <w:spacing w:line="360" w:lineRule="auto"/>
        <w:ind w:firstLine="720"/>
        <w:rPr>
          <w:rFonts w:ascii="Garamond" w:hAnsi="Garamond" w:cs="Times New Roman"/>
        </w:rPr>
      </w:pPr>
      <w:r w:rsidRPr="003037D2">
        <w:rPr>
          <w:rFonts w:ascii="Garamond" w:hAnsi="Garamond" w:cs="Times New Roman"/>
        </w:rPr>
        <w:t>More recently, James Rigney and Arnold Hunt have nuanced the view that Protestant preachers had a natural affinity to print. Rigney provides strong evidence that some preachers worried that the act of printing sermons might debase them. The publicity gained by the printed form could seem to be more in aid of advancement for the preacher than their words.</w:t>
      </w:r>
      <w:r w:rsidRPr="003037D2">
        <w:rPr>
          <w:rStyle w:val="FootnoteReference"/>
          <w:rFonts w:ascii="Garamond" w:hAnsi="Garamond" w:cs="Times New Roman"/>
        </w:rPr>
        <w:footnoteReference w:id="623"/>
      </w:r>
      <w:r w:rsidRPr="003037D2">
        <w:rPr>
          <w:rFonts w:ascii="Garamond" w:hAnsi="Garamond" w:cs="Times New Roman"/>
        </w:rPr>
        <w:t xml:space="preserve"> Indeed, in my study of how sermons were advertised by means of their title pages, it is notable that the preacher’s name was almost universally featured, as were details of their qualifications and place of work. D.F. McKenzie writes that ‘almost every printed sermon in the first half of the [seventeenth] century has something to say by way of apology of the loss of the preacher’s presence’.</w:t>
      </w:r>
      <w:r w:rsidRPr="003037D2">
        <w:rPr>
          <w:rStyle w:val="FootnoteReference"/>
          <w:rFonts w:ascii="Garamond" w:hAnsi="Garamond" w:cs="Times New Roman"/>
        </w:rPr>
        <w:footnoteReference w:id="624"/>
      </w:r>
      <w:r w:rsidRPr="003037D2">
        <w:rPr>
          <w:rFonts w:ascii="Garamond" w:hAnsi="Garamond" w:cs="Times New Roman"/>
        </w:rPr>
        <w:t xml:space="preserve"> The printed sermons try to </w:t>
      </w:r>
      <w:proofErr w:type="spellStart"/>
      <w:r w:rsidRPr="003037D2">
        <w:rPr>
          <w:rFonts w:ascii="Garamond" w:hAnsi="Garamond" w:cs="Times New Roman"/>
        </w:rPr>
        <w:t>emphasise</w:t>
      </w:r>
      <w:proofErr w:type="spellEnd"/>
      <w:r w:rsidRPr="003037D2">
        <w:rPr>
          <w:rFonts w:ascii="Garamond" w:hAnsi="Garamond" w:cs="Times New Roman"/>
        </w:rPr>
        <w:t xml:space="preserve"> their point of origin within the preacher to make up for this loss. In Edward Vaughan’s </w:t>
      </w:r>
      <w:r w:rsidRPr="003037D2">
        <w:rPr>
          <w:rFonts w:ascii="Garamond" w:hAnsi="Garamond" w:cs="Times New Roman"/>
          <w:i/>
          <w:iCs/>
        </w:rPr>
        <w:t xml:space="preserve">A </w:t>
      </w:r>
      <w:proofErr w:type="spellStart"/>
      <w:r w:rsidRPr="003037D2">
        <w:rPr>
          <w:rFonts w:ascii="Garamond" w:hAnsi="Garamond" w:cs="Times New Roman"/>
          <w:i/>
          <w:iCs/>
        </w:rPr>
        <w:t>Plaine</w:t>
      </w:r>
      <w:proofErr w:type="spellEnd"/>
      <w:r w:rsidRPr="003037D2">
        <w:rPr>
          <w:rFonts w:ascii="Garamond" w:hAnsi="Garamond" w:cs="Times New Roman"/>
          <w:i/>
          <w:iCs/>
        </w:rPr>
        <w:t xml:space="preserve"> and perfect Method, for the </w:t>
      </w:r>
      <w:proofErr w:type="spellStart"/>
      <w:r w:rsidRPr="003037D2">
        <w:rPr>
          <w:rFonts w:ascii="Garamond" w:hAnsi="Garamond" w:cs="Times New Roman"/>
          <w:i/>
          <w:iCs/>
        </w:rPr>
        <w:t>easie</w:t>
      </w:r>
      <w:proofErr w:type="spellEnd"/>
      <w:r w:rsidRPr="003037D2">
        <w:rPr>
          <w:rFonts w:ascii="Garamond" w:hAnsi="Garamond" w:cs="Times New Roman"/>
          <w:i/>
          <w:iCs/>
        </w:rPr>
        <w:t xml:space="preserve"> understanding of the whole Bible </w:t>
      </w:r>
      <w:r w:rsidRPr="003037D2">
        <w:rPr>
          <w:rFonts w:ascii="Garamond" w:hAnsi="Garamond" w:cs="Times New Roman"/>
        </w:rPr>
        <w:t xml:space="preserve">(1617), which one would assume would vaunt the strength of scripture alone, he writes, ‘No man can have Faith without the </w:t>
      </w:r>
      <w:r w:rsidRPr="003037D2">
        <w:rPr>
          <w:rFonts w:ascii="Garamond" w:hAnsi="Garamond" w:cs="Times New Roman"/>
          <w:i/>
        </w:rPr>
        <w:t xml:space="preserve">hearing </w:t>
      </w:r>
      <w:r w:rsidRPr="003037D2">
        <w:rPr>
          <w:rFonts w:ascii="Garamond" w:hAnsi="Garamond" w:cs="Times New Roman"/>
          <w:iCs/>
        </w:rPr>
        <w:t xml:space="preserve">of God’s words… how can a man </w:t>
      </w:r>
      <w:r w:rsidRPr="003037D2">
        <w:rPr>
          <w:rFonts w:ascii="Garamond" w:hAnsi="Garamond" w:cs="Times New Roman"/>
          <w:i/>
        </w:rPr>
        <w:t xml:space="preserve">hear </w:t>
      </w:r>
      <w:r w:rsidRPr="003037D2">
        <w:rPr>
          <w:rFonts w:ascii="Garamond" w:hAnsi="Garamond" w:cs="Times New Roman"/>
          <w:iCs/>
        </w:rPr>
        <w:t>without a Preacher?’</w:t>
      </w:r>
      <w:r w:rsidRPr="003037D2">
        <w:rPr>
          <w:rStyle w:val="FootnoteReference"/>
          <w:rFonts w:ascii="Garamond" w:hAnsi="Garamond" w:cs="Times New Roman"/>
          <w:iCs/>
        </w:rPr>
        <w:footnoteReference w:id="625"/>
      </w:r>
      <w:r w:rsidRPr="003037D2">
        <w:rPr>
          <w:rFonts w:ascii="Garamond" w:hAnsi="Garamond" w:cs="Times New Roman"/>
          <w:iCs/>
        </w:rPr>
        <w:t xml:space="preserve"> The hearing of the word is explicitly the hearing of a sermon. </w:t>
      </w:r>
      <w:r w:rsidRPr="003037D2">
        <w:rPr>
          <w:rFonts w:ascii="Garamond" w:hAnsi="Garamond" w:cs="Times New Roman"/>
        </w:rPr>
        <w:t xml:space="preserve">In the introduction to John Day’s </w:t>
      </w:r>
      <w:proofErr w:type="spellStart"/>
      <w:r w:rsidRPr="003037D2">
        <w:rPr>
          <w:rFonts w:ascii="Garamond" w:hAnsi="Garamond" w:cs="Times New Roman"/>
          <w:i/>
          <w:iCs/>
        </w:rPr>
        <w:t>Day’s</w:t>
      </w:r>
      <w:proofErr w:type="spellEnd"/>
      <w:r w:rsidRPr="003037D2">
        <w:rPr>
          <w:rFonts w:ascii="Garamond" w:hAnsi="Garamond" w:cs="Times New Roman"/>
          <w:i/>
          <w:iCs/>
        </w:rPr>
        <w:t xml:space="preserve"> Festivals </w:t>
      </w:r>
      <w:r w:rsidRPr="003037D2">
        <w:rPr>
          <w:rFonts w:ascii="Garamond" w:hAnsi="Garamond" w:cs="Times New Roman"/>
        </w:rPr>
        <w:t>(1615), he addresses himself to the Provost of Oriel College, Oxford, Dr</w:t>
      </w:r>
      <w:r w:rsidR="00667CD5">
        <w:rPr>
          <w:rFonts w:ascii="Garamond" w:hAnsi="Garamond" w:cs="Times New Roman"/>
        </w:rPr>
        <w:t>.</w:t>
      </w:r>
      <w:r w:rsidRPr="003037D2">
        <w:rPr>
          <w:rFonts w:ascii="Garamond" w:hAnsi="Garamond" w:cs="Times New Roman"/>
        </w:rPr>
        <w:t xml:space="preserve"> </w:t>
      </w:r>
      <w:proofErr w:type="spellStart"/>
      <w:r w:rsidRPr="003037D2">
        <w:rPr>
          <w:rFonts w:ascii="Garamond" w:hAnsi="Garamond" w:cs="Times New Roman"/>
        </w:rPr>
        <w:t>Blecow</w:t>
      </w:r>
      <w:proofErr w:type="spellEnd"/>
      <w:r w:rsidRPr="003037D2">
        <w:rPr>
          <w:rFonts w:ascii="Garamond" w:hAnsi="Garamond" w:cs="Times New Roman"/>
        </w:rPr>
        <w:t xml:space="preserve">, describing the process of producing this book: </w:t>
      </w:r>
    </w:p>
    <w:p w14:paraId="746576E9" w14:textId="4BAA7C78" w:rsidR="00162224" w:rsidRDefault="00162224" w:rsidP="002F1250">
      <w:pPr>
        <w:ind w:left="737" w:right="737"/>
        <w:jc w:val="both"/>
        <w:rPr>
          <w:rFonts w:ascii="Garamond" w:hAnsi="Garamond" w:cs="Times New Roman"/>
        </w:rPr>
      </w:pPr>
      <w:r w:rsidRPr="003037D2">
        <w:rPr>
          <w:rFonts w:ascii="Garamond" w:hAnsi="Garamond" w:cs="Times New Roman"/>
        </w:rPr>
        <w:t xml:space="preserve">I dare be </w:t>
      </w:r>
      <w:proofErr w:type="spellStart"/>
      <w:r w:rsidRPr="003037D2">
        <w:rPr>
          <w:rFonts w:ascii="Garamond" w:hAnsi="Garamond" w:cs="Times New Roman"/>
        </w:rPr>
        <w:t>bould</w:t>
      </w:r>
      <w:proofErr w:type="spellEnd"/>
      <w:r w:rsidRPr="003037D2">
        <w:rPr>
          <w:rFonts w:ascii="Garamond" w:hAnsi="Garamond" w:cs="Times New Roman"/>
        </w:rPr>
        <w:t xml:space="preserve"> to say that to Print is to begin </w:t>
      </w:r>
      <w:proofErr w:type="spellStart"/>
      <w:r w:rsidRPr="003037D2">
        <w:rPr>
          <w:rFonts w:ascii="Garamond" w:hAnsi="Garamond" w:cs="Times New Roman"/>
        </w:rPr>
        <w:t>againe</w:t>
      </w:r>
      <w:proofErr w:type="spellEnd"/>
      <w:r w:rsidRPr="003037D2">
        <w:rPr>
          <w:rFonts w:ascii="Garamond" w:hAnsi="Garamond" w:cs="Times New Roman"/>
        </w:rPr>
        <w:t xml:space="preserve">, he </w:t>
      </w:r>
      <w:proofErr w:type="spellStart"/>
      <w:r w:rsidRPr="003037D2">
        <w:rPr>
          <w:rFonts w:ascii="Garamond" w:hAnsi="Garamond" w:cs="Times New Roman"/>
        </w:rPr>
        <w:t>knowes</w:t>
      </w:r>
      <w:proofErr w:type="spellEnd"/>
      <w:r w:rsidRPr="003037D2">
        <w:rPr>
          <w:rFonts w:ascii="Garamond" w:hAnsi="Garamond" w:cs="Times New Roman"/>
        </w:rPr>
        <w:t xml:space="preserve"> not what Printing is that </w:t>
      </w:r>
      <w:proofErr w:type="spellStart"/>
      <w:r w:rsidRPr="003037D2">
        <w:rPr>
          <w:rFonts w:ascii="Garamond" w:hAnsi="Garamond" w:cs="Times New Roman"/>
        </w:rPr>
        <w:t>knowes</w:t>
      </w:r>
      <w:proofErr w:type="spellEnd"/>
      <w:r w:rsidRPr="003037D2">
        <w:rPr>
          <w:rFonts w:ascii="Garamond" w:hAnsi="Garamond" w:cs="Times New Roman"/>
        </w:rPr>
        <w:t xml:space="preserve"> it not to be a </w:t>
      </w:r>
      <w:proofErr w:type="spellStart"/>
      <w:r w:rsidRPr="003037D2">
        <w:rPr>
          <w:rFonts w:ascii="Garamond" w:hAnsi="Garamond" w:cs="Times New Roman"/>
        </w:rPr>
        <w:t>Labour</w:t>
      </w:r>
      <w:proofErr w:type="spellEnd"/>
      <w:r w:rsidRPr="003037D2">
        <w:rPr>
          <w:rFonts w:ascii="Garamond" w:hAnsi="Garamond" w:cs="Times New Roman"/>
        </w:rPr>
        <w:t xml:space="preserve">. It was as Calvin observes the </w:t>
      </w:r>
      <w:proofErr w:type="spellStart"/>
      <w:r w:rsidRPr="003037D2">
        <w:rPr>
          <w:rFonts w:ascii="Garamond" w:hAnsi="Garamond" w:cs="Times New Roman"/>
        </w:rPr>
        <w:t>Custome</w:t>
      </w:r>
      <w:proofErr w:type="spellEnd"/>
      <w:r w:rsidRPr="003037D2">
        <w:rPr>
          <w:rFonts w:ascii="Garamond" w:hAnsi="Garamond" w:cs="Times New Roman"/>
        </w:rPr>
        <w:t xml:space="preserve"> of the Prophets, after they had spoken to Prince or People, to make a Brief of what they had spoken, and to fasten it on the Gates of the Temple, where it was to stand some </w:t>
      </w:r>
      <w:proofErr w:type="spellStart"/>
      <w:r w:rsidRPr="003037D2">
        <w:rPr>
          <w:rFonts w:ascii="Garamond" w:hAnsi="Garamond" w:cs="Times New Roman"/>
        </w:rPr>
        <w:t>certaine</w:t>
      </w:r>
      <w:proofErr w:type="spellEnd"/>
      <w:r w:rsidRPr="003037D2">
        <w:rPr>
          <w:rFonts w:ascii="Garamond" w:hAnsi="Garamond" w:cs="Times New Roman"/>
        </w:rPr>
        <w:t xml:space="preserve"> </w:t>
      </w:r>
      <w:proofErr w:type="spellStart"/>
      <w:r w:rsidRPr="003037D2">
        <w:rPr>
          <w:rFonts w:ascii="Garamond" w:hAnsi="Garamond" w:cs="Times New Roman"/>
        </w:rPr>
        <w:t>daies</w:t>
      </w:r>
      <w:proofErr w:type="spellEnd"/>
      <w:r w:rsidRPr="003037D2">
        <w:rPr>
          <w:rFonts w:ascii="Garamond" w:hAnsi="Garamond" w:cs="Times New Roman"/>
        </w:rPr>
        <w:t xml:space="preserve"> to the view of every One that would peruse it. Printing is that in our Age, which that kind of Publishing was in theirs, only the </w:t>
      </w:r>
      <w:proofErr w:type="spellStart"/>
      <w:r w:rsidRPr="003037D2">
        <w:rPr>
          <w:rFonts w:ascii="Garamond" w:hAnsi="Garamond" w:cs="Times New Roman"/>
        </w:rPr>
        <w:t>Unsavorie</w:t>
      </w:r>
      <w:proofErr w:type="spellEnd"/>
      <w:r w:rsidRPr="003037D2">
        <w:rPr>
          <w:rFonts w:ascii="Garamond" w:hAnsi="Garamond" w:cs="Times New Roman"/>
        </w:rPr>
        <w:t xml:space="preserve"> Pamphlets have </w:t>
      </w:r>
      <w:proofErr w:type="spellStart"/>
      <w:r w:rsidRPr="003037D2">
        <w:rPr>
          <w:rFonts w:ascii="Garamond" w:hAnsi="Garamond" w:cs="Times New Roman"/>
        </w:rPr>
        <w:t>beene</w:t>
      </w:r>
      <w:proofErr w:type="spellEnd"/>
      <w:r w:rsidRPr="003037D2">
        <w:rPr>
          <w:rFonts w:ascii="Garamond" w:hAnsi="Garamond" w:cs="Times New Roman"/>
        </w:rPr>
        <w:t xml:space="preserve"> so many, that have passed the Presse as well as Sermons, as that it makes us (a Many at the least) </w:t>
      </w:r>
      <w:proofErr w:type="spellStart"/>
      <w:r w:rsidRPr="003037D2">
        <w:rPr>
          <w:rFonts w:ascii="Garamond" w:hAnsi="Garamond" w:cs="Times New Roman"/>
        </w:rPr>
        <w:t>esteeme</w:t>
      </w:r>
      <w:proofErr w:type="spellEnd"/>
      <w:r w:rsidRPr="003037D2">
        <w:rPr>
          <w:rFonts w:ascii="Garamond" w:hAnsi="Garamond" w:cs="Times New Roman"/>
        </w:rPr>
        <w:t xml:space="preserve"> no more of having Sermons printed</w:t>
      </w:r>
      <w:r w:rsidR="002F1250">
        <w:rPr>
          <w:rFonts w:ascii="Garamond" w:hAnsi="Garamond" w:cs="Times New Roman"/>
        </w:rPr>
        <w:t>.</w:t>
      </w:r>
      <w:r w:rsidRPr="003037D2">
        <w:rPr>
          <w:rFonts w:ascii="Garamond" w:hAnsi="Garamond" w:cs="Times New Roman"/>
          <w:vertAlign w:val="superscript"/>
        </w:rPr>
        <w:footnoteReference w:id="626"/>
      </w:r>
      <w:r w:rsidRPr="003037D2">
        <w:rPr>
          <w:rFonts w:ascii="Garamond" w:hAnsi="Garamond" w:cs="Times New Roman"/>
        </w:rPr>
        <w:t xml:space="preserve"> </w:t>
      </w:r>
    </w:p>
    <w:p w14:paraId="7A7D8469" w14:textId="77777777" w:rsidR="00667CD5" w:rsidRPr="003037D2" w:rsidRDefault="00667CD5" w:rsidP="00162224">
      <w:pPr>
        <w:ind w:left="737" w:right="737"/>
        <w:jc w:val="both"/>
        <w:rPr>
          <w:rFonts w:ascii="Garamond" w:hAnsi="Garamond" w:cs="Times New Roman"/>
        </w:rPr>
      </w:pPr>
    </w:p>
    <w:p w14:paraId="738FC5EC" w14:textId="77777777" w:rsidR="00162224" w:rsidRPr="003037D2" w:rsidRDefault="00162224" w:rsidP="00162224">
      <w:pPr>
        <w:spacing w:line="360" w:lineRule="auto"/>
        <w:rPr>
          <w:rFonts w:ascii="Garamond" w:hAnsi="Garamond" w:cs="Times New Roman"/>
          <w:iCs/>
        </w:rPr>
      </w:pPr>
      <w:r w:rsidRPr="003037D2">
        <w:rPr>
          <w:rFonts w:ascii="Garamond" w:hAnsi="Garamond" w:cs="Times New Roman"/>
          <w:iCs/>
        </w:rPr>
        <w:t xml:space="preserve">Day presents the preparation of a sermon for the press as a moment of rupture with what has gone before, </w:t>
      </w:r>
      <w:proofErr w:type="spellStart"/>
      <w:r w:rsidRPr="003037D2">
        <w:rPr>
          <w:rFonts w:ascii="Garamond" w:hAnsi="Garamond" w:cs="Times New Roman"/>
          <w:iCs/>
        </w:rPr>
        <w:t>emphasising</w:t>
      </w:r>
      <w:proofErr w:type="spellEnd"/>
      <w:r w:rsidRPr="003037D2">
        <w:rPr>
          <w:rFonts w:ascii="Garamond" w:hAnsi="Garamond" w:cs="Times New Roman"/>
          <w:iCs/>
        </w:rPr>
        <w:t xml:space="preserve"> the work that goes into this process in order to demonstrate its value. He creates a parallel between the work of seventeenth-century English ministers and ancient prophets, throwing light on the tension between the </w:t>
      </w:r>
      <w:r w:rsidRPr="003037D2">
        <w:rPr>
          <w:rFonts w:ascii="Garamond" w:hAnsi="Garamond" w:cs="Times New Roman"/>
          <w:iCs/>
        </w:rPr>
        <w:lastRenderedPageBreak/>
        <w:t>written and the printed word that has existed for millennia. We see the text expand its reach from a narrow audience, performed perhaps to just the ‘Prince’ to one that is public and uncontainable, ‘every One that would peruse it’. Indeed, in the reference to the posting of these ‘Brief[s]… on the Gates of the Temple’ Day perhaps reminds his readers of the contemporary practice of pinning up frontispieces to advertise books. However, the developments in technology from the time of the prophet to the time of the printing press had wrought a change. The overproduction of texts means that printing of sermons has been devalued, due to the sheer numbers of ‘</w:t>
      </w:r>
      <w:proofErr w:type="spellStart"/>
      <w:r w:rsidRPr="003037D2">
        <w:rPr>
          <w:rFonts w:ascii="Garamond" w:hAnsi="Garamond" w:cs="Times New Roman"/>
          <w:iCs/>
        </w:rPr>
        <w:t>Unsavourie</w:t>
      </w:r>
      <w:proofErr w:type="spellEnd"/>
      <w:r w:rsidRPr="003037D2">
        <w:rPr>
          <w:rFonts w:ascii="Garamond" w:hAnsi="Garamond" w:cs="Times New Roman"/>
          <w:iCs/>
        </w:rPr>
        <w:t xml:space="preserve"> Pamphlets’. </w:t>
      </w:r>
    </w:p>
    <w:p w14:paraId="6DA8E38C" w14:textId="77777777" w:rsidR="00162224" w:rsidRPr="003037D2" w:rsidRDefault="00162224" w:rsidP="00162224">
      <w:pPr>
        <w:spacing w:line="360" w:lineRule="auto"/>
        <w:rPr>
          <w:rFonts w:ascii="Garamond" w:hAnsi="Garamond" w:cs="Times New Roman"/>
          <w:iCs/>
        </w:rPr>
      </w:pPr>
    </w:p>
    <w:p w14:paraId="032E5299" w14:textId="77777777" w:rsidR="00162224" w:rsidRPr="003037D2" w:rsidRDefault="00162224" w:rsidP="00162224">
      <w:pPr>
        <w:spacing w:line="360" w:lineRule="auto"/>
        <w:ind w:firstLine="720"/>
        <w:rPr>
          <w:rFonts w:ascii="Garamond" w:hAnsi="Garamond" w:cs="Times New Roman"/>
        </w:rPr>
      </w:pPr>
      <w:r w:rsidRPr="003037D2">
        <w:rPr>
          <w:rFonts w:ascii="Garamond" w:hAnsi="Garamond" w:cs="Times New Roman"/>
        </w:rPr>
        <w:t xml:space="preserve"> Rigney argues that the </w:t>
      </w:r>
      <w:r w:rsidRPr="003037D2">
        <w:rPr>
          <w:rFonts w:ascii="Garamond" w:hAnsi="Garamond" w:cs="Times New Roman"/>
          <w:i/>
        </w:rPr>
        <w:t xml:space="preserve">apologias </w:t>
      </w:r>
      <w:r w:rsidRPr="003037D2">
        <w:rPr>
          <w:rFonts w:ascii="Garamond" w:hAnsi="Garamond" w:cs="Times New Roman"/>
        </w:rPr>
        <w:t>which preface many sermons demonstrate that ‘while the call to preach might have been clear, the call to publish was anything but’.</w:t>
      </w:r>
      <w:r w:rsidRPr="003037D2">
        <w:rPr>
          <w:rStyle w:val="FootnoteReference"/>
          <w:rFonts w:ascii="Garamond" w:hAnsi="Garamond" w:cs="Times New Roman"/>
        </w:rPr>
        <w:footnoteReference w:id="627"/>
      </w:r>
      <w:r w:rsidRPr="003037D2">
        <w:rPr>
          <w:rFonts w:ascii="Garamond" w:hAnsi="Garamond" w:cs="Times New Roman"/>
        </w:rPr>
        <w:t xml:space="preserve">  There were many reasons that printing sermons could </w:t>
      </w:r>
      <w:proofErr w:type="gramStart"/>
      <w:r w:rsidRPr="003037D2">
        <w:rPr>
          <w:rFonts w:ascii="Garamond" w:hAnsi="Garamond" w:cs="Times New Roman"/>
        </w:rPr>
        <w:t>be seen as</w:t>
      </w:r>
      <w:proofErr w:type="gramEnd"/>
      <w:r w:rsidRPr="003037D2">
        <w:rPr>
          <w:rFonts w:ascii="Garamond" w:hAnsi="Garamond" w:cs="Times New Roman"/>
        </w:rPr>
        <w:t xml:space="preserve"> suspect. For some, Protestantism was supposed to be a religion of sound, moving away from the Catholic </w:t>
      </w:r>
      <w:proofErr w:type="spellStart"/>
      <w:r w:rsidRPr="003037D2">
        <w:rPr>
          <w:rFonts w:ascii="Garamond" w:hAnsi="Garamond" w:cs="Times New Roman"/>
        </w:rPr>
        <w:t>valorisation</w:t>
      </w:r>
      <w:proofErr w:type="spellEnd"/>
      <w:r w:rsidRPr="003037D2">
        <w:rPr>
          <w:rFonts w:ascii="Garamond" w:hAnsi="Garamond" w:cs="Times New Roman"/>
        </w:rPr>
        <w:t xml:space="preserve"> of images and relics.</w:t>
      </w:r>
      <w:r w:rsidRPr="003037D2">
        <w:rPr>
          <w:rStyle w:val="FootnoteReference"/>
          <w:rFonts w:ascii="Garamond" w:hAnsi="Garamond" w:cs="Times New Roman"/>
        </w:rPr>
        <w:footnoteReference w:id="628"/>
      </w:r>
      <w:r w:rsidRPr="003037D2">
        <w:rPr>
          <w:rFonts w:ascii="Garamond" w:hAnsi="Garamond" w:cs="Times New Roman"/>
        </w:rPr>
        <w:t xml:space="preserve"> In a sermon on the conversion of Saul (Acts</w:t>
      </w:r>
      <w:r w:rsidRPr="003037D2">
        <w:rPr>
          <w:rFonts w:ascii="Garamond" w:hAnsi="Garamond" w:cs="Times New Roman"/>
          <w:i/>
        </w:rPr>
        <w:t xml:space="preserve"> </w:t>
      </w:r>
      <w:r w:rsidRPr="003037D2">
        <w:rPr>
          <w:rFonts w:ascii="Garamond" w:hAnsi="Garamond" w:cs="Times New Roman"/>
        </w:rPr>
        <w:t xml:space="preserve">9.4) Donne argues that, ‘Man hath a natural way to come to God, by the </w:t>
      </w:r>
      <w:proofErr w:type="spellStart"/>
      <w:r w:rsidRPr="003037D2">
        <w:rPr>
          <w:rFonts w:ascii="Garamond" w:hAnsi="Garamond" w:cs="Times New Roman"/>
        </w:rPr>
        <w:t>eie</w:t>
      </w:r>
      <w:proofErr w:type="spellEnd"/>
      <w:r w:rsidRPr="003037D2">
        <w:rPr>
          <w:rFonts w:ascii="Garamond" w:hAnsi="Garamond" w:cs="Times New Roman"/>
        </w:rPr>
        <w:t xml:space="preserve">… So </w:t>
      </w:r>
      <w:r w:rsidRPr="003037D2">
        <w:rPr>
          <w:rFonts w:ascii="Garamond" w:hAnsi="Garamond" w:cs="Times New Roman"/>
          <w:i/>
        </w:rPr>
        <w:t xml:space="preserve">Visible things </w:t>
      </w:r>
      <w:r w:rsidRPr="003037D2">
        <w:rPr>
          <w:rFonts w:ascii="Garamond" w:hAnsi="Garamond" w:cs="Times New Roman"/>
        </w:rPr>
        <w:t xml:space="preserve">shew the </w:t>
      </w:r>
      <w:r w:rsidRPr="003037D2">
        <w:rPr>
          <w:rFonts w:ascii="Garamond" w:hAnsi="Garamond" w:cs="Times New Roman"/>
          <w:i/>
        </w:rPr>
        <w:t xml:space="preserve">Invisible God: </w:t>
      </w:r>
      <w:r w:rsidRPr="003037D2">
        <w:rPr>
          <w:rFonts w:ascii="Garamond" w:hAnsi="Garamond" w:cs="Times New Roman"/>
        </w:rPr>
        <w:t xml:space="preserve">but then, God hath super-induced a supernatural way, by the </w:t>
      </w:r>
      <w:proofErr w:type="spellStart"/>
      <w:r w:rsidRPr="003037D2">
        <w:rPr>
          <w:rFonts w:ascii="Garamond" w:hAnsi="Garamond" w:cs="Times New Roman"/>
        </w:rPr>
        <w:t>eare</w:t>
      </w:r>
      <w:proofErr w:type="spellEnd"/>
      <w:r w:rsidRPr="003037D2">
        <w:rPr>
          <w:rFonts w:ascii="Garamond" w:hAnsi="Garamond" w:cs="Times New Roman"/>
        </w:rPr>
        <w:t xml:space="preserve">. For, though hearing be </w:t>
      </w:r>
      <w:proofErr w:type="spellStart"/>
      <w:r w:rsidRPr="003037D2">
        <w:rPr>
          <w:rFonts w:ascii="Garamond" w:hAnsi="Garamond" w:cs="Times New Roman"/>
        </w:rPr>
        <w:t>naturall</w:t>
      </w:r>
      <w:proofErr w:type="spellEnd"/>
      <w:r w:rsidRPr="003037D2">
        <w:rPr>
          <w:rFonts w:ascii="Garamond" w:hAnsi="Garamond" w:cs="Times New Roman"/>
        </w:rPr>
        <w:t>, yet that faith in God should come by hearing a man preach, is supernatural’.</w:t>
      </w:r>
      <w:r w:rsidRPr="003037D2">
        <w:rPr>
          <w:rFonts w:ascii="Garamond" w:hAnsi="Garamond" w:cs="Times New Roman"/>
          <w:vertAlign w:val="superscript"/>
        </w:rPr>
        <w:footnoteReference w:id="629"/>
      </w:r>
      <w:r w:rsidRPr="003037D2">
        <w:rPr>
          <w:rFonts w:ascii="Garamond" w:hAnsi="Garamond" w:cs="Times New Roman"/>
        </w:rPr>
        <w:t xml:space="preserve"> If preaching converts the written word of the Bible to the more palatable, engaging form of spoken language, then reducing this again to print may seem counterproductive, particularly as the printed word of the sermon could never assert its primacy over that of the Bible. However, the relationship between the heard and written word was not necessarily entirely oppositional in the period. Hunt points out that the ‘techniques of hearing’ which enabled the proper reception of sermons ‘were heavily dependent on literacy skills, presupposing… a listener who could handle a pen and take notes on the sermon as an aid to memory’.</w:t>
      </w:r>
      <w:r w:rsidRPr="003037D2">
        <w:rPr>
          <w:rStyle w:val="FootnoteReference"/>
          <w:rFonts w:ascii="Garamond" w:hAnsi="Garamond" w:cs="Times New Roman"/>
        </w:rPr>
        <w:footnoteReference w:id="630"/>
      </w:r>
      <w:r w:rsidRPr="003037D2">
        <w:rPr>
          <w:rFonts w:ascii="Garamond" w:hAnsi="Garamond" w:cs="Times New Roman"/>
        </w:rPr>
        <w:t xml:space="preserve"> </w:t>
      </w:r>
      <w:proofErr w:type="spellStart"/>
      <w:r w:rsidRPr="003037D2">
        <w:rPr>
          <w:rFonts w:ascii="Garamond" w:hAnsi="Garamond" w:cs="Times New Roman"/>
        </w:rPr>
        <w:t>Visualising</w:t>
      </w:r>
      <w:proofErr w:type="spellEnd"/>
      <w:r w:rsidRPr="003037D2">
        <w:rPr>
          <w:rFonts w:ascii="Garamond" w:hAnsi="Garamond" w:cs="Times New Roman"/>
        </w:rPr>
        <w:t xml:space="preserve"> the structure of a sermon on the page was the best way to understand the heard word. </w:t>
      </w:r>
    </w:p>
    <w:p w14:paraId="232357E1" w14:textId="77777777" w:rsidR="00162224" w:rsidRPr="003037D2" w:rsidRDefault="00162224" w:rsidP="00162224">
      <w:pPr>
        <w:spacing w:line="360" w:lineRule="auto"/>
        <w:ind w:firstLine="720"/>
        <w:rPr>
          <w:rFonts w:ascii="Garamond" w:hAnsi="Garamond" w:cs="Times New Roman"/>
        </w:rPr>
      </w:pPr>
    </w:p>
    <w:p w14:paraId="1DEF113C" w14:textId="77777777" w:rsidR="00162224" w:rsidRPr="003037D2" w:rsidRDefault="00162224" w:rsidP="00162224">
      <w:pPr>
        <w:spacing w:line="360" w:lineRule="auto"/>
        <w:ind w:firstLine="720"/>
        <w:rPr>
          <w:rFonts w:ascii="Garamond" w:eastAsia="Calibri" w:hAnsi="Garamond" w:cs="Times New Roman"/>
        </w:rPr>
      </w:pPr>
      <w:r w:rsidRPr="003037D2">
        <w:rPr>
          <w:rFonts w:ascii="Garamond" w:hAnsi="Garamond" w:cs="Times New Roman"/>
        </w:rPr>
        <w:t xml:space="preserve">John </w:t>
      </w:r>
      <w:proofErr w:type="spellStart"/>
      <w:r w:rsidRPr="003037D2">
        <w:rPr>
          <w:rFonts w:ascii="Garamond" w:hAnsi="Garamond" w:cs="Times New Roman"/>
        </w:rPr>
        <w:t>Downame</w:t>
      </w:r>
      <w:proofErr w:type="spellEnd"/>
      <w:r w:rsidRPr="003037D2">
        <w:rPr>
          <w:rFonts w:ascii="Garamond" w:hAnsi="Garamond" w:cs="Times New Roman"/>
        </w:rPr>
        <w:t xml:space="preserve"> provides a telling example of the visual nature of the ‘Art of Hearing’ declaring that we must ‘</w:t>
      </w:r>
      <w:proofErr w:type="spellStart"/>
      <w:r w:rsidRPr="003037D2">
        <w:rPr>
          <w:rFonts w:ascii="Garamond" w:hAnsi="Garamond" w:cs="Times New Roman"/>
        </w:rPr>
        <w:t>heare</w:t>
      </w:r>
      <w:proofErr w:type="spellEnd"/>
      <w:r w:rsidRPr="003037D2">
        <w:rPr>
          <w:rFonts w:ascii="Garamond" w:hAnsi="Garamond" w:cs="Times New Roman"/>
        </w:rPr>
        <w:t xml:space="preserve"> the Word with diligent attention, observing the method of the Teacher, and how he </w:t>
      </w:r>
      <w:proofErr w:type="spellStart"/>
      <w:r w:rsidRPr="003037D2">
        <w:rPr>
          <w:rFonts w:ascii="Garamond" w:hAnsi="Garamond" w:cs="Times New Roman"/>
        </w:rPr>
        <w:t>proceedeth</w:t>
      </w:r>
      <w:proofErr w:type="spellEnd"/>
      <w:r w:rsidRPr="003037D2">
        <w:rPr>
          <w:rFonts w:ascii="Garamond" w:hAnsi="Garamond" w:cs="Times New Roman"/>
        </w:rPr>
        <w:t xml:space="preserve"> from point to point, fastening the former point in our minds, by casting our eye </w:t>
      </w:r>
      <w:proofErr w:type="spellStart"/>
      <w:r w:rsidRPr="003037D2">
        <w:rPr>
          <w:rFonts w:ascii="Garamond" w:hAnsi="Garamond" w:cs="Times New Roman"/>
        </w:rPr>
        <w:t>backe</w:t>
      </w:r>
      <w:proofErr w:type="spellEnd"/>
      <w:r w:rsidRPr="003037D2">
        <w:rPr>
          <w:rFonts w:ascii="Garamond" w:hAnsi="Garamond" w:cs="Times New Roman"/>
        </w:rPr>
        <w:t xml:space="preserve"> unto it, when </w:t>
      </w:r>
      <w:proofErr w:type="spellStart"/>
      <w:r w:rsidRPr="003037D2">
        <w:rPr>
          <w:rFonts w:ascii="Garamond" w:hAnsi="Garamond" w:cs="Times New Roman"/>
        </w:rPr>
        <w:t>hee</w:t>
      </w:r>
      <w:proofErr w:type="spellEnd"/>
      <w:r w:rsidRPr="003037D2">
        <w:rPr>
          <w:rFonts w:ascii="Garamond" w:hAnsi="Garamond" w:cs="Times New Roman"/>
        </w:rPr>
        <w:t xml:space="preserve"> is leaving of it, and proceeding to another’.</w:t>
      </w:r>
      <w:r w:rsidRPr="003037D2">
        <w:rPr>
          <w:rStyle w:val="FootnoteReference"/>
          <w:rFonts w:ascii="Garamond" w:hAnsi="Garamond" w:cs="Times New Roman"/>
        </w:rPr>
        <w:footnoteReference w:id="631"/>
      </w:r>
      <w:r w:rsidRPr="003037D2">
        <w:rPr>
          <w:rFonts w:ascii="Garamond" w:hAnsi="Garamond" w:cs="Times New Roman"/>
        </w:rPr>
        <w:t xml:space="preserve"> </w:t>
      </w:r>
      <w:proofErr w:type="spellStart"/>
      <w:r w:rsidRPr="003037D2">
        <w:rPr>
          <w:rFonts w:ascii="Garamond" w:hAnsi="Garamond" w:cs="Times New Roman"/>
        </w:rPr>
        <w:t>Downame</w:t>
      </w:r>
      <w:proofErr w:type="spellEnd"/>
      <w:r w:rsidRPr="003037D2">
        <w:rPr>
          <w:rFonts w:ascii="Garamond" w:hAnsi="Garamond" w:cs="Times New Roman"/>
        </w:rPr>
        <w:t xml:space="preserve"> was a strong supporter of </w:t>
      </w:r>
      <w:proofErr w:type="spellStart"/>
      <w:r w:rsidRPr="003037D2">
        <w:rPr>
          <w:rFonts w:ascii="Garamond" w:hAnsi="Garamond" w:cs="Times New Roman"/>
        </w:rPr>
        <w:t>catechising</w:t>
      </w:r>
      <w:proofErr w:type="spellEnd"/>
      <w:r w:rsidRPr="003037D2">
        <w:rPr>
          <w:rFonts w:ascii="Garamond" w:hAnsi="Garamond" w:cs="Times New Roman"/>
        </w:rPr>
        <w:t>, declaring that it allowed the congregation to ‘</w:t>
      </w:r>
      <w:proofErr w:type="spellStart"/>
      <w:r w:rsidRPr="003037D2">
        <w:rPr>
          <w:rFonts w:ascii="Garamond" w:hAnsi="Garamond" w:cs="Times New Roman"/>
        </w:rPr>
        <w:t>referre</w:t>
      </w:r>
      <w:proofErr w:type="spellEnd"/>
      <w:r w:rsidRPr="003037D2">
        <w:rPr>
          <w:rFonts w:ascii="Garamond" w:hAnsi="Garamond" w:cs="Times New Roman"/>
        </w:rPr>
        <w:t xml:space="preserve"> all things </w:t>
      </w:r>
      <w:proofErr w:type="spellStart"/>
      <w:r w:rsidRPr="003037D2">
        <w:rPr>
          <w:rFonts w:ascii="Garamond" w:hAnsi="Garamond" w:cs="Times New Roman"/>
        </w:rPr>
        <w:t>wee</w:t>
      </w:r>
      <w:proofErr w:type="spellEnd"/>
      <w:r w:rsidRPr="003037D2">
        <w:rPr>
          <w:rFonts w:ascii="Garamond" w:hAnsi="Garamond" w:cs="Times New Roman"/>
        </w:rPr>
        <w:t xml:space="preserve"> </w:t>
      </w:r>
      <w:proofErr w:type="spellStart"/>
      <w:r w:rsidRPr="003037D2">
        <w:rPr>
          <w:rFonts w:ascii="Garamond" w:hAnsi="Garamond" w:cs="Times New Roman"/>
        </w:rPr>
        <w:t>heare</w:t>
      </w:r>
      <w:proofErr w:type="spellEnd"/>
      <w:r w:rsidRPr="003037D2">
        <w:rPr>
          <w:rFonts w:ascii="Garamond" w:hAnsi="Garamond" w:cs="Times New Roman"/>
        </w:rPr>
        <w:t xml:space="preserve"> to their heads’, meaning the ‘headings’ or ‘topics’ under which they would be sorted in a commonplace book.</w:t>
      </w:r>
      <w:r w:rsidRPr="003037D2">
        <w:rPr>
          <w:rStyle w:val="FootnoteReference"/>
          <w:rFonts w:ascii="Garamond" w:hAnsi="Garamond" w:cs="Times New Roman"/>
        </w:rPr>
        <w:footnoteReference w:id="632"/>
      </w:r>
      <w:r w:rsidRPr="003037D2">
        <w:rPr>
          <w:rFonts w:ascii="Garamond" w:hAnsi="Garamond" w:cs="Times New Roman"/>
        </w:rPr>
        <w:t xml:space="preserve"> As discussed in the previous chapter, this scholastic tradition not only provided a structured way of understanding the universe, but created a concrete system for committing ideas and phrases to memory for future use. In providing a system for ordering memory both on the page and the mind, the commonplace book and the preacher alike offered a way of managing time and managing one’s mind in the future.  As will be later discussed, with reference to Donne’s claim that </w:t>
      </w:r>
      <w:r w:rsidRPr="003037D2">
        <w:rPr>
          <w:rFonts w:ascii="Garamond" w:eastAsia="Calibri" w:hAnsi="Garamond" w:cs="Times New Roman"/>
        </w:rPr>
        <w:t xml:space="preserve">‘the art of </w:t>
      </w:r>
      <w:r w:rsidRPr="003037D2">
        <w:rPr>
          <w:rFonts w:ascii="Garamond" w:eastAsia="Calibri" w:hAnsi="Garamond" w:cs="Times New Roman"/>
          <w:i/>
        </w:rPr>
        <w:t>salvation</w:t>
      </w:r>
      <w:r w:rsidRPr="003037D2">
        <w:rPr>
          <w:rFonts w:ascii="Garamond" w:eastAsia="Calibri" w:hAnsi="Garamond" w:cs="Times New Roman"/>
        </w:rPr>
        <w:t xml:space="preserve">, is but the art of </w:t>
      </w:r>
      <w:r w:rsidRPr="003037D2">
        <w:rPr>
          <w:rFonts w:ascii="Garamond" w:eastAsia="Calibri" w:hAnsi="Garamond" w:cs="Times New Roman"/>
          <w:i/>
        </w:rPr>
        <w:t>memory</w:t>
      </w:r>
      <w:r w:rsidRPr="003037D2">
        <w:rPr>
          <w:rFonts w:ascii="Garamond" w:eastAsia="Calibri" w:hAnsi="Garamond" w:cs="Times New Roman"/>
        </w:rPr>
        <w:t>’, a good memory was often seen as a prerequisite of being a good Christian.</w:t>
      </w:r>
      <w:r w:rsidRPr="003037D2">
        <w:rPr>
          <w:rStyle w:val="FootnoteReference"/>
          <w:rFonts w:ascii="Garamond" w:eastAsia="Calibri" w:hAnsi="Garamond" w:cs="Times New Roman"/>
        </w:rPr>
        <w:footnoteReference w:id="633"/>
      </w:r>
      <w:r w:rsidRPr="003037D2">
        <w:rPr>
          <w:rFonts w:ascii="Garamond" w:eastAsia="Calibri" w:hAnsi="Garamond" w:cs="Times New Roman"/>
        </w:rPr>
        <w:t xml:space="preserve"> Of course, these examples have mainly involved the manuscript recording of sermons by their hearers, rather than their printing. However, as D.F. McKenzie pointed out in ‘Speech-Manuscript-Print’, ‘for the speaker, auditor, reader or viewer, the texts tend to work in complementary, not competitive, ways’.</w:t>
      </w:r>
      <w:r w:rsidRPr="003037D2">
        <w:rPr>
          <w:rStyle w:val="FootnoteReference"/>
          <w:rFonts w:ascii="Garamond" w:eastAsia="Calibri" w:hAnsi="Garamond" w:cs="Times New Roman"/>
        </w:rPr>
        <w:footnoteReference w:id="634"/>
      </w:r>
      <w:r w:rsidRPr="003037D2">
        <w:rPr>
          <w:rFonts w:ascii="Garamond" w:eastAsia="Calibri" w:hAnsi="Garamond" w:cs="Times New Roman"/>
        </w:rPr>
        <w:t xml:space="preserve"> He provides evidence of the ways in which writers and printers sought to ‘limit the difference of print by devising ways to suggest its affinities with speaking and writing’ with many texts aping or implying direct address.</w:t>
      </w:r>
      <w:r w:rsidRPr="003037D2">
        <w:rPr>
          <w:rStyle w:val="FootnoteReference"/>
          <w:rFonts w:ascii="Garamond" w:eastAsia="Calibri" w:hAnsi="Garamond" w:cs="Times New Roman"/>
        </w:rPr>
        <w:footnoteReference w:id="635"/>
      </w:r>
      <w:r w:rsidRPr="003037D2">
        <w:rPr>
          <w:rFonts w:ascii="Garamond" w:eastAsia="Calibri" w:hAnsi="Garamond" w:cs="Times New Roman"/>
        </w:rPr>
        <w:t xml:space="preserve"> Indeed, the letters of apology which begin so many printed works, not least sermons, allow for the sensation of the author directly addressing the reader, despite the refracting lens of the noble addressee. </w:t>
      </w:r>
    </w:p>
    <w:p w14:paraId="7774E1A4" w14:textId="77777777" w:rsidR="00162224" w:rsidRPr="003037D2" w:rsidRDefault="00162224" w:rsidP="00162224">
      <w:pPr>
        <w:spacing w:line="360" w:lineRule="auto"/>
        <w:ind w:firstLine="720"/>
        <w:rPr>
          <w:rFonts w:ascii="Garamond" w:eastAsia="Calibri" w:hAnsi="Garamond" w:cs="Times New Roman"/>
        </w:rPr>
      </w:pPr>
    </w:p>
    <w:p w14:paraId="5A014F48" w14:textId="77777777" w:rsidR="00162224" w:rsidRPr="003037D2" w:rsidRDefault="00162224" w:rsidP="00162224">
      <w:pPr>
        <w:spacing w:line="360" w:lineRule="auto"/>
        <w:ind w:firstLine="720"/>
        <w:rPr>
          <w:rFonts w:ascii="Garamond" w:hAnsi="Garamond" w:cs="Times New Roman"/>
        </w:rPr>
      </w:pPr>
      <w:r w:rsidRPr="003037D2">
        <w:rPr>
          <w:rFonts w:ascii="Garamond" w:hAnsi="Garamond" w:cs="Times New Roman"/>
        </w:rPr>
        <w:t xml:space="preserve">Despite this, there were barriers to such publication. The preparation of a sermon manuscript for the press was time consuming. When Henry Goodyer asked Donne to send him a sermon, Donne responded that it will take him ‘eight hours’ to </w:t>
      </w:r>
      <w:r w:rsidRPr="003037D2">
        <w:rPr>
          <w:rFonts w:ascii="Garamond" w:hAnsi="Garamond" w:cs="Times New Roman"/>
        </w:rPr>
        <w:lastRenderedPageBreak/>
        <w:t>copy out a whole sermon, and that he was unable to fit this into his schedule as ‘for more than twenty days, I have been travelled with a pain, in my right wrist, so like the Gout, as makes me unable to write’.</w:t>
      </w:r>
      <w:r w:rsidRPr="003037D2">
        <w:rPr>
          <w:rStyle w:val="FootnoteReference"/>
          <w:rFonts w:ascii="Garamond" w:hAnsi="Garamond" w:cs="Times New Roman"/>
        </w:rPr>
        <w:footnoteReference w:id="636"/>
      </w:r>
      <w:r w:rsidRPr="003037D2">
        <w:rPr>
          <w:rFonts w:ascii="Garamond" w:hAnsi="Garamond" w:cs="Times New Roman"/>
        </w:rPr>
        <w:t xml:space="preserve"> In a letter to Sir Robert </w:t>
      </w:r>
      <w:proofErr w:type="spellStart"/>
      <w:r w:rsidRPr="003037D2">
        <w:rPr>
          <w:rFonts w:ascii="Garamond" w:hAnsi="Garamond" w:cs="Times New Roman"/>
        </w:rPr>
        <w:t>Karre</w:t>
      </w:r>
      <w:proofErr w:type="spellEnd"/>
      <w:r w:rsidRPr="003037D2">
        <w:rPr>
          <w:rFonts w:ascii="Garamond" w:hAnsi="Garamond" w:cs="Times New Roman"/>
        </w:rPr>
        <w:t xml:space="preserve">, Donne details the pains that he takes over his sermons. He recounts a time when ‘I heard the old King say of a good Sermon, that he thought the Preacher never had thought of his Sermon, till he spoke it seemed to him negligently and </w:t>
      </w:r>
      <w:proofErr w:type="spellStart"/>
      <w:r w:rsidRPr="003037D2">
        <w:rPr>
          <w:rFonts w:ascii="Garamond" w:hAnsi="Garamond" w:cs="Times New Roman"/>
        </w:rPr>
        <w:t>extemporally</w:t>
      </w:r>
      <w:proofErr w:type="spellEnd"/>
      <w:r w:rsidRPr="003037D2">
        <w:rPr>
          <w:rFonts w:ascii="Garamond" w:hAnsi="Garamond" w:cs="Times New Roman"/>
        </w:rPr>
        <w:t xml:space="preserve"> spoken’. Donne, as a preacher himself, is very aware that the preacher ‘had weighed every syllable, for </w:t>
      </w:r>
      <w:proofErr w:type="spellStart"/>
      <w:r w:rsidRPr="003037D2">
        <w:rPr>
          <w:rFonts w:ascii="Garamond" w:hAnsi="Garamond" w:cs="Times New Roman"/>
        </w:rPr>
        <w:t>halfe</w:t>
      </w:r>
      <w:proofErr w:type="spellEnd"/>
      <w:r w:rsidRPr="003037D2">
        <w:rPr>
          <w:rFonts w:ascii="Garamond" w:hAnsi="Garamond" w:cs="Times New Roman"/>
        </w:rPr>
        <w:t xml:space="preserve"> a year before’. Indeed, he concludes that so misjudged is the King’s assessment that he must have some prior ‘prejudice upon him’.</w:t>
      </w:r>
      <w:r w:rsidRPr="003037D2">
        <w:rPr>
          <w:rFonts w:ascii="Garamond" w:hAnsi="Garamond" w:cs="Times New Roman"/>
          <w:vertAlign w:val="superscript"/>
        </w:rPr>
        <w:footnoteReference w:id="637"/>
      </w:r>
      <w:r w:rsidRPr="003037D2">
        <w:rPr>
          <w:rFonts w:ascii="Garamond" w:hAnsi="Garamond" w:cs="Times New Roman"/>
        </w:rPr>
        <w:t xml:space="preserve"> However, he seems aware that there is probably a lack of common understanding about the care it takes to write a sermon,  he states, ‘I have </w:t>
      </w:r>
      <w:proofErr w:type="spellStart"/>
      <w:r w:rsidRPr="003037D2">
        <w:rPr>
          <w:rFonts w:ascii="Garamond" w:hAnsi="Garamond" w:cs="Times New Roman"/>
        </w:rPr>
        <w:t>cribrated</w:t>
      </w:r>
      <w:proofErr w:type="spellEnd"/>
      <w:r w:rsidRPr="003037D2">
        <w:rPr>
          <w:rFonts w:ascii="Garamond" w:hAnsi="Garamond" w:cs="Times New Roman"/>
        </w:rPr>
        <w:t>, and re-</w:t>
      </w:r>
      <w:proofErr w:type="spellStart"/>
      <w:r w:rsidRPr="003037D2">
        <w:rPr>
          <w:rFonts w:ascii="Garamond" w:hAnsi="Garamond" w:cs="Times New Roman"/>
        </w:rPr>
        <w:t>cribated</w:t>
      </w:r>
      <w:proofErr w:type="spellEnd"/>
      <w:r w:rsidRPr="003037D2">
        <w:rPr>
          <w:rFonts w:ascii="Garamond" w:hAnsi="Garamond" w:cs="Times New Roman"/>
        </w:rPr>
        <w:t>, and post-</w:t>
      </w:r>
      <w:proofErr w:type="spellStart"/>
      <w:r w:rsidRPr="003037D2">
        <w:rPr>
          <w:rFonts w:ascii="Garamond" w:hAnsi="Garamond" w:cs="Times New Roman"/>
        </w:rPr>
        <w:t>cribated</w:t>
      </w:r>
      <w:proofErr w:type="spellEnd"/>
      <w:r w:rsidRPr="003037D2">
        <w:rPr>
          <w:rFonts w:ascii="Garamond" w:hAnsi="Garamond" w:cs="Times New Roman"/>
        </w:rPr>
        <w:t xml:space="preserve"> the Sermon… the King who hath let fall his hand on some of my Poems, never saw, of mine, a hand, or an eye, or an affection set down with so much study, and diligence, and </w:t>
      </w:r>
      <w:proofErr w:type="spellStart"/>
      <w:r w:rsidRPr="003037D2">
        <w:rPr>
          <w:rFonts w:ascii="Garamond" w:hAnsi="Garamond" w:cs="Times New Roman"/>
        </w:rPr>
        <w:t>labour</w:t>
      </w:r>
      <w:proofErr w:type="spellEnd"/>
      <w:r w:rsidRPr="003037D2">
        <w:rPr>
          <w:rFonts w:ascii="Garamond" w:hAnsi="Garamond" w:cs="Times New Roman"/>
        </w:rPr>
        <w:t xml:space="preserve"> of syllables as in this Sermon’.</w:t>
      </w:r>
      <w:r w:rsidRPr="003037D2">
        <w:rPr>
          <w:rFonts w:ascii="Garamond" w:hAnsi="Garamond" w:cs="Times New Roman"/>
          <w:vertAlign w:val="superscript"/>
        </w:rPr>
        <w:footnoteReference w:id="638"/>
      </w:r>
      <w:r w:rsidRPr="003037D2">
        <w:rPr>
          <w:rFonts w:ascii="Garamond" w:hAnsi="Garamond" w:cs="Times New Roman"/>
        </w:rPr>
        <w:t xml:space="preserve"> Donne bemoans his inability to draw the attention of the King to the </w:t>
      </w:r>
      <w:proofErr w:type="spellStart"/>
      <w:r w:rsidRPr="003037D2">
        <w:rPr>
          <w:rFonts w:ascii="Garamond" w:hAnsi="Garamond" w:cs="Times New Roman"/>
        </w:rPr>
        <w:t>labour</w:t>
      </w:r>
      <w:proofErr w:type="spellEnd"/>
      <w:r w:rsidRPr="003037D2">
        <w:rPr>
          <w:rFonts w:ascii="Garamond" w:hAnsi="Garamond" w:cs="Times New Roman"/>
        </w:rPr>
        <w:t xml:space="preserve"> that lies behind the sermon, which necessitates him returning to the same text again and again in the writing process. Donne’s use of the intensifying suffixes (</w:t>
      </w:r>
      <w:r w:rsidRPr="003037D2">
        <w:rPr>
          <w:rFonts w:ascii="Garamond" w:hAnsi="Garamond" w:cs="Times New Roman"/>
          <w:i/>
          <w:iCs/>
        </w:rPr>
        <w:t>re-</w:t>
      </w:r>
      <w:proofErr w:type="spellStart"/>
      <w:r w:rsidRPr="003037D2">
        <w:rPr>
          <w:rFonts w:ascii="Garamond" w:hAnsi="Garamond" w:cs="Times New Roman"/>
        </w:rPr>
        <w:t>cribated</w:t>
      </w:r>
      <w:proofErr w:type="spellEnd"/>
      <w:r w:rsidRPr="003037D2">
        <w:rPr>
          <w:rFonts w:ascii="Garamond" w:hAnsi="Garamond" w:cs="Times New Roman"/>
        </w:rPr>
        <w:t xml:space="preserve">, </w:t>
      </w:r>
      <w:r w:rsidRPr="003037D2">
        <w:rPr>
          <w:rFonts w:ascii="Garamond" w:hAnsi="Garamond" w:cs="Times New Roman"/>
          <w:i/>
          <w:iCs/>
        </w:rPr>
        <w:t>post-</w:t>
      </w:r>
      <w:proofErr w:type="spellStart"/>
      <w:r w:rsidRPr="003037D2">
        <w:rPr>
          <w:rFonts w:ascii="Garamond" w:hAnsi="Garamond" w:cs="Times New Roman"/>
        </w:rPr>
        <w:t>cribated</w:t>
      </w:r>
      <w:proofErr w:type="spellEnd"/>
      <w:r w:rsidRPr="003037D2">
        <w:rPr>
          <w:rFonts w:ascii="Garamond" w:hAnsi="Garamond" w:cs="Times New Roman"/>
        </w:rPr>
        <w:t xml:space="preserve">) </w:t>
      </w:r>
      <w:proofErr w:type="spellStart"/>
      <w:r w:rsidRPr="003037D2">
        <w:rPr>
          <w:rFonts w:ascii="Garamond" w:hAnsi="Garamond" w:cs="Times New Roman"/>
        </w:rPr>
        <w:t>emphasises</w:t>
      </w:r>
      <w:proofErr w:type="spellEnd"/>
      <w:r w:rsidRPr="003037D2">
        <w:rPr>
          <w:rFonts w:ascii="Garamond" w:hAnsi="Garamond" w:cs="Times New Roman"/>
        </w:rPr>
        <w:t xml:space="preserve"> the temporal element of this </w:t>
      </w:r>
      <w:proofErr w:type="spellStart"/>
      <w:r w:rsidRPr="003037D2">
        <w:rPr>
          <w:rFonts w:ascii="Garamond" w:hAnsi="Garamond" w:cs="Times New Roman"/>
        </w:rPr>
        <w:t>labour</w:t>
      </w:r>
      <w:proofErr w:type="spellEnd"/>
      <w:r w:rsidRPr="003037D2">
        <w:rPr>
          <w:rFonts w:ascii="Garamond" w:hAnsi="Garamond" w:cs="Times New Roman"/>
        </w:rPr>
        <w:t>.</w:t>
      </w:r>
      <w:r w:rsidRPr="003037D2">
        <w:rPr>
          <w:rStyle w:val="FootnoteReference"/>
          <w:rFonts w:ascii="Garamond" w:hAnsi="Garamond" w:cs="Times New Roman"/>
        </w:rPr>
        <w:footnoteReference w:id="639"/>
      </w:r>
      <w:r w:rsidRPr="003037D2">
        <w:rPr>
          <w:rFonts w:ascii="Garamond" w:hAnsi="Garamond" w:cs="Times New Roman"/>
        </w:rPr>
        <w:t xml:space="preserve"> </w:t>
      </w:r>
    </w:p>
    <w:p w14:paraId="7F4B5CFC" w14:textId="77777777" w:rsidR="00162224" w:rsidRPr="003037D2" w:rsidRDefault="00162224" w:rsidP="00162224">
      <w:pPr>
        <w:spacing w:line="360" w:lineRule="auto"/>
        <w:ind w:firstLine="720"/>
        <w:rPr>
          <w:rFonts w:ascii="Garamond" w:hAnsi="Garamond" w:cs="Times New Roman"/>
        </w:rPr>
      </w:pPr>
    </w:p>
    <w:p w14:paraId="093B3BF7" w14:textId="77777777" w:rsidR="00162224" w:rsidRPr="003037D2" w:rsidRDefault="00162224" w:rsidP="00162224">
      <w:pPr>
        <w:spacing w:line="360" w:lineRule="auto"/>
        <w:ind w:firstLine="720"/>
        <w:rPr>
          <w:rFonts w:ascii="Garamond" w:hAnsi="Garamond" w:cs="Times New Roman"/>
        </w:rPr>
      </w:pPr>
      <w:r w:rsidRPr="003037D2">
        <w:rPr>
          <w:rFonts w:ascii="Garamond" w:hAnsi="Garamond" w:cs="Times New Roman"/>
        </w:rPr>
        <w:t xml:space="preserve">Rigney presents evidence that some preachers took pains to demonstrate that they did not neglect their other duties in order to do this work. John </w:t>
      </w:r>
      <w:proofErr w:type="spellStart"/>
      <w:r w:rsidRPr="003037D2">
        <w:rPr>
          <w:rFonts w:ascii="Garamond" w:hAnsi="Garamond" w:cs="Times New Roman"/>
        </w:rPr>
        <w:t>Favour</w:t>
      </w:r>
      <w:proofErr w:type="spellEnd"/>
      <w:r w:rsidRPr="003037D2">
        <w:rPr>
          <w:rFonts w:ascii="Garamond" w:hAnsi="Garamond" w:cs="Times New Roman"/>
        </w:rPr>
        <w:t xml:space="preserve">, vicar of Halifax, mentions that he squeezed this writing time into his Sundays after preaching. </w:t>
      </w:r>
      <w:proofErr w:type="spellStart"/>
      <w:r w:rsidRPr="003037D2">
        <w:rPr>
          <w:rFonts w:ascii="Garamond" w:hAnsi="Garamond" w:cs="Times New Roman"/>
        </w:rPr>
        <w:t>Favour</w:t>
      </w:r>
      <w:proofErr w:type="spellEnd"/>
      <w:r w:rsidRPr="003037D2">
        <w:rPr>
          <w:rFonts w:ascii="Garamond" w:hAnsi="Garamond" w:cs="Times New Roman"/>
        </w:rPr>
        <w:t xml:space="preserve"> provides an additional </w:t>
      </w:r>
      <w:proofErr w:type="spellStart"/>
      <w:r w:rsidRPr="003037D2">
        <w:rPr>
          <w:rFonts w:ascii="Garamond" w:hAnsi="Garamond" w:cs="Times New Roman"/>
        </w:rPr>
        <w:t>defence</w:t>
      </w:r>
      <w:proofErr w:type="spellEnd"/>
      <w:r w:rsidRPr="003037D2">
        <w:rPr>
          <w:rFonts w:ascii="Garamond" w:hAnsi="Garamond" w:cs="Times New Roman"/>
        </w:rPr>
        <w:t xml:space="preserve"> of his decision to publish, explaining that he wishes ‘to put my </w:t>
      </w:r>
      <w:proofErr w:type="spellStart"/>
      <w:r w:rsidRPr="003037D2">
        <w:rPr>
          <w:rFonts w:ascii="Garamond" w:hAnsi="Garamond" w:cs="Times New Roman"/>
        </w:rPr>
        <w:t>flocke</w:t>
      </w:r>
      <w:proofErr w:type="spellEnd"/>
      <w:r w:rsidRPr="003037D2">
        <w:rPr>
          <w:rFonts w:ascii="Garamond" w:hAnsi="Garamond" w:cs="Times New Roman"/>
        </w:rPr>
        <w:t xml:space="preserve"> in mind of those things which I would wish to be believed after my departure as well by my pen, which may haply </w:t>
      </w:r>
      <w:proofErr w:type="spellStart"/>
      <w:r w:rsidRPr="003037D2">
        <w:rPr>
          <w:rFonts w:ascii="Garamond" w:hAnsi="Garamond" w:cs="Times New Roman"/>
        </w:rPr>
        <w:t>pierece</w:t>
      </w:r>
      <w:proofErr w:type="spellEnd"/>
      <w:r w:rsidRPr="003037D2">
        <w:rPr>
          <w:rFonts w:ascii="Garamond" w:hAnsi="Garamond" w:cs="Times New Roman"/>
        </w:rPr>
        <w:t xml:space="preserve"> when I am dead, as by my tongue which shall not cease… to preach while I live’.</w:t>
      </w:r>
      <w:r w:rsidRPr="003037D2">
        <w:rPr>
          <w:rStyle w:val="FootnoteReference"/>
          <w:rFonts w:ascii="Garamond" w:hAnsi="Garamond" w:cs="Times New Roman"/>
        </w:rPr>
        <w:footnoteReference w:id="640"/>
      </w:r>
      <w:r w:rsidRPr="003037D2">
        <w:rPr>
          <w:rFonts w:ascii="Garamond" w:hAnsi="Garamond" w:cs="Times New Roman"/>
        </w:rPr>
        <w:t xml:space="preserve"> Similarly, </w:t>
      </w:r>
      <w:r w:rsidRPr="003037D2">
        <w:rPr>
          <w:rFonts w:ascii="Garamond" w:eastAsia="Calibri" w:hAnsi="Garamond" w:cs="Times New Roman"/>
        </w:rPr>
        <w:t>in 1650, the preacher Vavasor Powell declared, ‘I would not neglect for the Printing of a thousand Books, the preaching of one Sermon’ (although we only have this on record as Powell did manage to print at least one book).</w:t>
      </w:r>
      <w:r w:rsidRPr="003037D2">
        <w:rPr>
          <w:rFonts w:ascii="Garamond" w:eastAsia="Calibri" w:hAnsi="Garamond" w:cs="Times New Roman"/>
          <w:vertAlign w:val="superscript"/>
        </w:rPr>
        <w:footnoteReference w:id="641"/>
      </w:r>
      <w:r w:rsidRPr="003037D2">
        <w:rPr>
          <w:rFonts w:ascii="Garamond" w:eastAsia="Calibri" w:hAnsi="Garamond" w:cs="Times New Roman"/>
        </w:rPr>
        <w:t xml:space="preserve"> As seen in Herbert’s </w:t>
      </w:r>
      <w:r w:rsidRPr="003037D2">
        <w:rPr>
          <w:rFonts w:ascii="Garamond" w:eastAsia="Calibri" w:hAnsi="Garamond" w:cs="Times New Roman"/>
          <w:i/>
        </w:rPr>
        <w:t xml:space="preserve">The Country Parson, </w:t>
      </w:r>
      <w:r w:rsidRPr="003037D2">
        <w:rPr>
          <w:rFonts w:ascii="Garamond" w:eastAsia="Calibri" w:hAnsi="Garamond" w:cs="Times New Roman"/>
        </w:rPr>
        <w:lastRenderedPageBreak/>
        <w:t>ministers were particularly under pressure to demonstrate their ceaseless godly activity in service of their congregations. The conflicting demands that writing and publishing put on their time had to be balanced with pastoral work. However, t</w:t>
      </w:r>
      <w:r w:rsidRPr="003037D2">
        <w:rPr>
          <w:rFonts w:ascii="Garamond" w:hAnsi="Garamond" w:cs="Times New Roman"/>
        </w:rPr>
        <w:t xml:space="preserve">he advantage of the written word is that it can outlive the preacher and continue his work of instructing his flock following his death. Joseph Hall opens his 1609 Passion Sermon, preached at Paul’s Cross with a faintly peevish note ‘to the Reader’, ‘I desire not to make any </w:t>
      </w:r>
      <w:proofErr w:type="spellStart"/>
      <w:r w:rsidRPr="003037D2">
        <w:rPr>
          <w:rFonts w:ascii="Garamond" w:hAnsi="Garamond" w:cs="Times New Roman"/>
        </w:rPr>
        <w:t>Apologie</w:t>
      </w:r>
      <w:proofErr w:type="spellEnd"/>
      <w:r w:rsidRPr="003037D2">
        <w:rPr>
          <w:rFonts w:ascii="Garamond" w:hAnsi="Garamond" w:cs="Times New Roman"/>
        </w:rPr>
        <w:t xml:space="preserve"> for the Edition of this my Sermon: It is motive enough, that herein I affect a more public and more enduring good’.</w:t>
      </w:r>
      <w:r w:rsidRPr="003037D2">
        <w:rPr>
          <w:rStyle w:val="FootnoteReference"/>
          <w:rFonts w:ascii="Garamond" w:hAnsi="Garamond" w:cs="Times New Roman"/>
        </w:rPr>
        <w:footnoteReference w:id="642"/>
      </w:r>
      <w:r w:rsidRPr="003037D2">
        <w:rPr>
          <w:rFonts w:ascii="Garamond" w:hAnsi="Garamond" w:cs="Times New Roman"/>
        </w:rPr>
        <w:t xml:space="preserve"> </w:t>
      </w:r>
      <w:r w:rsidRPr="003037D2">
        <w:rPr>
          <w:rFonts w:ascii="Garamond" w:hAnsi="Garamond"/>
        </w:rPr>
        <w:t xml:space="preserve">Indeed, </w:t>
      </w:r>
      <w:r w:rsidRPr="003037D2">
        <w:rPr>
          <w:rFonts w:ascii="Garamond" w:hAnsi="Garamond" w:cs="Times New Roman"/>
        </w:rPr>
        <w:t xml:space="preserve">the ability of the printed word to outlive the preacher meant that these words were vulnerable to misrepresentation by others. Nathaniel Hardy stirringly wrote, </w:t>
      </w:r>
    </w:p>
    <w:p w14:paraId="4078357E" w14:textId="607F0C72" w:rsidR="00162224" w:rsidRPr="003037D2" w:rsidRDefault="00162224" w:rsidP="00162224">
      <w:pPr>
        <w:ind w:left="737" w:right="737"/>
        <w:rPr>
          <w:rFonts w:ascii="Garamond" w:hAnsi="Garamond" w:cs="Times New Roman"/>
        </w:rPr>
      </w:pPr>
      <w:r w:rsidRPr="003037D2">
        <w:rPr>
          <w:rFonts w:ascii="Garamond" w:hAnsi="Garamond" w:cs="Times New Roman"/>
        </w:rPr>
        <w:t xml:space="preserve">I have too often… beheld those monstrous births which have been forced into the work by the </w:t>
      </w:r>
      <w:proofErr w:type="spellStart"/>
      <w:r w:rsidRPr="003037D2">
        <w:rPr>
          <w:rFonts w:ascii="Garamond" w:hAnsi="Garamond" w:cs="Times New Roman"/>
        </w:rPr>
        <w:t>unskilful</w:t>
      </w:r>
      <w:proofErr w:type="spellEnd"/>
      <w:r w:rsidRPr="003037D2">
        <w:rPr>
          <w:rFonts w:ascii="Garamond" w:hAnsi="Garamond" w:cs="Times New Roman"/>
        </w:rPr>
        <w:t xml:space="preserve"> and injurious Midwifery of </w:t>
      </w:r>
      <w:proofErr w:type="spellStart"/>
      <w:r w:rsidRPr="003037D2">
        <w:rPr>
          <w:rFonts w:ascii="Garamond" w:hAnsi="Garamond" w:cs="Times New Roman"/>
        </w:rPr>
        <w:t>Scribbers</w:t>
      </w:r>
      <w:proofErr w:type="spellEnd"/>
      <w:r w:rsidRPr="003037D2">
        <w:rPr>
          <w:rFonts w:ascii="Garamond" w:hAnsi="Garamond" w:cs="Times New Roman"/>
        </w:rPr>
        <w:t>, Stationers, and Printers, after the death of their pretended Parents: Indeed, who would not be troubled to see the innocent name of eminent Divines made… to do penance in the Printers sheets, for the incontinency of their wanton Auditors, who between the Pen and Press, beget and bring forth a Bastard brood of Sermons.</w:t>
      </w:r>
      <w:r w:rsidRPr="003037D2">
        <w:rPr>
          <w:rStyle w:val="FootnoteReference"/>
          <w:rFonts w:ascii="Garamond" w:hAnsi="Garamond" w:cs="Times New Roman"/>
        </w:rPr>
        <w:footnoteReference w:id="643"/>
      </w:r>
    </w:p>
    <w:p w14:paraId="050D6448" w14:textId="77777777" w:rsidR="007C61A3" w:rsidRPr="003037D2" w:rsidRDefault="007C61A3" w:rsidP="00162224">
      <w:pPr>
        <w:ind w:left="737" w:right="737"/>
        <w:rPr>
          <w:rFonts w:ascii="Garamond" w:hAnsi="Garamond" w:cs="Times New Roman"/>
        </w:rPr>
      </w:pPr>
    </w:p>
    <w:p w14:paraId="5EA8F68B" w14:textId="77777777" w:rsidR="00162224" w:rsidRPr="003037D2" w:rsidRDefault="00162224" w:rsidP="00162224">
      <w:pPr>
        <w:spacing w:line="360" w:lineRule="auto"/>
        <w:rPr>
          <w:rFonts w:ascii="Garamond" w:hAnsi="Garamond" w:cs="Times New Roman"/>
        </w:rPr>
      </w:pPr>
      <w:r w:rsidRPr="003037D2">
        <w:rPr>
          <w:rFonts w:ascii="Garamond" w:hAnsi="Garamond" w:cs="Times New Roman"/>
        </w:rPr>
        <w:t xml:space="preserve">The language of generation is familiar: we are used to hearing authors describe books as their children. However, Hardy has defamiliarized this conceit. The reassuring temporal progression of reproduction has run awry and passed beyond the control of the author. It is the ‘wanton’ nature of their audience, a lack of control and restraint, which has led to the birth of these bastard children, that counter to the normal familial relationship, can control their parents, leading them to need to do ‘penance’, even if this is only their names after their death. Rather than preserving the parent’s name, these children create a new and damaging legacy. The language of unchecked sexuality is intrinsically linked to the wasting of time, as ‘wanton’ indicated both unmanageable </w:t>
      </w:r>
      <w:proofErr w:type="spellStart"/>
      <w:r w:rsidRPr="003037D2">
        <w:rPr>
          <w:rFonts w:ascii="Garamond" w:hAnsi="Garamond" w:cs="Times New Roman"/>
        </w:rPr>
        <w:t>behaviour</w:t>
      </w:r>
      <w:proofErr w:type="spellEnd"/>
      <w:r w:rsidRPr="003037D2">
        <w:rPr>
          <w:rFonts w:ascii="Garamond" w:hAnsi="Garamond" w:cs="Times New Roman"/>
        </w:rPr>
        <w:t>, sexual promiscuity, and (as a verb) passing one’s time heedlessly, and specifically a method of movement: to pass through a place in a heedless or idle manner.</w:t>
      </w:r>
      <w:r w:rsidRPr="003037D2">
        <w:rPr>
          <w:rStyle w:val="FootnoteReference"/>
          <w:rFonts w:ascii="Garamond" w:hAnsi="Garamond" w:cs="Times New Roman"/>
        </w:rPr>
        <w:footnoteReference w:id="644"/>
      </w:r>
    </w:p>
    <w:p w14:paraId="13070F2F" w14:textId="77777777" w:rsidR="00162224" w:rsidRPr="003037D2" w:rsidRDefault="00162224" w:rsidP="00162224">
      <w:pPr>
        <w:spacing w:line="360" w:lineRule="auto"/>
        <w:ind w:firstLine="720"/>
        <w:rPr>
          <w:rFonts w:ascii="Garamond" w:eastAsia="Calibri" w:hAnsi="Garamond" w:cs="Times New Roman"/>
        </w:rPr>
      </w:pPr>
    </w:p>
    <w:p w14:paraId="10DE4C01" w14:textId="650000E5" w:rsidR="00162224" w:rsidRDefault="00162224" w:rsidP="00162224">
      <w:pPr>
        <w:spacing w:line="360" w:lineRule="auto"/>
        <w:ind w:firstLine="720"/>
        <w:rPr>
          <w:rFonts w:ascii="Garamond" w:eastAsia="Calibri" w:hAnsi="Garamond" w:cs="Times New Roman"/>
        </w:rPr>
      </w:pPr>
    </w:p>
    <w:p w14:paraId="4C2F403C" w14:textId="77777777" w:rsidR="00667CD5" w:rsidRPr="003037D2" w:rsidRDefault="00667CD5" w:rsidP="00162224">
      <w:pPr>
        <w:spacing w:line="360" w:lineRule="auto"/>
        <w:ind w:firstLine="720"/>
        <w:rPr>
          <w:rFonts w:ascii="Garamond" w:eastAsia="Calibri" w:hAnsi="Garamond" w:cs="Times New Roman"/>
        </w:rPr>
      </w:pPr>
    </w:p>
    <w:p w14:paraId="3B16723E" w14:textId="77777777" w:rsidR="00162224" w:rsidRPr="003037D2" w:rsidRDefault="00162224" w:rsidP="00162224">
      <w:pPr>
        <w:spacing w:line="360" w:lineRule="auto"/>
        <w:ind w:firstLine="720"/>
        <w:rPr>
          <w:rFonts w:ascii="Garamond" w:eastAsia="Calibri" w:hAnsi="Garamond" w:cs="Times New Roman"/>
        </w:rPr>
      </w:pPr>
    </w:p>
    <w:p w14:paraId="672990FC" w14:textId="77777777" w:rsidR="00162224" w:rsidRPr="003037D2" w:rsidRDefault="00162224" w:rsidP="00162224">
      <w:pPr>
        <w:pStyle w:val="Heading3"/>
        <w:numPr>
          <w:ilvl w:val="0"/>
          <w:numId w:val="21"/>
        </w:numPr>
        <w:spacing w:line="360" w:lineRule="auto"/>
        <w:rPr>
          <w:rFonts w:ascii="Garamond" w:hAnsi="Garamond"/>
          <w:color w:val="auto"/>
        </w:rPr>
      </w:pPr>
      <w:bookmarkStart w:id="72" w:name="_Toc3967189"/>
      <w:r w:rsidRPr="003037D2">
        <w:rPr>
          <w:rFonts w:ascii="Garamond" w:hAnsi="Garamond"/>
          <w:color w:val="auto"/>
        </w:rPr>
        <w:lastRenderedPageBreak/>
        <w:t>Title Pages and advertising strategies</w:t>
      </w:r>
      <w:bookmarkEnd w:id="72"/>
      <w:r w:rsidRPr="003037D2">
        <w:rPr>
          <w:rFonts w:ascii="Garamond" w:hAnsi="Garamond"/>
          <w:color w:val="auto"/>
        </w:rPr>
        <w:t xml:space="preserve"> </w:t>
      </w:r>
    </w:p>
    <w:p w14:paraId="40ABF2EE" w14:textId="77777777" w:rsidR="00162224" w:rsidRPr="003037D2" w:rsidRDefault="00162224" w:rsidP="00162224">
      <w:pPr>
        <w:spacing w:line="360" w:lineRule="auto"/>
        <w:rPr>
          <w:rFonts w:ascii="Garamond" w:hAnsi="Garamond"/>
        </w:rPr>
      </w:pPr>
    </w:p>
    <w:p w14:paraId="1F937712" w14:textId="3336113E" w:rsidR="00162224" w:rsidRPr="003037D2" w:rsidRDefault="00162224" w:rsidP="00162224">
      <w:pPr>
        <w:spacing w:line="360" w:lineRule="auto"/>
        <w:ind w:firstLine="720"/>
        <w:rPr>
          <w:rFonts w:ascii="Garamond" w:hAnsi="Garamond" w:cs="Times New Roman"/>
        </w:rPr>
      </w:pPr>
      <w:r w:rsidRPr="003037D2">
        <w:rPr>
          <w:rFonts w:ascii="Garamond" w:hAnsi="Garamond" w:cs="Times New Roman"/>
        </w:rPr>
        <w:t xml:space="preserve">As previously discussed, although preachers may have had theological aims in mind when publishing their sermons, for the printers and publishers this would have been balanced with financial necessity. The printing of books was a financially intensive process; the finished product required a good deal of </w:t>
      </w:r>
      <w:proofErr w:type="spellStart"/>
      <w:r w:rsidRPr="003037D2">
        <w:rPr>
          <w:rFonts w:ascii="Garamond" w:hAnsi="Garamond" w:cs="Times New Roman"/>
        </w:rPr>
        <w:t>labour</w:t>
      </w:r>
      <w:proofErr w:type="spellEnd"/>
      <w:r w:rsidRPr="003037D2">
        <w:rPr>
          <w:rFonts w:ascii="Garamond" w:hAnsi="Garamond" w:cs="Times New Roman"/>
        </w:rPr>
        <w:t xml:space="preserve"> and investment, normally paid for upfront by the bookseller or stationer, who often acted as publisher. The bookseller was speculating on the future sales of the books and had to have reasonable confidence that they would make their money back. In order to increase the likelihood of turning a profit, booksellers made use of advertising. In this section, I argue that this advertising aimed to recapture the ‘event’ o</w:t>
      </w:r>
      <w:r w:rsidR="001F1F6B" w:rsidRPr="003037D2">
        <w:rPr>
          <w:rFonts w:ascii="Garamond" w:hAnsi="Garamond" w:cs="Times New Roman"/>
        </w:rPr>
        <w:t>f</w:t>
      </w:r>
      <w:r w:rsidRPr="003037D2">
        <w:rPr>
          <w:rFonts w:ascii="Garamond" w:hAnsi="Garamond" w:cs="Times New Roman"/>
        </w:rPr>
        <w:t xml:space="preserve"> the sermon, the time and place in which it was originally delivered. In early modern London, books were primarily advertised by pasting their title pages on the walls of the city, hanging them from sticks, and laying them out on the bookseller’s stall. Extra copies of the title pages would be printed for this purpose. The fact that the reverse of the title page is so often blank in early modern books was to enable book sellers to paste them up in this manner. Indeed, the information about the bookseller we customarily see at the bottom of every early modern title page (their name, their sign and the location of their shop) was fairly useless for someone who had already bought a book.</w:t>
      </w:r>
      <w:r w:rsidRPr="003037D2">
        <w:rPr>
          <w:rStyle w:val="FootnoteReference"/>
          <w:rFonts w:ascii="Garamond" w:hAnsi="Garamond" w:cs="Times New Roman"/>
        </w:rPr>
        <w:footnoteReference w:id="645"/>
      </w:r>
      <w:r w:rsidRPr="003037D2">
        <w:rPr>
          <w:rFonts w:ascii="Garamond" w:hAnsi="Garamond" w:cs="Times New Roman"/>
        </w:rPr>
        <w:t xml:space="preserve"> It only held importance for future customers, those who might see the pasted-up title page as they travelled around the city. However, these adverts were as despised as they were widespread.</w:t>
      </w:r>
      <w:r w:rsidRPr="003037D2">
        <w:rPr>
          <w:rStyle w:val="FootnoteReference"/>
          <w:rFonts w:ascii="Garamond" w:hAnsi="Garamond" w:cs="Times New Roman"/>
        </w:rPr>
        <w:footnoteReference w:id="646"/>
      </w:r>
      <w:r w:rsidRPr="003037D2">
        <w:rPr>
          <w:rFonts w:ascii="Garamond" w:hAnsi="Garamond" w:cs="Times New Roman"/>
        </w:rPr>
        <w:t xml:space="preserve">  Tiffany Stern evocatively describes how playbills and the title pages of drama were a ‘major way in which the playhouse intruded into the city’, a city that would be filled and festooned with texts, from playbills, to libels, to title pages.</w:t>
      </w:r>
      <w:r w:rsidRPr="003037D2">
        <w:rPr>
          <w:rStyle w:val="FootnoteReference"/>
          <w:rFonts w:ascii="Garamond" w:hAnsi="Garamond" w:cs="Times New Roman"/>
        </w:rPr>
        <w:footnoteReference w:id="647"/>
      </w:r>
      <w:r w:rsidRPr="003037D2">
        <w:rPr>
          <w:rFonts w:ascii="Garamond" w:hAnsi="Garamond" w:cs="Times New Roman"/>
        </w:rPr>
        <w:t xml:space="preserve"> In the same way, the pulpit can be seen to expand into the city.</w:t>
      </w:r>
      <w:r w:rsidRPr="003037D2">
        <w:rPr>
          <w:rStyle w:val="FootnoteReference"/>
          <w:rFonts w:ascii="Garamond" w:hAnsi="Garamond" w:cs="Times New Roman"/>
        </w:rPr>
        <w:footnoteReference w:id="648"/>
      </w:r>
      <w:r w:rsidRPr="003037D2">
        <w:rPr>
          <w:rFonts w:ascii="Garamond" w:hAnsi="Garamond" w:cs="Times New Roman"/>
        </w:rPr>
        <w:t xml:space="preserve"> Paul’s Cross, the premier pulpit in the country in terms of exposure, was situated at the heart of the English book trade. As </w:t>
      </w:r>
      <w:r w:rsidRPr="003037D2">
        <w:rPr>
          <w:rFonts w:ascii="Garamond" w:hAnsi="Garamond"/>
        </w:rPr>
        <w:t>Blayney points</w:t>
      </w:r>
      <w:r w:rsidRPr="003037D2">
        <w:rPr>
          <w:rFonts w:ascii="Garamond" w:hAnsi="Garamond" w:cs="Times New Roman"/>
        </w:rPr>
        <w:t xml:space="preserve"> out, ‘other than St</w:t>
      </w:r>
      <w:r w:rsidR="00667CD5">
        <w:rPr>
          <w:rFonts w:ascii="Garamond" w:hAnsi="Garamond" w:cs="Times New Roman"/>
        </w:rPr>
        <w:t>.</w:t>
      </w:r>
      <w:r w:rsidRPr="003037D2">
        <w:rPr>
          <w:rFonts w:ascii="Garamond" w:hAnsi="Garamond" w:cs="Times New Roman"/>
        </w:rPr>
        <w:t xml:space="preserve"> Paul’s School, the Sermon House, and the cathedral itself, by the time of the Civil War virtually every frontage in the Cross Yard either was, or had been, a </w:t>
      </w:r>
      <w:r w:rsidRPr="003037D2">
        <w:rPr>
          <w:rFonts w:ascii="Garamond" w:hAnsi="Garamond" w:cs="Times New Roman"/>
        </w:rPr>
        <w:lastRenderedPageBreak/>
        <w:t>bookshop’.</w:t>
      </w:r>
      <w:r w:rsidRPr="003037D2">
        <w:rPr>
          <w:rStyle w:val="FootnoteReference"/>
          <w:rFonts w:ascii="Garamond" w:hAnsi="Garamond" w:cs="Times New Roman"/>
        </w:rPr>
        <w:footnoteReference w:id="649"/>
      </w:r>
      <w:r w:rsidRPr="003037D2">
        <w:rPr>
          <w:rFonts w:ascii="Garamond" w:hAnsi="Garamond" w:cs="Times New Roman"/>
        </w:rPr>
        <w:t xml:space="preserve"> Whilst people stood and heard sermons they would have looked at the shops of dozens of books sellers, which would likely have been festooned with advertisements. </w:t>
      </w:r>
    </w:p>
    <w:p w14:paraId="774BA283" w14:textId="77777777" w:rsidR="00162224" w:rsidRPr="003037D2" w:rsidRDefault="00162224" w:rsidP="00162224">
      <w:pPr>
        <w:spacing w:line="360" w:lineRule="auto"/>
        <w:ind w:firstLine="720"/>
        <w:rPr>
          <w:rFonts w:ascii="Garamond" w:hAnsi="Garamond" w:cs="Times New Roman"/>
        </w:rPr>
      </w:pPr>
    </w:p>
    <w:p w14:paraId="2BA6658A" w14:textId="4D6E838E" w:rsidR="00162224" w:rsidRPr="003037D2" w:rsidRDefault="00162224" w:rsidP="00162224">
      <w:pPr>
        <w:spacing w:line="360" w:lineRule="auto"/>
        <w:ind w:firstLine="720"/>
        <w:rPr>
          <w:rFonts w:ascii="Garamond" w:hAnsi="Garamond" w:cs="Times New Roman"/>
        </w:rPr>
      </w:pPr>
      <w:r w:rsidRPr="003037D2">
        <w:rPr>
          <w:rFonts w:ascii="Garamond" w:hAnsi="Garamond" w:cs="Times New Roman"/>
        </w:rPr>
        <w:t xml:space="preserve">The content of playbook title pages has become a fruitful area of study in recent decades, by scholars including Werth, Paul Voss, Alan Farmer and Zachary Lesser. Farmer and Lesser have gathered evidence from longitudinal studies of features on title pages to investigate ‘how publishers </w:t>
      </w:r>
      <w:proofErr w:type="spellStart"/>
      <w:r w:rsidRPr="003037D2">
        <w:rPr>
          <w:rFonts w:ascii="Garamond" w:hAnsi="Garamond" w:cs="Times New Roman"/>
        </w:rPr>
        <w:t>signalled</w:t>
      </w:r>
      <w:proofErr w:type="spellEnd"/>
      <w:r w:rsidRPr="003037D2">
        <w:rPr>
          <w:rFonts w:ascii="Garamond" w:hAnsi="Garamond" w:cs="Times New Roman"/>
        </w:rPr>
        <w:t xml:space="preserve"> the theatrical auspices of their plays’, disproving earlier claims by Peter </w:t>
      </w:r>
      <w:proofErr w:type="spellStart"/>
      <w:r w:rsidRPr="003037D2">
        <w:rPr>
          <w:rFonts w:ascii="Garamond" w:hAnsi="Garamond" w:cs="Times New Roman"/>
        </w:rPr>
        <w:t>Stallybrass</w:t>
      </w:r>
      <w:proofErr w:type="spellEnd"/>
      <w:r w:rsidRPr="003037D2">
        <w:rPr>
          <w:rFonts w:ascii="Garamond" w:hAnsi="Garamond" w:cs="Times New Roman"/>
        </w:rPr>
        <w:t xml:space="preserve"> that ‘authorship is opposed to theatricality’.</w:t>
      </w:r>
      <w:r w:rsidRPr="003037D2">
        <w:rPr>
          <w:rStyle w:val="FootnoteReference"/>
          <w:rFonts w:ascii="Garamond" w:hAnsi="Garamond" w:cs="Times New Roman"/>
        </w:rPr>
        <w:footnoteReference w:id="650"/>
      </w:r>
      <w:r w:rsidRPr="003037D2">
        <w:rPr>
          <w:rFonts w:ascii="Garamond" w:hAnsi="Garamond" w:cs="Times New Roman"/>
        </w:rPr>
        <w:t xml:space="preserve"> In an analysis of 1,115 title pages, they found 708 attributions of author without company, 441 of company without author, 385 attributions of theatres, 311 attributions of authorial status, 236 uses of Latin, 113 announcements of additions or corrections, and 88 featuring woodcuts.</w:t>
      </w:r>
      <w:r w:rsidRPr="003037D2">
        <w:rPr>
          <w:rStyle w:val="FootnoteReference"/>
          <w:rFonts w:ascii="Garamond" w:hAnsi="Garamond" w:cs="Times New Roman"/>
        </w:rPr>
        <w:footnoteReference w:id="651"/>
      </w:r>
      <w:r w:rsidRPr="003037D2">
        <w:rPr>
          <w:rFonts w:ascii="Garamond" w:hAnsi="Garamond" w:cs="Times New Roman"/>
        </w:rPr>
        <w:t xml:space="preserve"> In my examination of sermon title pages in the period 1620-1642, I counted instances of printers/publishers specifying the time the sermon was originally delivered, the place where the sermon was delivered (and in both cases which place or date style was used) and if the living or status of the preacher was recorded. I also recorded if these books contained single or multiple sermons.</w:t>
      </w:r>
      <w:r w:rsidRPr="003037D2">
        <w:rPr>
          <w:rStyle w:val="FootnoteReference"/>
          <w:rFonts w:ascii="Garamond" w:hAnsi="Garamond" w:cs="Times New Roman"/>
        </w:rPr>
        <w:footnoteReference w:id="652"/>
      </w:r>
      <w:r w:rsidRPr="003037D2">
        <w:rPr>
          <w:rFonts w:ascii="Garamond" w:hAnsi="Garamond" w:cs="Times New Roman"/>
        </w:rPr>
        <w:t xml:space="preserve"> By collecting this information I hoped to uncover if there were any changes in how sermons were advertised over time. This data reveals how booksellers and printers positioned sermons in time and space: if those delivered on </w:t>
      </w:r>
      <w:proofErr w:type="gramStart"/>
      <w:r w:rsidRPr="003037D2">
        <w:rPr>
          <w:rFonts w:ascii="Garamond" w:hAnsi="Garamond" w:cs="Times New Roman"/>
        </w:rPr>
        <w:t>particular religious</w:t>
      </w:r>
      <w:proofErr w:type="gramEnd"/>
      <w:r w:rsidRPr="003037D2">
        <w:rPr>
          <w:rFonts w:ascii="Garamond" w:hAnsi="Garamond" w:cs="Times New Roman"/>
        </w:rPr>
        <w:t xml:space="preserve"> feast days were represented in greater numbers, and if high profile pulpits were considered more important. This in turn will throw light on how time and space were valued in seventeenth-century religious culture in England, by looking at evidence from 704 printed sermon books</w:t>
      </w:r>
      <w:r w:rsidR="007C61A3" w:rsidRPr="003037D2">
        <w:rPr>
          <w:rFonts w:ascii="Garamond" w:hAnsi="Garamond" w:cs="Times New Roman"/>
        </w:rPr>
        <w:t xml:space="preserve"> (</w:t>
      </w:r>
      <w:r w:rsidR="00ED0F4C">
        <w:rPr>
          <w:rFonts w:ascii="Garamond" w:hAnsi="Garamond" w:cs="Times New Roman"/>
        </w:rPr>
        <w:t>s</w:t>
      </w:r>
      <w:r w:rsidR="007C61A3" w:rsidRPr="003037D2">
        <w:rPr>
          <w:rFonts w:ascii="Garamond" w:hAnsi="Garamond" w:cs="Times New Roman"/>
        </w:rPr>
        <w:t xml:space="preserve">ee the full data from this study in </w:t>
      </w:r>
      <w:r w:rsidRPr="003037D2">
        <w:rPr>
          <w:rFonts w:ascii="Garamond" w:hAnsi="Garamond" w:cs="Times New Roman"/>
        </w:rPr>
        <w:t>Appendix II</w:t>
      </w:r>
      <w:r w:rsidR="007C61A3" w:rsidRPr="003037D2">
        <w:rPr>
          <w:rFonts w:ascii="Garamond" w:hAnsi="Garamond" w:cs="Times New Roman"/>
        </w:rPr>
        <w:t>)</w:t>
      </w:r>
      <w:r w:rsidRPr="003037D2">
        <w:rPr>
          <w:rFonts w:ascii="Garamond" w:hAnsi="Garamond" w:cs="Times New Roman"/>
        </w:rPr>
        <w:t xml:space="preserve">. </w:t>
      </w:r>
    </w:p>
    <w:p w14:paraId="299232FB" w14:textId="77777777" w:rsidR="00162224" w:rsidRPr="003037D2" w:rsidRDefault="00162224" w:rsidP="00162224">
      <w:pPr>
        <w:spacing w:line="360" w:lineRule="auto"/>
        <w:ind w:firstLine="720"/>
        <w:rPr>
          <w:rFonts w:ascii="Garamond" w:hAnsi="Garamond" w:cs="Times New Roman"/>
        </w:rPr>
      </w:pPr>
    </w:p>
    <w:p w14:paraId="68BA8479" w14:textId="6B31B6DB" w:rsidR="00162224" w:rsidRPr="003037D2" w:rsidRDefault="00162224" w:rsidP="00162224">
      <w:pPr>
        <w:spacing w:line="360" w:lineRule="auto"/>
        <w:rPr>
          <w:rFonts w:ascii="Garamond" w:hAnsi="Garamond" w:cs="Times New Roman"/>
        </w:rPr>
      </w:pPr>
      <w:r w:rsidRPr="003037D2">
        <w:rPr>
          <w:rFonts w:ascii="Garamond" w:hAnsi="Garamond" w:cs="Times New Roman"/>
        </w:rPr>
        <w:tab/>
      </w:r>
      <w:r w:rsidRPr="003037D2">
        <w:rPr>
          <w:rFonts w:ascii="Garamond" w:hAnsi="Garamond" w:cs="Times New Roman"/>
        </w:rPr>
        <w:fldChar w:fldCharType="begin"/>
      </w:r>
      <w:r w:rsidRPr="003037D2">
        <w:rPr>
          <w:rFonts w:ascii="Garamond" w:hAnsi="Garamond" w:cs="Times New Roman"/>
        </w:rPr>
        <w:instrText xml:space="preserve"> REF _Ref532410997 \h  \* MERGEFORMAT </w:instrText>
      </w:r>
      <w:r w:rsidRPr="003037D2">
        <w:rPr>
          <w:rFonts w:ascii="Garamond" w:hAnsi="Garamond" w:cs="Times New Roman"/>
        </w:rPr>
      </w:r>
      <w:r w:rsidRPr="003037D2">
        <w:rPr>
          <w:rFonts w:ascii="Garamond" w:hAnsi="Garamond" w:cs="Times New Roman"/>
        </w:rPr>
        <w:fldChar w:fldCharType="separate"/>
      </w:r>
      <w:r w:rsidR="001117A3" w:rsidRPr="003037D2">
        <w:rPr>
          <w:rFonts w:ascii="Garamond" w:hAnsi="Garamond"/>
        </w:rPr>
        <w:t xml:space="preserve">Figure </w:t>
      </w:r>
      <w:r w:rsidR="001117A3" w:rsidRPr="003037D2">
        <w:rPr>
          <w:rFonts w:ascii="Garamond" w:hAnsi="Garamond"/>
          <w:noProof/>
        </w:rPr>
        <w:t>54</w:t>
      </w:r>
      <w:r w:rsidRPr="003037D2">
        <w:rPr>
          <w:rFonts w:ascii="Garamond" w:hAnsi="Garamond" w:cs="Times New Roman"/>
        </w:rPr>
        <w:fldChar w:fldCharType="end"/>
      </w:r>
      <w:r w:rsidRPr="003037D2">
        <w:rPr>
          <w:rFonts w:ascii="Garamond" w:hAnsi="Garamond" w:cs="Times New Roman"/>
        </w:rPr>
        <w:t xml:space="preserve"> shows the numbers of sermon books published annually during the period. It is notable that there is a slight downward trend in numbers during the 1620s, which then </w:t>
      </w:r>
      <w:proofErr w:type="spellStart"/>
      <w:r w:rsidRPr="003037D2">
        <w:rPr>
          <w:rFonts w:ascii="Garamond" w:hAnsi="Garamond" w:cs="Times New Roman"/>
        </w:rPr>
        <w:t>stabilised</w:t>
      </w:r>
      <w:proofErr w:type="spellEnd"/>
      <w:r w:rsidRPr="003037D2">
        <w:rPr>
          <w:rFonts w:ascii="Garamond" w:hAnsi="Garamond" w:cs="Times New Roman"/>
        </w:rPr>
        <w:t xml:space="preserve"> during the 1630s. This could potentially be the result of preachers being more circumspect about what they published under Laud’s rule. 1641 and 1642 see the beginning of a sharp upturn in numbers, almost doubling from 27 in 1640, to 54 in 1641. There is another period of growth in 1642, when 79 books of sermons are recorded. This was likely due to the beginning of the Long Parliament and the accompanying political and social unrest in Britain, which was marked by the publishing of competing polemical accounts, from the pulpit and elsewhere.</w:t>
      </w:r>
      <w:r w:rsidRPr="003037D2">
        <w:rPr>
          <w:rStyle w:val="FootnoteReference"/>
          <w:rFonts w:ascii="Garamond" w:hAnsi="Garamond" w:cs="Times New Roman"/>
        </w:rPr>
        <w:footnoteReference w:id="653"/>
      </w:r>
      <w:r w:rsidRPr="003037D2">
        <w:rPr>
          <w:rFonts w:ascii="Garamond" w:hAnsi="Garamond" w:cs="Times New Roman"/>
        </w:rPr>
        <w:t xml:space="preserve"> In David Como’s words, with the collapse of the Stationers’ Company in the early months of the Long Parliament space opened up ‘for a freewheeling and, to a certain extent, unregulated market of print’.</w:t>
      </w:r>
      <w:r w:rsidRPr="003037D2">
        <w:rPr>
          <w:rStyle w:val="FootnoteReference"/>
          <w:rFonts w:ascii="Garamond" w:hAnsi="Garamond" w:cs="Times New Roman"/>
        </w:rPr>
        <w:footnoteReference w:id="654"/>
      </w:r>
      <w:r w:rsidRPr="003037D2">
        <w:rPr>
          <w:rFonts w:ascii="Garamond" w:hAnsi="Garamond" w:cs="Times New Roman"/>
        </w:rPr>
        <w:t xml:space="preserve"> Christopher Hill wrote that the abandonment of press control led to the expression of new, radical ideologies.</w:t>
      </w:r>
      <w:r w:rsidRPr="003037D2">
        <w:rPr>
          <w:rStyle w:val="FootnoteReference"/>
          <w:rFonts w:ascii="Garamond" w:hAnsi="Garamond" w:cs="Times New Roman"/>
        </w:rPr>
        <w:footnoteReference w:id="655"/>
      </w:r>
      <w:r w:rsidRPr="003037D2">
        <w:rPr>
          <w:rFonts w:ascii="Garamond" w:hAnsi="Garamond" w:cs="Times New Roman"/>
        </w:rPr>
        <w:t xml:space="preserve"> However, Como has nuanced this view, providing evidence that various forms of press censorship continued, and that a free press was ideologically linked to a desire for a freely elected parliament.</w:t>
      </w:r>
      <w:r w:rsidRPr="003037D2">
        <w:rPr>
          <w:rStyle w:val="FootnoteReference"/>
          <w:rFonts w:ascii="Garamond" w:hAnsi="Garamond" w:cs="Times New Roman"/>
        </w:rPr>
        <w:footnoteReference w:id="656"/>
      </w:r>
      <w:r w:rsidRPr="003037D2">
        <w:rPr>
          <w:rFonts w:ascii="Garamond" w:hAnsi="Garamond" w:cs="Times New Roman"/>
        </w:rPr>
        <w:t xml:space="preserve"> This boom in printing has been observed by many, and indeed the dates of this survey were to a certain extent calculated to evidence it beginning, without allowing the data collected to become skewed by the confrontational trends in publishing that developed over this period.</w:t>
      </w:r>
    </w:p>
    <w:p w14:paraId="56790620" w14:textId="22F4FF86" w:rsidR="00162224" w:rsidRPr="003037D2" w:rsidRDefault="00162224" w:rsidP="00162224">
      <w:pPr>
        <w:spacing w:line="360" w:lineRule="auto"/>
        <w:ind w:firstLine="720"/>
        <w:rPr>
          <w:rFonts w:ascii="Garamond" w:hAnsi="Garamond" w:cs="Times New Roman"/>
        </w:rPr>
      </w:pPr>
      <w:r w:rsidRPr="003037D2">
        <w:rPr>
          <w:rFonts w:ascii="Garamond" w:hAnsi="Garamond" w:cs="Times New Roman"/>
        </w:rPr>
        <w:fldChar w:fldCharType="begin"/>
      </w:r>
      <w:r w:rsidRPr="003037D2">
        <w:rPr>
          <w:rFonts w:ascii="Garamond" w:hAnsi="Garamond" w:cs="Times New Roman"/>
        </w:rPr>
        <w:instrText xml:space="preserve"> REF _Ref513911276 \h  \* MERGEFORMAT </w:instrText>
      </w:r>
      <w:r w:rsidRPr="003037D2">
        <w:rPr>
          <w:rFonts w:ascii="Garamond" w:hAnsi="Garamond" w:cs="Times New Roman"/>
        </w:rPr>
      </w:r>
      <w:r w:rsidRPr="003037D2">
        <w:rPr>
          <w:rFonts w:ascii="Garamond" w:hAnsi="Garamond" w:cs="Times New Roman"/>
        </w:rPr>
        <w:fldChar w:fldCharType="separate"/>
      </w:r>
      <w:r w:rsidR="001117A3" w:rsidRPr="003037D2">
        <w:rPr>
          <w:rFonts w:ascii="Garamond" w:hAnsi="Garamond"/>
        </w:rPr>
        <w:t xml:space="preserve">Figure </w:t>
      </w:r>
      <w:r w:rsidR="001117A3" w:rsidRPr="003037D2">
        <w:rPr>
          <w:rFonts w:ascii="Garamond" w:hAnsi="Garamond"/>
          <w:noProof/>
        </w:rPr>
        <w:t>55</w:t>
      </w:r>
      <w:r w:rsidRPr="003037D2">
        <w:rPr>
          <w:rFonts w:ascii="Garamond" w:hAnsi="Garamond" w:cs="Times New Roman"/>
        </w:rPr>
        <w:fldChar w:fldCharType="end"/>
      </w:r>
      <w:r w:rsidRPr="003037D2">
        <w:rPr>
          <w:rFonts w:ascii="Garamond" w:hAnsi="Garamond" w:cs="Times New Roman"/>
        </w:rPr>
        <w:t xml:space="preserve"> shows percentages for various title page features over the same time period, whether the time or place the sermon was originally given is specified, and if the preacher’s living is specified, as well as whether the book was a collection of sermons. </w:t>
      </w:r>
      <w:r w:rsidRPr="003037D2">
        <w:rPr>
          <w:rFonts w:ascii="Garamond" w:hAnsi="Garamond" w:cs="Times New Roman"/>
        </w:rPr>
        <w:fldChar w:fldCharType="begin"/>
      </w:r>
      <w:r w:rsidRPr="003037D2">
        <w:rPr>
          <w:rFonts w:ascii="Garamond" w:hAnsi="Garamond" w:cs="Times New Roman"/>
        </w:rPr>
        <w:instrText xml:space="preserve"> REF _Ref513911278 \h  \* MERGEFORMAT </w:instrText>
      </w:r>
      <w:r w:rsidRPr="003037D2">
        <w:rPr>
          <w:rFonts w:ascii="Garamond" w:hAnsi="Garamond" w:cs="Times New Roman"/>
        </w:rPr>
      </w:r>
      <w:r w:rsidRPr="003037D2">
        <w:rPr>
          <w:rFonts w:ascii="Garamond" w:hAnsi="Garamond" w:cs="Times New Roman"/>
        </w:rPr>
        <w:fldChar w:fldCharType="separate"/>
      </w:r>
      <w:r w:rsidR="001117A3" w:rsidRPr="003037D2">
        <w:rPr>
          <w:rFonts w:ascii="Garamond" w:hAnsi="Garamond"/>
        </w:rPr>
        <w:t xml:space="preserve">Figure </w:t>
      </w:r>
      <w:r w:rsidR="001117A3" w:rsidRPr="003037D2">
        <w:rPr>
          <w:rFonts w:ascii="Garamond" w:hAnsi="Garamond"/>
          <w:noProof/>
        </w:rPr>
        <w:t>56</w:t>
      </w:r>
      <w:r w:rsidRPr="003037D2">
        <w:rPr>
          <w:rFonts w:ascii="Garamond" w:hAnsi="Garamond" w:cs="Times New Roman"/>
        </w:rPr>
        <w:fldChar w:fldCharType="end"/>
      </w:r>
      <w:r w:rsidRPr="003037D2">
        <w:rPr>
          <w:rFonts w:ascii="Garamond" w:hAnsi="Garamond" w:cs="Times New Roman"/>
        </w:rPr>
        <w:t xml:space="preserve"> gives the numbers for these, in both absolute terms and percentages. These figures demonstrate that it was </w:t>
      </w:r>
      <w:proofErr w:type="gramStart"/>
      <w:r w:rsidRPr="003037D2">
        <w:rPr>
          <w:rFonts w:ascii="Garamond" w:hAnsi="Garamond" w:cs="Times New Roman"/>
        </w:rPr>
        <w:t>fairly common</w:t>
      </w:r>
      <w:proofErr w:type="gramEnd"/>
      <w:r w:rsidRPr="003037D2">
        <w:rPr>
          <w:rFonts w:ascii="Garamond" w:hAnsi="Garamond" w:cs="Times New Roman"/>
        </w:rPr>
        <w:t xml:space="preserve"> for the title pages of sermons to proclaim the date and place in which they were first preached. On average, 74% of sermons declared their place of preaching on their title page, and 67% the occasion of preaching. These figures vary over time, but what they demonstrate is that buyers of </w:t>
      </w:r>
      <w:r w:rsidRPr="003037D2">
        <w:rPr>
          <w:rFonts w:ascii="Garamond" w:hAnsi="Garamond" w:cs="Times New Roman"/>
        </w:rPr>
        <w:lastRenderedPageBreak/>
        <w:t>sermons were interested in them as records of events specifically located in both time and space, or at least that booksellers and printers had reason to believe that this was a valid marketing strategy.  Printers were ultimately pragmatists who reacted to the demands of the market, and so it seems fair to state that book buyers must have been invested in printed sermons as records of events.</w:t>
      </w:r>
      <w:r w:rsidRPr="003037D2">
        <w:rPr>
          <w:rStyle w:val="FootnoteReference"/>
          <w:rFonts w:ascii="Garamond" w:hAnsi="Garamond" w:cs="Times New Roman"/>
        </w:rPr>
        <w:footnoteReference w:id="657"/>
      </w:r>
      <w:r w:rsidRPr="003037D2">
        <w:rPr>
          <w:rFonts w:ascii="Garamond" w:hAnsi="Garamond" w:cs="Times New Roman"/>
        </w:rPr>
        <w:t xml:space="preserve"> 85% of the sermons were sold singly, which would heighten buyers’ awareness of them as documents relating to specific events. Morrissey makes a similar argument that the printed sermon </w:t>
      </w:r>
      <w:proofErr w:type="gramStart"/>
      <w:r w:rsidRPr="003037D2">
        <w:rPr>
          <w:rFonts w:ascii="Garamond" w:hAnsi="Garamond" w:cs="Times New Roman"/>
        </w:rPr>
        <w:t>was seen as</w:t>
      </w:r>
      <w:proofErr w:type="gramEnd"/>
      <w:r w:rsidRPr="003037D2">
        <w:rPr>
          <w:rFonts w:ascii="Garamond" w:hAnsi="Garamond" w:cs="Times New Roman"/>
        </w:rPr>
        <w:t xml:space="preserve"> a record of the performance. She argues that whilst preachers thought that ‘the sermon-book could never replace the hearing of sermons’ they held other benefits.</w:t>
      </w:r>
      <w:r w:rsidRPr="003037D2">
        <w:rPr>
          <w:rStyle w:val="FootnoteReference"/>
          <w:rFonts w:ascii="Garamond" w:hAnsi="Garamond" w:cs="Times New Roman"/>
        </w:rPr>
        <w:footnoteReference w:id="658"/>
      </w:r>
      <w:r w:rsidRPr="003037D2">
        <w:rPr>
          <w:rFonts w:ascii="Garamond" w:hAnsi="Garamond" w:cs="Times New Roman"/>
        </w:rPr>
        <w:t xml:space="preserve"> The printed sermon has ‘greater permanence and wider circulation’, as it was seen as a ‘record of the oration it could also stave off censure, acting as a </w:t>
      </w:r>
      <w:proofErr w:type="spellStart"/>
      <w:r w:rsidRPr="003037D2">
        <w:rPr>
          <w:rFonts w:ascii="Garamond" w:hAnsi="Garamond" w:cs="Times New Roman"/>
        </w:rPr>
        <w:t>defence</w:t>
      </w:r>
      <w:proofErr w:type="spellEnd"/>
      <w:r w:rsidRPr="003037D2">
        <w:rPr>
          <w:rFonts w:ascii="Garamond" w:hAnsi="Garamond" w:cs="Times New Roman"/>
        </w:rPr>
        <w:t xml:space="preserve"> if anyone complained about the contents of the sermon itself’.</w:t>
      </w:r>
      <w:r w:rsidRPr="003037D2">
        <w:rPr>
          <w:rStyle w:val="FootnoteReference"/>
          <w:rFonts w:ascii="Garamond" w:hAnsi="Garamond" w:cs="Times New Roman"/>
        </w:rPr>
        <w:footnoteReference w:id="659"/>
      </w:r>
      <w:r w:rsidRPr="003037D2">
        <w:rPr>
          <w:rFonts w:ascii="Garamond" w:hAnsi="Garamond" w:cs="Times New Roman"/>
        </w:rPr>
        <w:t xml:space="preserve"> The sermon books work to encapsulate the transient event of the sermon, fixing it to a particular moment in time and giving the book’s owner the opportunity to revisit it at will. </w:t>
      </w:r>
    </w:p>
    <w:p w14:paraId="7BECD03D" w14:textId="77777777" w:rsidR="00162224" w:rsidRPr="003037D2" w:rsidRDefault="00162224" w:rsidP="00162224">
      <w:pPr>
        <w:spacing w:line="360" w:lineRule="auto"/>
        <w:ind w:firstLine="720"/>
        <w:rPr>
          <w:rFonts w:ascii="Garamond" w:hAnsi="Garamond" w:cs="Times New Roman"/>
        </w:rPr>
      </w:pPr>
    </w:p>
    <w:p w14:paraId="46FDB377" w14:textId="77777777" w:rsidR="00162224" w:rsidRPr="003037D2" w:rsidRDefault="00162224" w:rsidP="00162224">
      <w:pPr>
        <w:spacing w:line="360" w:lineRule="auto"/>
        <w:ind w:firstLine="720"/>
        <w:rPr>
          <w:rFonts w:ascii="Garamond" w:hAnsi="Garamond" w:cs="Times New Roman"/>
        </w:rPr>
      </w:pPr>
    </w:p>
    <w:p w14:paraId="0DDAA716" w14:textId="77777777" w:rsidR="00162224" w:rsidRPr="003037D2" w:rsidRDefault="00162224" w:rsidP="00162224">
      <w:pPr>
        <w:pStyle w:val="Heading3"/>
        <w:numPr>
          <w:ilvl w:val="0"/>
          <w:numId w:val="21"/>
        </w:numPr>
        <w:spacing w:line="360" w:lineRule="auto"/>
        <w:rPr>
          <w:rFonts w:ascii="Garamond" w:hAnsi="Garamond"/>
          <w:color w:val="auto"/>
        </w:rPr>
      </w:pPr>
      <w:bookmarkStart w:id="74" w:name="_Toc3967190"/>
      <w:r w:rsidRPr="003037D2">
        <w:rPr>
          <w:rFonts w:ascii="Garamond" w:hAnsi="Garamond"/>
          <w:color w:val="auto"/>
        </w:rPr>
        <w:t>Timing referents</w:t>
      </w:r>
      <w:bookmarkEnd w:id="74"/>
      <w:r w:rsidRPr="003037D2">
        <w:rPr>
          <w:rFonts w:ascii="Garamond" w:hAnsi="Garamond"/>
          <w:color w:val="auto"/>
        </w:rPr>
        <w:t xml:space="preserve"> </w:t>
      </w:r>
    </w:p>
    <w:p w14:paraId="1848BC14" w14:textId="77777777" w:rsidR="00162224" w:rsidRPr="003037D2" w:rsidRDefault="00162224" w:rsidP="00162224">
      <w:pPr>
        <w:spacing w:line="360" w:lineRule="auto"/>
        <w:rPr>
          <w:rFonts w:ascii="Garamond" w:hAnsi="Garamond"/>
        </w:rPr>
      </w:pPr>
    </w:p>
    <w:p w14:paraId="396410E0" w14:textId="2AB3578C" w:rsidR="00162224" w:rsidRPr="003037D2" w:rsidRDefault="00162224" w:rsidP="00162224">
      <w:pPr>
        <w:spacing w:line="360" w:lineRule="auto"/>
        <w:ind w:firstLine="720"/>
        <w:rPr>
          <w:rFonts w:ascii="Garamond" w:hAnsi="Garamond"/>
        </w:rPr>
      </w:pPr>
      <w:r w:rsidRPr="003037D2">
        <w:rPr>
          <w:rFonts w:ascii="Garamond" w:hAnsi="Garamond"/>
        </w:rPr>
        <w:t>Drilling down into the data regarding how the occasion of the sermon was specified brings some potentially surprising revelations. Gerard Moran’s work on dating referents in early modern France and Keith Wrightson’s recent investigation of the dating of events in the North Country in 1615-1630s, previously discussed in Chapter 1</w:t>
      </w:r>
      <w:r w:rsidR="001F1F6B" w:rsidRPr="003037D2">
        <w:rPr>
          <w:rFonts w:ascii="Garamond" w:hAnsi="Garamond"/>
        </w:rPr>
        <w:t>,</w:t>
      </w:r>
      <w:r w:rsidRPr="003037D2">
        <w:rPr>
          <w:rFonts w:ascii="Garamond" w:hAnsi="Garamond"/>
        </w:rPr>
        <w:t xml:space="preserve"> both draw on a common assumption, namely that ‘the nature of the time </w:t>
      </w:r>
      <w:r w:rsidRPr="003037D2">
        <w:rPr>
          <w:rFonts w:ascii="Garamond" w:hAnsi="Garamond"/>
          <w:i/>
        </w:rPr>
        <w:t xml:space="preserve">referents… </w:t>
      </w:r>
      <w:r w:rsidRPr="003037D2">
        <w:rPr>
          <w:rFonts w:ascii="Garamond" w:hAnsi="Garamond"/>
        </w:rPr>
        <w:t xml:space="preserve">employed… [reveals] how they </w:t>
      </w:r>
      <w:r w:rsidRPr="003037D2">
        <w:rPr>
          <w:rFonts w:ascii="Garamond" w:hAnsi="Garamond"/>
          <w:i/>
        </w:rPr>
        <w:t xml:space="preserve">located </w:t>
      </w:r>
      <w:r w:rsidRPr="003037D2">
        <w:rPr>
          <w:rFonts w:ascii="Garamond" w:hAnsi="Garamond"/>
        </w:rPr>
        <w:t>events in time’.</w:t>
      </w:r>
      <w:r w:rsidRPr="003037D2">
        <w:rPr>
          <w:rStyle w:val="FootnoteReference"/>
          <w:rFonts w:ascii="Garamond" w:hAnsi="Garamond"/>
        </w:rPr>
        <w:footnoteReference w:id="660"/>
      </w:r>
      <w:r w:rsidRPr="003037D2">
        <w:rPr>
          <w:rFonts w:ascii="Garamond" w:hAnsi="Garamond"/>
        </w:rPr>
        <w:t xml:space="preserve"> Following this train of thought, it is illuminating to examine the precise type of dating referent used on the title pages of sermon books. Not only will this shed light on which occasions would be considered by readers as a reason to purchase a sermon, but it will also demonstrate how sermons were positioned in time. Whilst surveying the title pages I recorded what type of reference was used, mainly dividing them into references to exact dates, the church </w:t>
      </w:r>
      <w:r w:rsidRPr="003037D2">
        <w:rPr>
          <w:rFonts w:ascii="Garamond" w:hAnsi="Garamond"/>
        </w:rPr>
        <w:lastRenderedPageBreak/>
        <w:t>calendar, or specific secular or civic events. As many title pages used more than one system of referring to an occasion there are more references tha</w:t>
      </w:r>
      <w:r w:rsidR="001F1F6B" w:rsidRPr="003037D2">
        <w:rPr>
          <w:rFonts w:ascii="Garamond" w:hAnsi="Garamond"/>
        </w:rPr>
        <w:t>n</w:t>
      </w:r>
      <w:r w:rsidRPr="003037D2">
        <w:rPr>
          <w:rFonts w:ascii="Garamond" w:hAnsi="Garamond"/>
        </w:rPr>
        <w:t xml:space="preserve"> there were title pages which included the occasion (482 out of 704 sermon books).</w:t>
      </w:r>
    </w:p>
    <w:p w14:paraId="4EE83166" w14:textId="77777777" w:rsidR="00162224" w:rsidRPr="003037D2" w:rsidRDefault="00162224" w:rsidP="00162224">
      <w:pPr>
        <w:spacing w:line="360" w:lineRule="auto"/>
        <w:ind w:firstLine="720"/>
        <w:rPr>
          <w:rFonts w:ascii="Garamond" w:hAnsi="Garamond"/>
        </w:rPr>
      </w:pPr>
    </w:p>
    <w:p w14:paraId="3CBBEF98" w14:textId="23B9AADD" w:rsidR="00162224" w:rsidRPr="003037D2" w:rsidRDefault="00162224" w:rsidP="00162224">
      <w:pPr>
        <w:spacing w:line="360" w:lineRule="auto"/>
        <w:ind w:firstLine="720"/>
        <w:rPr>
          <w:rFonts w:ascii="Garamond" w:hAnsi="Garamond"/>
        </w:rPr>
      </w:pPr>
      <w:r w:rsidRPr="003037D2">
        <w:rPr>
          <w:rFonts w:ascii="Garamond" w:hAnsi="Garamond"/>
        </w:rPr>
        <w:t xml:space="preserve">Nearly 60% of all the time referents on title pages referred to specific calendar dates, with 381 out of a total of 642 references giving a date, whilst only 9% </w:t>
      </w:r>
      <w:proofErr w:type="gramStart"/>
      <w:r w:rsidRPr="003037D2">
        <w:rPr>
          <w:rFonts w:ascii="Garamond" w:hAnsi="Garamond"/>
        </w:rPr>
        <w:t>made reference</w:t>
      </w:r>
      <w:proofErr w:type="gramEnd"/>
      <w:r w:rsidRPr="003037D2">
        <w:rPr>
          <w:rFonts w:ascii="Garamond" w:hAnsi="Garamond"/>
        </w:rPr>
        <w:t xml:space="preserve"> to the church calendar, at 54 references. (See </w:t>
      </w:r>
      <w:r w:rsidRPr="003037D2">
        <w:rPr>
          <w:rFonts w:ascii="Garamond" w:hAnsi="Garamond"/>
        </w:rPr>
        <w:fldChar w:fldCharType="begin"/>
      </w:r>
      <w:r w:rsidRPr="003037D2">
        <w:rPr>
          <w:rFonts w:ascii="Garamond" w:hAnsi="Garamond"/>
        </w:rPr>
        <w:instrText xml:space="preserve"> REF _Ref513223187 \h  \* MERGEFORMAT </w:instrText>
      </w:r>
      <w:r w:rsidRPr="003037D2">
        <w:rPr>
          <w:rFonts w:ascii="Garamond" w:hAnsi="Garamond"/>
        </w:rPr>
      </w:r>
      <w:r w:rsidRPr="003037D2">
        <w:rPr>
          <w:rFonts w:ascii="Garamond" w:hAnsi="Garamond"/>
        </w:rPr>
        <w:fldChar w:fldCharType="separate"/>
      </w:r>
      <w:r w:rsidR="001117A3" w:rsidRPr="003037D2">
        <w:rPr>
          <w:rFonts w:ascii="Garamond" w:hAnsi="Garamond"/>
        </w:rPr>
        <w:t xml:space="preserve">Figure </w:t>
      </w:r>
      <w:r w:rsidR="001117A3" w:rsidRPr="003037D2">
        <w:rPr>
          <w:rFonts w:ascii="Garamond" w:hAnsi="Garamond"/>
          <w:noProof/>
        </w:rPr>
        <w:t>58</w:t>
      </w:r>
      <w:r w:rsidRPr="003037D2">
        <w:rPr>
          <w:rFonts w:ascii="Garamond" w:hAnsi="Garamond"/>
        </w:rPr>
        <w:fldChar w:fldCharType="end"/>
      </w:r>
      <w:r w:rsidRPr="003037D2">
        <w:rPr>
          <w:rFonts w:ascii="Garamond" w:hAnsi="Garamond"/>
        </w:rPr>
        <w:t xml:space="preserve"> and </w:t>
      </w:r>
      <w:r w:rsidRPr="003037D2">
        <w:rPr>
          <w:rFonts w:ascii="Garamond" w:hAnsi="Garamond"/>
        </w:rPr>
        <w:fldChar w:fldCharType="begin"/>
      </w:r>
      <w:r w:rsidRPr="003037D2">
        <w:rPr>
          <w:rFonts w:ascii="Garamond" w:hAnsi="Garamond"/>
        </w:rPr>
        <w:instrText xml:space="preserve"> REF _Ref513280401 \h  \* MERGEFORMAT </w:instrText>
      </w:r>
      <w:r w:rsidRPr="003037D2">
        <w:rPr>
          <w:rFonts w:ascii="Garamond" w:hAnsi="Garamond"/>
        </w:rPr>
      </w:r>
      <w:r w:rsidRPr="003037D2">
        <w:rPr>
          <w:rFonts w:ascii="Garamond" w:hAnsi="Garamond"/>
        </w:rPr>
        <w:fldChar w:fldCharType="separate"/>
      </w:r>
      <w:r w:rsidR="001117A3" w:rsidRPr="003037D2">
        <w:rPr>
          <w:rFonts w:ascii="Garamond" w:hAnsi="Garamond"/>
        </w:rPr>
        <w:t xml:space="preserve">Figure </w:t>
      </w:r>
      <w:r w:rsidR="001117A3" w:rsidRPr="003037D2">
        <w:rPr>
          <w:rFonts w:ascii="Garamond" w:hAnsi="Garamond"/>
          <w:noProof/>
        </w:rPr>
        <w:t>61</w:t>
      </w:r>
      <w:r w:rsidRPr="003037D2">
        <w:rPr>
          <w:rFonts w:ascii="Garamond" w:hAnsi="Garamond"/>
        </w:rPr>
        <w:fldChar w:fldCharType="end"/>
      </w:r>
      <w:r w:rsidR="00ED0F4C">
        <w:rPr>
          <w:rFonts w:ascii="Garamond" w:hAnsi="Garamond"/>
        </w:rPr>
        <w:t>.</w:t>
      </w:r>
      <w:r w:rsidRPr="003037D2">
        <w:rPr>
          <w:rFonts w:ascii="Garamond" w:hAnsi="Garamond"/>
        </w:rPr>
        <w:t>) 29% indicated an ‘event’, a category which includes funerals, feasts, fasts, visitations and weddings. Just over 1% referred to the legal term dates and another 1% to ‘other’, such as the three printings of a ‘rediscovered’ sermon from 1388, given at Paul’s Cross.</w:t>
      </w:r>
      <w:r w:rsidRPr="003037D2">
        <w:rPr>
          <w:rStyle w:val="FootnoteReference"/>
          <w:rFonts w:ascii="Garamond" w:hAnsi="Garamond"/>
        </w:rPr>
        <w:footnoteReference w:id="661"/>
      </w:r>
      <w:r w:rsidRPr="003037D2">
        <w:rPr>
          <w:rFonts w:ascii="Garamond" w:hAnsi="Garamond"/>
        </w:rPr>
        <w:t xml:space="preserve"> The dominance of exact calendar dating on the title pages suggests that sermons were precisely located in the temporal memory of their purchasers. Rather than attaching them to certain religious occasions, readers of a sermon would be able to easily cross-reference it with civic events and their own personal histories. Of course, it is likely that on seeing a sermon from (for example) the 30</w:t>
      </w:r>
      <w:r w:rsidRPr="003037D2">
        <w:rPr>
          <w:rFonts w:ascii="Garamond" w:hAnsi="Garamond"/>
          <w:vertAlign w:val="superscript"/>
        </w:rPr>
        <w:t>th</w:t>
      </w:r>
      <w:r w:rsidRPr="003037D2">
        <w:rPr>
          <w:rFonts w:ascii="Garamond" w:hAnsi="Garamond"/>
        </w:rPr>
        <w:t xml:space="preserve"> March, a reader would perhaps be able to work out its relationship to Easter on a specific year. Indeed, as seen in Chapter 1, some almanacs provided guides to allow owners to identify Easter every year over decades.</w:t>
      </w:r>
      <w:r w:rsidRPr="003037D2">
        <w:rPr>
          <w:rStyle w:val="FootnoteReference"/>
          <w:rFonts w:ascii="Garamond" w:hAnsi="Garamond"/>
        </w:rPr>
        <w:footnoteReference w:id="662"/>
      </w:r>
      <w:r w:rsidRPr="003037D2">
        <w:rPr>
          <w:rFonts w:ascii="Garamond" w:hAnsi="Garamond"/>
        </w:rPr>
        <w:t xml:space="preserve"> Discussing his work on dating referents in court documents, Wrightson comments, </w:t>
      </w:r>
    </w:p>
    <w:p w14:paraId="10E37662" w14:textId="16694DEF" w:rsidR="00162224" w:rsidRDefault="00162224" w:rsidP="00162224">
      <w:pPr>
        <w:ind w:left="737" w:right="737"/>
        <w:rPr>
          <w:rFonts w:ascii="Garamond" w:hAnsi="Garamond"/>
        </w:rPr>
      </w:pPr>
      <w:r w:rsidRPr="003037D2">
        <w:rPr>
          <w:rFonts w:ascii="Garamond" w:hAnsi="Garamond"/>
        </w:rPr>
        <w:t>[Changes in dating systems] may reflect forms of social and cultural differentiation that carried political implications for the society of mixed forms that emerged from a ‘Jacobethan’ watershed that involved change in religious identity, rapid commercialization, a re-structuring of society, state formation, and the normalization of new communicative technologies and capacities.  Such quiet shifts matter. They create novel possibilities.</w:t>
      </w:r>
      <w:r w:rsidRPr="003037D2">
        <w:rPr>
          <w:rStyle w:val="FootnoteReference"/>
          <w:rFonts w:ascii="Garamond" w:hAnsi="Garamond"/>
        </w:rPr>
        <w:footnoteReference w:id="663"/>
      </w:r>
    </w:p>
    <w:p w14:paraId="60DF8D1C" w14:textId="77777777" w:rsidR="00667CD5" w:rsidRPr="003037D2" w:rsidRDefault="00667CD5" w:rsidP="00162224">
      <w:pPr>
        <w:ind w:left="737" w:right="737"/>
        <w:rPr>
          <w:rFonts w:ascii="Garamond" w:hAnsi="Garamond"/>
        </w:rPr>
      </w:pPr>
    </w:p>
    <w:p w14:paraId="0141511E" w14:textId="77777777" w:rsidR="00162224" w:rsidRPr="003037D2" w:rsidRDefault="00162224" w:rsidP="00162224">
      <w:pPr>
        <w:spacing w:line="360" w:lineRule="auto"/>
        <w:rPr>
          <w:rFonts w:ascii="Garamond" w:hAnsi="Garamond"/>
        </w:rPr>
      </w:pPr>
      <w:r w:rsidRPr="003037D2">
        <w:rPr>
          <w:rFonts w:ascii="Garamond" w:hAnsi="Garamond"/>
        </w:rPr>
        <w:t xml:space="preserve">The ‘quiet shift’ captured </w:t>
      </w:r>
      <w:proofErr w:type="gramStart"/>
      <w:r w:rsidRPr="003037D2">
        <w:rPr>
          <w:rFonts w:ascii="Garamond" w:hAnsi="Garamond"/>
        </w:rPr>
        <w:t>by the use of</w:t>
      </w:r>
      <w:proofErr w:type="gramEnd"/>
      <w:r w:rsidRPr="003037D2">
        <w:rPr>
          <w:rFonts w:ascii="Garamond" w:hAnsi="Garamond"/>
        </w:rPr>
        <w:t xml:space="preserve"> dating systems on sermon title pages reveals that the church calendar was not the most important way in which sermons were recorded and marketed. Rather, they were predominantly positioned within a strictly ordered, secular calendar, with the day, month and year recorded. It is worth remembering that many sermons were extra liturgical, prompted by political occasions or national days of commemoration. Moreover, four decades ago Moran demonstrated that between 1560 </w:t>
      </w:r>
      <w:r w:rsidRPr="003037D2">
        <w:rPr>
          <w:rFonts w:ascii="Garamond" w:hAnsi="Garamond"/>
        </w:rPr>
        <w:lastRenderedPageBreak/>
        <w:t>and 1580 French clergy performed ‘a remarkable turnaround’ in their use of dates, going from being ‘one of the strongholds of traditional time… to being entirely devoid of it’, traditional time in this case being time marked by church events. Indeed, Moran suggests that ‘Protestant pressure to abandon sacred time was probably felt by the clergy – its guardian – in a particularly acute way’.</w:t>
      </w:r>
      <w:r w:rsidRPr="003037D2">
        <w:rPr>
          <w:rStyle w:val="FootnoteReference"/>
          <w:rFonts w:ascii="Garamond" w:hAnsi="Garamond"/>
        </w:rPr>
        <w:footnoteReference w:id="664"/>
      </w:r>
      <w:r w:rsidRPr="003037D2">
        <w:rPr>
          <w:rFonts w:ascii="Garamond" w:hAnsi="Garamond"/>
        </w:rPr>
        <w:t xml:space="preserve"> It therefore should perhaps be expected that in the following decades, even events as religious as sermons are recorded using the secular calendar. </w:t>
      </w:r>
    </w:p>
    <w:p w14:paraId="41D19243" w14:textId="77777777" w:rsidR="00162224" w:rsidRPr="003037D2" w:rsidRDefault="00162224" w:rsidP="00162224">
      <w:pPr>
        <w:spacing w:line="360" w:lineRule="auto"/>
        <w:rPr>
          <w:rFonts w:ascii="Garamond" w:hAnsi="Garamond"/>
        </w:rPr>
      </w:pPr>
    </w:p>
    <w:p w14:paraId="1FE4EE2F" w14:textId="323EEECE" w:rsidR="00162224" w:rsidRPr="003037D2" w:rsidRDefault="00162224" w:rsidP="00470D01">
      <w:pPr>
        <w:spacing w:line="360" w:lineRule="auto"/>
        <w:ind w:firstLine="720"/>
        <w:rPr>
          <w:rFonts w:ascii="Garamond" w:hAnsi="Garamond"/>
        </w:rPr>
      </w:pPr>
      <w:r w:rsidRPr="003037D2">
        <w:rPr>
          <w:rFonts w:ascii="Garamond" w:hAnsi="Garamond"/>
        </w:rPr>
        <w:t xml:space="preserve">As previously mentioned, the second most common way of dating a sermon was with reference to an event. Within these events, the most commonly referred to by a considerable margin are funerals, making up 43% of all the events on title pages. (See </w:t>
      </w:r>
      <w:r w:rsidRPr="003037D2">
        <w:rPr>
          <w:rFonts w:ascii="Garamond" w:hAnsi="Garamond"/>
        </w:rPr>
        <w:fldChar w:fldCharType="begin"/>
      </w:r>
      <w:r w:rsidRPr="003037D2">
        <w:rPr>
          <w:rFonts w:ascii="Garamond" w:hAnsi="Garamond"/>
        </w:rPr>
        <w:instrText xml:space="preserve"> REF _Ref532833657 \h </w:instrText>
      </w:r>
      <w:r w:rsidR="003037D2">
        <w:rPr>
          <w:rFonts w:ascii="Garamond" w:hAnsi="Garamond"/>
        </w:rPr>
        <w:instrText xml:space="preserve"> \* MERGEFORMAT </w:instrText>
      </w:r>
      <w:r w:rsidRPr="003037D2">
        <w:rPr>
          <w:rFonts w:ascii="Garamond" w:hAnsi="Garamond"/>
        </w:rPr>
      </w:r>
      <w:r w:rsidRPr="003037D2">
        <w:rPr>
          <w:rFonts w:ascii="Garamond" w:hAnsi="Garamond"/>
        </w:rPr>
        <w:fldChar w:fldCharType="separate"/>
      </w:r>
      <w:r w:rsidR="001117A3" w:rsidRPr="003037D2">
        <w:rPr>
          <w:rFonts w:ascii="Garamond" w:hAnsi="Garamond"/>
        </w:rPr>
        <w:t xml:space="preserve">Figure </w:t>
      </w:r>
      <w:r w:rsidR="001117A3" w:rsidRPr="003037D2">
        <w:rPr>
          <w:rFonts w:ascii="Garamond" w:hAnsi="Garamond"/>
          <w:noProof/>
        </w:rPr>
        <w:t>59</w:t>
      </w:r>
      <w:r w:rsidRPr="003037D2">
        <w:rPr>
          <w:rFonts w:ascii="Garamond" w:hAnsi="Garamond"/>
        </w:rPr>
        <w:fldChar w:fldCharType="end"/>
      </w:r>
      <w:r w:rsidR="00ED0F4C">
        <w:rPr>
          <w:rFonts w:ascii="Garamond" w:hAnsi="Garamond"/>
        </w:rPr>
        <w:t>.</w:t>
      </w:r>
      <w:r w:rsidRPr="003037D2">
        <w:rPr>
          <w:rFonts w:ascii="Garamond" w:hAnsi="Garamond"/>
        </w:rPr>
        <w:t>) These are often the funerals of nobles, attractive to buyers perhaps as they captured both some of their fame and that of the preacher. The second most common event referred to was visitations, at 16%, and thirdly fasts, at 15%. The large number of fasts represented reflects the important place that fasts held in the church at the beginning of the seventeenth century. Indeed, from 1621, James I ordered that sermons which were preached at public fasts following the opening of parliament had to be printed.</w:t>
      </w:r>
      <w:r w:rsidRPr="003037D2">
        <w:rPr>
          <w:rStyle w:val="FootnoteReference"/>
          <w:rFonts w:ascii="Garamond" w:hAnsi="Garamond"/>
        </w:rPr>
        <w:footnoteReference w:id="665"/>
      </w:r>
      <w:r w:rsidRPr="003037D2">
        <w:rPr>
          <w:rFonts w:ascii="Garamond" w:hAnsi="Garamond"/>
        </w:rPr>
        <w:t xml:space="preserve"> Tom Webster explains that fasting ‘occurred in three different, and notionally complementary, </w:t>
      </w:r>
      <w:proofErr w:type="gramStart"/>
      <w:r w:rsidRPr="003037D2">
        <w:rPr>
          <w:rFonts w:ascii="Garamond" w:hAnsi="Garamond"/>
        </w:rPr>
        <w:t>contexts’</w:t>
      </w:r>
      <w:proofErr w:type="gramEnd"/>
      <w:r w:rsidRPr="003037D2">
        <w:rPr>
          <w:rFonts w:ascii="Garamond" w:hAnsi="Garamond"/>
        </w:rPr>
        <w:t>. The first context is fasting within the liturgical calendar, including the twelve ember days, Ash Wednesday, and Good Friday. Secondly, publicly ordained fast days appointed following dangers such as plagues or military attacks, and thirdly, private fasts conducted by a single household.</w:t>
      </w:r>
      <w:r w:rsidRPr="003037D2">
        <w:rPr>
          <w:rStyle w:val="FootnoteReference"/>
          <w:rFonts w:ascii="Garamond" w:hAnsi="Garamond"/>
        </w:rPr>
        <w:footnoteReference w:id="666"/>
      </w:r>
      <w:r w:rsidRPr="003037D2">
        <w:rPr>
          <w:rFonts w:ascii="Garamond" w:hAnsi="Garamond"/>
        </w:rPr>
        <w:t xml:space="preserve"> It is perhaps useful to note that in the Gateway to Early Modern Manuscript Sermons database (GEMMS) (currently still under construction and so perhaps unrepresentative) notes 305 sermons given at funerals, 124 given at fasts, and only 10 at visitations, out of c.14,000 sermons currently entered.</w:t>
      </w:r>
      <w:r w:rsidRPr="003037D2">
        <w:rPr>
          <w:rStyle w:val="FootnoteReference"/>
          <w:rFonts w:ascii="Garamond" w:hAnsi="Garamond"/>
        </w:rPr>
        <w:footnoteReference w:id="667"/>
      </w:r>
      <w:r w:rsidRPr="003037D2">
        <w:rPr>
          <w:rFonts w:ascii="Garamond" w:hAnsi="Garamond"/>
        </w:rPr>
        <w:t xml:space="preserve"> This would suggest that the visitation sermons were printed at very high rates, potentially due to the prestige connected to the event. In the chart (</w:t>
      </w:r>
      <w:r w:rsidRPr="003037D2">
        <w:rPr>
          <w:rFonts w:ascii="Garamond" w:hAnsi="Garamond"/>
        </w:rPr>
        <w:fldChar w:fldCharType="begin"/>
      </w:r>
      <w:r w:rsidRPr="003037D2">
        <w:rPr>
          <w:rFonts w:ascii="Garamond" w:hAnsi="Garamond"/>
        </w:rPr>
        <w:instrText xml:space="preserve"> REF _Ref513280087 \h  \* MERGEFORMAT </w:instrText>
      </w:r>
      <w:r w:rsidRPr="003037D2">
        <w:rPr>
          <w:rFonts w:ascii="Garamond" w:hAnsi="Garamond"/>
        </w:rPr>
      </w:r>
      <w:r w:rsidRPr="003037D2">
        <w:rPr>
          <w:rFonts w:ascii="Garamond" w:hAnsi="Garamond"/>
        </w:rPr>
        <w:fldChar w:fldCharType="separate"/>
      </w:r>
      <w:r w:rsidR="001117A3" w:rsidRPr="003037D2">
        <w:rPr>
          <w:rFonts w:ascii="Garamond" w:hAnsi="Garamond"/>
        </w:rPr>
        <w:t xml:space="preserve">Figure </w:t>
      </w:r>
      <w:r w:rsidR="001117A3" w:rsidRPr="003037D2">
        <w:rPr>
          <w:rFonts w:ascii="Garamond" w:hAnsi="Garamond"/>
          <w:noProof/>
        </w:rPr>
        <w:t>60</w:t>
      </w:r>
      <w:r w:rsidRPr="003037D2">
        <w:rPr>
          <w:rFonts w:ascii="Garamond" w:hAnsi="Garamond"/>
        </w:rPr>
        <w:fldChar w:fldCharType="end"/>
      </w:r>
      <w:r w:rsidRPr="003037D2">
        <w:rPr>
          <w:rFonts w:ascii="Garamond" w:hAnsi="Garamond"/>
        </w:rPr>
        <w:t xml:space="preserve">) showing the make-up of references to the church calendar, the most common type is classed as ‘other’, at 34%, indicating the lack of consensus over the important aspects of the </w:t>
      </w:r>
      <w:r w:rsidRPr="003037D2">
        <w:rPr>
          <w:rFonts w:ascii="Garamond" w:hAnsi="Garamond"/>
        </w:rPr>
        <w:lastRenderedPageBreak/>
        <w:t xml:space="preserve">church calendar. The second most commonly referred to event in the church calendar is Easter, at 33%. References to events or moments in the church calendar were often combined with specific dates, melding different types of dating system in a manner </w:t>
      </w:r>
      <w:proofErr w:type="gramStart"/>
      <w:r w:rsidRPr="003037D2">
        <w:rPr>
          <w:rFonts w:ascii="Garamond" w:hAnsi="Garamond"/>
        </w:rPr>
        <w:t>similar to</w:t>
      </w:r>
      <w:proofErr w:type="gramEnd"/>
      <w:r w:rsidRPr="003037D2">
        <w:rPr>
          <w:rFonts w:ascii="Garamond" w:hAnsi="Garamond"/>
        </w:rPr>
        <w:t xml:space="preserve"> that observed in almanacs in Chapter 1. In both cases, this layering of different dates and temporal markers reveals the complexity of tracking time, and the flexibility that </w:t>
      </w:r>
      <w:r w:rsidR="007C61A3" w:rsidRPr="003037D2">
        <w:rPr>
          <w:rFonts w:ascii="Garamond" w:hAnsi="Garamond"/>
        </w:rPr>
        <w:t>this could entail</w:t>
      </w:r>
      <w:r w:rsidRPr="003037D2">
        <w:rPr>
          <w:rFonts w:ascii="Garamond" w:hAnsi="Garamond"/>
        </w:rPr>
        <w:t xml:space="preserve">. </w:t>
      </w:r>
    </w:p>
    <w:p w14:paraId="2C9237D9" w14:textId="77777777" w:rsidR="00162224" w:rsidRPr="003037D2" w:rsidRDefault="00162224" w:rsidP="00162224">
      <w:pPr>
        <w:spacing w:line="360" w:lineRule="auto"/>
        <w:ind w:firstLine="720"/>
        <w:rPr>
          <w:rFonts w:ascii="Garamond" w:hAnsi="Garamond"/>
        </w:rPr>
      </w:pPr>
    </w:p>
    <w:p w14:paraId="00755135" w14:textId="4258F53F" w:rsidR="00162224" w:rsidRPr="003037D2" w:rsidRDefault="00162224" w:rsidP="00162224">
      <w:pPr>
        <w:spacing w:line="360" w:lineRule="auto"/>
        <w:ind w:firstLine="720"/>
        <w:rPr>
          <w:rFonts w:ascii="Garamond" w:hAnsi="Garamond"/>
          <w:iCs/>
        </w:rPr>
      </w:pPr>
      <w:r w:rsidRPr="003037D2">
        <w:rPr>
          <w:rFonts w:ascii="Garamond" w:hAnsi="Garamond"/>
          <w:i/>
        </w:rPr>
        <w:t xml:space="preserve">The Oxford Edition of the Sermons of John Donne, </w:t>
      </w:r>
      <w:r w:rsidRPr="003037D2">
        <w:rPr>
          <w:rFonts w:ascii="Garamond" w:hAnsi="Garamond"/>
          <w:iCs/>
        </w:rPr>
        <w:t>currently being produced in fourteen volumes</w:t>
      </w:r>
      <w:r w:rsidR="007C61A3" w:rsidRPr="003037D2">
        <w:rPr>
          <w:rFonts w:ascii="Garamond" w:hAnsi="Garamond"/>
          <w:iCs/>
        </w:rPr>
        <w:t>,</w:t>
      </w:r>
      <w:r w:rsidRPr="003037D2">
        <w:rPr>
          <w:rFonts w:ascii="Garamond" w:hAnsi="Garamond"/>
          <w:iCs/>
        </w:rPr>
        <w:t xml:space="preserve"> takes as its </w:t>
      </w:r>
      <w:proofErr w:type="spellStart"/>
      <w:r w:rsidRPr="003037D2">
        <w:rPr>
          <w:rFonts w:ascii="Garamond" w:hAnsi="Garamond"/>
          <w:iCs/>
        </w:rPr>
        <w:t>organising</w:t>
      </w:r>
      <w:proofErr w:type="spellEnd"/>
      <w:r w:rsidRPr="003037D2">
        <w:rPr>
          <w:rFonts w:ascii="Garamond" w:hAnsi="Garamond"/>
          <w:iCs/>
        </w:rPr>
        <w:t xml:space="preserve"> principal the </w:t>
      </w:r>
      <w:r w:rsidRPr="003037D2">
        <w:rPr>
          <w:rFonts w:ascii="Garamond" w:hAnsi="Garamond"/>
          <w:i/>
        </w:rPr>
        <w:t xml:space="preserve">location </w:t>
      </w:r>
      <w:r w:rsidRPr="003037D2">
        <w:rPr>
          <w:rFonts w:ascii="Garamond" w:hAnsi="Garamond"/>
          <w:iCs/>
        </w:rPr>
        <w:t>of preaching, with the intention that a focus on place will reveal how Donne shaped his prose for different audiences.</w:t>
      </w:r>
      <w:r w:rsidRPr="003037D2">
        <w:rPr>
          <w:rStyle w:val="FootnoteReference"/>
          <w:rFonts w:ascii="Garamond" w:hAnsi="Garamond"/>
          <w:iCs/>
        </w:rPr>
        <w:footnoteReference w:id="668"/>
      </w:r>
      <w:r w:rsidRPr="003037D2">
        <w:rPr>
          <w:rFonts w:ascii="Garamond" w:hAnsi="Garamond"/>
          <w:iCs/>
        </w:rPr>
        <w:t xml:space="preserve"> This stands in opposition to the chronological ordering of the previous edition produced by Potter and Simpson, but supports the interpretation of sermon as event which I have joined Morrissey in advocating for.</w:t>
      </w:r>
      <w:r w:rsidRPr="003037D2">
        <w:rPr>
          <w:rStyle w:val="FootnoteReference"/>
          <w:rFonts w:ascii="Garamond" w:hAnsi="Garamond"/>
          <w:iCs/>
        </w:rPr>
        <w:footnoteReference w:id="669"/>
      </w:r>
      <w:r w:rsidRPr="003037D2">
        <w:rPr>
          <w:rFonts w:ascii="Garamond" w:hAnsi="Garamond"/>
          <w:iCs/>
        </w:rPr>
        <w:t xml:space="preserve"> Examining the title pages of sermons reveals that location was often used as a selling point by publishers. As previously mentioned, 74% of all the title pages surveyed specified a place of preaching. I </w:t>
      </w:r>
      <w:proofErr w:type="spellStart"/>
      <w:r w:rsidRPr="003037D2">
        <w:rPr>
          <w:rFonts w:ascii="Garamond" w:hAnsi="Garamond"/>
          <w:iCs/>
        </w:rPr>
        <w:t>categorised</w:t>
      </w:r>
      <w:proofErr w:type="spellEnd"/>
      <w:r w:rsidRPr="003037D2">
        <w:rPr>
          <w:rFonts w:ascii="Garamond" w:hAnsi="Garamond"/>
          <w:iCs/>
        </w:rPr>
        <w:t xml:space="preserve"> the type of location which was </w:t>
      </w:r>
      <w:proofErr w:type="gramStart"/>
      <w:r w:rsidRPr="003037D2">
        <w:rPr>
          <w:rFonts w:ascii="Garamond" w:hAnsi="Garamond"/>
          <w:iCs/>
        </w:rPr>
        <w:t>mentioned, and</w:t>
      </w:r>
      <w:proofErr w:type="gramEnd"/>
      <w:r w:rsidRPr="003037D2">
        <w:rPr>
          <w:rFonts w:ascii="Garamond" w:hAnsi="Garamond"/>
          <w:iCs/>
        </w:rPr>
        <w:t xml:space="preserve"> found that the most common type of location described was a specific church, with 24% or 141 of the entries mentioning a church or chapel. ‘Place’, in this case generally meaning a town or city, was also mentioned on 24% of title pages, with 140 entries specifying a settlement. The third most popular category, at 14%, was outdoor pulpits, with the vast majority of these referring to Paul’s Cross. 13% referred to various court settings, although included in this designation is the description performed ‘before the king’, as this seemed shorthand for courtly aspirations. The monarch may not always have been present for every sermon given at court, so this would mark the sermon out as having an even higher status. 12% specify legal or political settings, in many cases given to the House of Commons or the House of Parliament. (See </w:t>
      </w:r>
      <w:r w:rsidRPr="003037D2">
        <w:rPr>
          <w:rFonts w:ascii="Garamond" w:hAnsi="Garamond"/>
          <w:iCs/>
        </w:rPr>
        <w:fldChar w:fldCharType="begin"/>
      </w:r>
      <w:r w:rsidRPr="003037D2">
        <w:rPr>
          <w:rFonts w:ascii="Garamond" w:hAnsi="Garamond"/>
          <w:iCs/>
        </w:rPr>
        <w:instrText xml:space="preserve"> REF _Ref513917026 \h  \* MERGEFORMAT </w:instrText>
      </w:r>
      <w:r w:rsidRPr="003037D2">
        <w:rPr>
          <w:rFonts w:ascii="Garamond" w:hAnsi="Garamond"/>
          <w:iCs/>
        </w:rPr>
      </w:r>
      <w:r w:rsidRPr="003037D2">
        <w:rPr>
          <w:rFonts w:ascii="Garamond" w:hAnsi="Garamond"/>
          <w:iCs/>
        </w:rPr>
        <w:fldChar w:fldCharType="separate"/>
      </w:r>
      <w:r w:rsidR="001117A3" w:rsidRPr="003037D2">
        <w:rPr>
          <w:rFonts w:ascii="Garamond" w:hAnsi="Garamond"/>
        </w:rPr>
        <w:t xml:space="preserve">Figure </w:t>
      </w:r>
      <w:r w:rsidR="001117A3" w:rsidRPr="003037D2">
        <w:rPr>
          <w:rFonts w:ascii="Garamond" w:hAnsi="Garamond"/>
          <w:noProof/>
        </w:rPr>
        <w:t>62</w:t>
      </w:r>
      <w:r w:rsidRPr="003037D2">
        <w:rPr>
          <w:rFonts w:ascii="Garamond" w:hAnsi="Garamond"/>
          <w:iCs/>
        </w:rPr>
        <w:fldChar w:fldCharType="end"/>
      </w:r>
      <w:r w:rsidRPr="003037D2">
        <w:rPr>
          <w:rFonts w:ascii="Garamond" w:hAnsi="Garamond"/>
          <w:iCs/>
        </w:rPr>
        <w:t xml:space="preserve"> and </w:t>
      </w:r>
      <w:r w:rsidRPr="003037D2">
        <w:rPr>
          <w:rFonts w:ascii="Garamond" w:hAnsi="Garamond"/>
          <w:iCs/>
        </w:rPr>
        <w:fldChar w:fldCharType="begin"/>
      </w:r>
      <w:r w:rsidRPr="003037D2">
        <w:rPr>
          <w:rFonts w:ascii="Garamond" w:hAnsi="Garamond"/>
          <w:iCs/>
        </w:rPr>
        <w:instrText xml:space="preserve"> REF _Ref513917031 \h  \* MERGEFORMAT </w:instrText>
      </w:r>
      <w:r w:rsidRPr="003037D2">
        <w:rPr>
          <w:rFonts w:ascii="Garamond" w:hAnsi="Garamond"/>
          <w:iCs/>
        </w:rPr>
      </w:r>
      <w:r w:rsidRPr="003037D2">
        <w:rPr>
          <w:rFonts w:ascii="Garamond" w:hAnsi="Garamond"/>
          <w:iCs/>
        </w:rPr>
        <w:fldChar w:fldCharType="separate"/>
      </w:r>
      <w:r w:rsidR="001117A3" w:rsidRPr="003037D2">
        <w:rPr>
          <w:rFonts w:ascii="Garamond" w:hAnsi="Garamond"/>
        </w:rPr>
        <w:t xml:space="preserve">Figure </w:t>
      </w:r>
      <w:r w:rsidR="001117A3" w:rsidRPr="003037D2">
        <w:rPr>
          <w:rFonts w:ascii="Garamond" w:hAnsi="Garamond"/>
          <w:noProof/>
        </w:rPr>
        <w:t>63</w:t>
      </w:r>
      <w:r w:rsidRPr="003037D2">
        <w:rPr>
          <w:rFonts w:ascii="Garamond" w:hAnsi="Garamond"/>
          <w:iCs/>
        </w:rPr>
        <w:fldChar w:fldCharType="end"/>
      </w:r>
      <w:r w:rsidR="00ED0F4C">
        <w:rPr>
          <w:rFonts w:ascii="Garamond" w:hAnsi="Garamond"/>
          <w:iCs/>
        </w:rPr>
        <w:t>.</w:t>
      </w:r>
      <w:r w:rsidRPr="003037D2">
        <w:rPr>
          <w:rFonts w:ascii="Garamond" w:hAnsi="Garamond"/>
          <w:iCs/>
        </w:rPr>
        <w:t xml:space="preserve">) These figures are perhaps surprising. It could be assumed that the most marketable sermons were those which had been performed before the King, or at the </w:t>
      </w:r>
      <w:proofErr w:type="gramStart"/>
      <w:r w:rsidRPr="003037D2">
        <w:rPr>
          <w:rFonts w:ascii="Garamond" w:hAnsi="Garamond"/>
          <w:iCs/>
        </w:rPr>
        <w:t>ever popular</w:t>
      </w:r>
      <w:proofErr w:type="gramEnd"/>
      <w:r w:rsidRPr="003037D2">
        <w:rPr>
          <w:rFonts w:ascii="Garamond" w:hAnsi="Garamond"/>
          <w:iCs/>
        </w:rPr>
        <w:t xml:space="preserve"> Paul’s Cross. However, whilst these locations are certainly well represented, and a greater proportion of the sermons performed here must have made their way into print, it is </w:t>
      </w:r>
      <w:r w:rsidRPr="003037D2">
        <w:rPr>
          <w:rFonts w:ascii="Garamond" w:hAnsi="Garamond"/>
          <w:iCs/>
        </w:rPr>
        <w:lastRenderedPageBreak/>
        <w:t>notable that the most common type of place was specific churches or chapels.</w:t>
      </w:r>
      <w:r w:rsidRPr="003037D2">
        <w:rPr>
          <w:rStyle w:val="FootnoteReference"/>
          <w:rFonts w:ascii="Garamond" w:hAnsi="Garamond"/>
          <w:iCs/>
        </w:rPr>
        <w:footnoteReference w:id="670"/>
      </w:r>
      <w:r w:rsidRPr="003037D2">
        <w:rPr>
          <w:rFonts w:ascii="Garamond" w:hAnsi="Garamond"/>
          <w:iCs/>
        </w:rPr>
        <w:t xml:space="preserve"> This opens up a number of questions: would provincial churches have been known to the book buying audience, often </w:t>
      </w:r>
      <w:proofErr w:type="spellStart"/>
      <w:r w:rsidRPr="003037D2">
        <w:rPr>
          <w:rFonts w:ascii="Garamond" w:hAnsi="Garamond"/>
          <w:iCs/>
        </w:rPr>
        <w:t>centred</w:t>
      </w:r>
      <w:proofErr w:type="spellEnd"/>
      <w:r w:rsidRPr="003037D2">
        <w:rPr>
          <w:rFonts w:ascii="Garamond" w:hAnsi="Garamond"/>
          <w:iCs/>
        </w:rPr>
        <w:t xml:space="preserve"> in London?</w:t>
      </w:r>
      <w:r w:rsidRPr="003037D2">
        <w:rPr>
          <w:rStyle w:val="FootnoteReference"/>
          <w:rFonts w:ascii="Garamond" w:hAnsi="Garamond"/>
          <w:iCs/>
        </w:rPr>
        <w:footnoteReference w:id="671"/>
      </w:r>
      <w:r w:rsidRPr="003037D2">
        <w:rPr>
          <w:rFonts w:ascii="Garamond" w:hAnsi="Garamond"/>
          <w:iCs/>
        </w:rPr>
        <w:t xml:space="preserve"> If they did, then perhaps they carried particular associations which would make the sermons attractive purchases, perhaps associated with a particular type of religious thought. If not, then perhaps it is the specificity itself which is attractive: the ability of a sermon to pronounce its point of origin and attach itself to a moment in time and space.</w:t>
      </w:r>
    </w:p>
    <w:p w14:paraId="2FB91BC5" w14:textId="77777777" w:rsidR="00162224" w:rsidRPr="003037D2" w:rsidRDefault="00162224" w:rsidP="00162224">
      <w:pPr>
        <w:spacing w:line="360" w:lineRule="auto"/>
        <w:ind w:firstLine="720"/>
        <w:rPr>
          <w:rFonts w:ascii="Garamond" w:hAnsi="Garamond"/>
          <w:iCs/>
          <w:u w:val="single"/>
        </w:rPr>
      </w:pPr>
    </w:p>
    <w:p w14:paraId="6B6B3346" w14:textId="77777777" w:rsidR="00162224" w:rsidRPr="003037D2" w:rsidRDefault="00162224" w:rsidP="00162224">
      <w:pPr>
        <w:pStyle w:val="Heading3"/>
        <w:numPr>
          <w:ilvl w:val="0"/>
          <w:numId w:val="21"/>
        </w:numPr>
        <w:spacing w:line="360" w:lineRule="auto"/>
        <w:rPr>
          <w:rFonts w:ascii="Garamond" w:hAnsi="Garamond"/>
          <w:color w:val="auto"/>
        </w:rPr>
      </w:pPr>
      <w:bookmarkStart w:id="76" w:name="_Toc3967191"/>
      <w:r w:rsidRPr="003037D2">
        <w:rPr>
          <w:rFonts w:ascii="Garamond" w:hAnsi="Garamond"/>
          <w:color w:val="auto"/>
        </w:rPr>
        <w:t>‘Dead letters laid forth in sheets’: Capturing performance</w:t>
      </w:r>
      <w:bookmarkEnd w:id="76"/>
      <w:r w:rsidRPr="003037D2">
        <w:rPr>
          <w:rFonts w:ascii="Garamond" w:hAnsi="Garamond"/>
          <w:color w:val="auto"/>
        </w:rPr>
        <w:t xml:space="preserve"> </w:t>
      </w:r>
    </w:p>
    <w:p w14:paraId="0A9B008D" w14:textId="77777777" w:rsidR="00162224" w:rsidRPr="003037D2" w:rsidRDefault="00162224" w:rsidP="00162224">
      <w:pPr>
        <w:spacing w:line="360" w:lineRule="auto"/>
        <w:rPr>
          <w:rFonts w:ascii="Garamond" w:hAnsi="Garamond"/>
        </w:rPr>
      </w:pPr>
    </w:p>
    <w:p w14:paraId="7770E3AE" w14:textId="77777777" w:rsidR="00162224" w:rsidRPr="003037D2" w:rsidRDefault="00162224" w:rsidP="00162224">
      <w:pPr>
        <w:spacing w:line="360" w:lineRule="auto"/>
        <w:ind w:firstLine="720"/>
        <w:rPr>
          <w:rFonts w:ascii="Garamond" w:hAnsi="Garamond"/>
        </w:rPr>
      </w:pPr>
      <w:r w:rsidRPr="003037D2">
        <w:rPr>
          <w:rFonts w:ascii="Garamond" w:hAnsi="Garamond"/>
        </w:rPr>
        <w:t>Nagel and Wood, in their work on the ‘Anachronic Renaissance’ argue that buildings and objects, particularly religious ones, often ‘resist anchoring in time’.</w:t>
      </w:r>
      <w:r w:rsidRPr="003037D2">
        <w:rPr>
          <w:rStyle w:val="FootnoteReference"/>
          <w:rFonts w:ascii="Garamond" w:hAnsi="Garamond"/>
        </w:rPr>
        <w:footnoteReference w:id="672"/>
      </w:r>
      <w:r w:rsidRPr="003037D2">
        <w:rPr>
          <w:rFonts w:ascii="Garamond" w:hAnsi="Garamond"/>
        </w:rPr>
        <w:t xml:space="preserve"> They suggest that giving precise dates to an object or building constitutes ‘a trade-off… anyone can see that the possible gain in legitimacy conferred by the marks of time is easily offset by the risk of loss of aura through fixing in time. To fix an image or temple in time is to reduce it to human proportions’.</w:t>
      </w:r>
      <w:r w:rsidRPr="003037D2">
        <w:rPr>
          <w:rStyle w:val="FootnoteReference"/>
          <w:rFonts w:ascii="Garamond" w:hAnsi="Garamond"/>
        </w:rPr>
        <w:footnoteReference w:id="673"/>
      </w:r>
      <w:r w:rsidRPr="003037D2">
        <w:rPr>
          <w:rFonts w:ascii="Garamond" w:hAnsi="Garamond"/>
        </w:rPr>
        <w:t xml:space="preserve"> Whilst Nagel and Wood are predominantly speaking about works of art and architecture, their argument could be applied to printed sermons. Natalie </w:t>
      </w:r>
      <w:proofErr w:type="spellStart"/>
      <w:r w:rsidRPr="003037D2">
        <w:rPr>
          <w:rFonts w:ascii="Garamond" w:hAnsi="Garamond"/>
        </w:rPr>
        <w:t>Zemon</w:t>
      </w:r>
      <w:proofErr w:type="spellEnd"/>
      <w:r w:rsidRPr="003037D2">
        <w:rPr>
          <w:rFonts w:ascii="Garamond" w:hAnsi="Garamond"/>
        </w:rPr>
        <w:t xml:space="preserve"> Davis argues that the godly were wary of the ‘desacralizing technology of the printing shop’.</w:t>
      </w:r>
      <w:r w:rsidRPr="003037D2">
        <w:rPr>
          <w:rStyle w:val="FootnoteReference"/>
          <w:rFonts w:ascii="Garamond" w:hAnsi="Garamond"/>
        </w:rPr>
        <w:footnoteReference w:id="674"/>
      </w:r>
      <w:r w:rsidRPr="003037D2">
        <w:rPr>
          <w:rFonts w:ascii="Garamond" w:hAnsi="Garamond"/>
        </w:rPr>
        <w:t xml:space="preserve"> Indeed, many of the apologias and </w:t>
      </w:r>
      <w:proofErr w:type="spellStart"/>
      <w:r w:rsidRPr="003037D2">
        <w:rPr>
          <w:rFonts w:ascii="Garamond" w:hAnsi="Garamond"/>
        </w:rPr>
        <w:t>defences</w:t>
      </w:r>
      <w:proofErr w:type="spellEnd"/>
      <w:r w:rsidRPr="003037D2">
        <w:rPr>
          <w:rFonts w:ascii="Garamond" w:hAnsi="Garamond"/>
        </w:rPr>
        <w:t xml:space="preserve"> of printing put forward by </w:t>
      </w:r>
      <w:proofErr w:type="gramStart"/>
      <w:r w:rsidRPr="003037D2">
        <w:rPr>
          <w:rFonts w:ascii="Garamond" w:hAnsi="Garamond"/>
        </w:rPr>
        <w:t>preachers</w:t>
      </w:r>
      <w:proofErr w:type="gramEnd"/>
      <w:r w:rsidRPr="003037D2">
        <w:rPr>
          <w:rFonts w:ascii="Garamond" w:hAnsi="Garamond"/>
        </w:rPr>
        <w:t xml:space="preserve"> gesture towards an awareness that publishing a sermon might strip it of its holiness. In a letter to John Hobart, included in his </w:t>
      </w:r>
      <w:r w:rsidRPr="003037D2">
        <w:rPr>
          <w:rFonts w:ascii="Garamond" w:hAnsi="Garamond"/>
          <w:i/>
          <w:iCs/>
        </w:rPr>
        <w:t xml:space="preserve">Six Sermons, </w:t>
      </w:r>
      <w:r w:rsidRPr="003037D2">
        <w:rPr>
          <w:rFonts w:ascii="Garamond" w:hAnsi="Garamond"/>
        </w:rPr>
        <w:t>Edward Willan meditates on this distinction:</w:t>
      </w:r>
    </w:p>
    <w:p w14:paraId="40DB8ED6" w14:textId="77777777" w:rsidR="00162224" w:rsidRPr="003037D2" w:rsidRDefault="00162224" w:rsidP="00162224">
      <w:pPr>
        <w:ind w:left="737" w:right="737"/>
        <w:rPr>
          <w:rFonts w:ascii="Garamond" w:hAnsi="Garamond"/>
        </w:rPr>
      </w:pPr>
      <w:r w:rsidRPr="003037D2">
        <w:rPr>
          <w:rFonts w:ascii="Garamond" w:hAnsi="Garamond"/>
        </w:rPr>
        <w:t xml:space="preserve">This Sermon, which ere while, (such as it is) was </w:t>
      </w:r>
      <w:proofErr w:type="spellStart"/>
      <w:r w:rsidRPr="003037D2">
        <w:rPr>
          <w:rFonts w:ascii="Garamond" w:hAnsi="Garamond"/>
        </w:rPr>
        <w:t>publickly</w:t>
      </w:r>
      <w:proofErr w:type="spellEnd"/>
      <w:r w:rsidRPr="003037D2">
        <w:rPr>
          <w:rFonts w:ascii="Garamond" w:hAnsi="Garamond"/>
        </w:rPr>
        <w:t xml:space="preserve"> presented to your ears, is now (such as it was) represented privately unto your eyes. And surely these are the </w:t>
      </w:r>
      <w:r w:rsidRPr="003037D2">
        <w:rPr>
          <w:rFonts w:ascii="Garamond" w:hAnsi="Garamond"/>
          <w:i/>
          <w:iCs/>
        </w:rPr>
        <w:t xml:space="preserve">Organs of a </w:t>
      </w:r>
      <w:proofErr w:type="spellStart"/>
      <w:r w:rsidRPr="003037D2">
        <w:rPr>
          <w:rFonts w:ascii="Garamond" w:hAnsi="Garamond"/>
          <w:i/>
          <w:iCs/>
        </w:rPr>
        <w:t>Doctrinall</w:t>
      </w:r>
      <w:proofErr w:type="spellEnd"/>
      <w:r w:rsidRPr="003037D2">
        <w:rPr>
          <w:rFonts w:ascii="Garamond" w:hAnsi="Garamond"/>
          <w:i/>
          <w:iCs/>
        </w:rPr>
        <w:t xml:space="preserve"> Sense </w:t>
      </w:r>
      <w:r w:rsidRPr="003037D2">
        <w:rPr>
          <w:rFonts w:ascii="Garamond" w:hAnsi="Garamond"/>
        </w:rPr>
        <w:t xml:space="preserve">as well as those… Many things delivered </w:t>
      </w:r>
      <w:r w:rsidRPr="003037D2">
        <w:rPr>
          <w:rFonts w:ascii="Garamond" w:hAnsi="Garamond"/>
          <w:i/>
          <w:iCs/>
        </w:rPr>
        <w:t xml:space="preserve">viva voce, </w:t>
      </w:r>
      <w:r w:rsidRPr="003037D2">
        <w:rPr>
          <w:rFonts w:ascii="Garamond" w:hAnsi="Garamond"/>
        </w:rPr>
        <w:t xml:space="preserve">and passing by the </w:t>
      </w:r>
      <w:proofErr w:type="spellStart"/>
      <w:r w:rsidRPr="003037D2">
        <w:rPr>
          <w:rFonts w:ascii="Garamond" w:hAnsi="Garamond"/>
        </w:rPr>
        <w:t>Eares</w:t>
      </w:r>
      <w:proofErr w:type="spellEnd"/>
      <w:r w:rsidRPr="003037D2">
        <w:rPr>
          <w:rFonts w:ascii="Garamond" w:hAnsi="Garamond"/>
        </w:rPr>
        <w:t xml:space="preserve"> but once, may </w:t>
      </w:r>
      <w:proofErr w:type="spellStart"/>
      <w:r w:rsidRPr="003037D2">
        <w:rPr>
          <w:rFonts w:ascii="Garamond" w:hAnsi="Garamond"/>
        </w:rPr>
        <w:t>passe</w:t>
      </w:r>
      <w:proofErr w:type="spellEnd"/>
      <w:r w:rsidRPr="003037D2">
        <w:rPr>
          <w:rFonts w:ascii="Garamond" w:hAnsi="Garamond"/>
        </w:rPr>
        <w:t xml:space="preserve"> for tolerable, yea and may be deemed acceptable: But if once they be turned into </w:t>
      </w:r>
      <w:r w:rsidRPr="003037D2">
        <w:rPr>
          <w:rFonts w:ascii="Garamond" w:hAnsi="Garamond"/>
          <w:i/>
          <w:iCs/>
        </w:rPr>
        <w:t xml:space="preserve">Dead Letters, </w:t>
      </w:r>
      <w:r w:rsidRPr="003037D2">
        <w:rPr>
          <w:rFonts w:ascii="Garamond" w:hAnsi="Garamond"/>
        </w:rPr>
        <w:t xml:space="preserve">and </w:t>
      </w:r>
      <w:r w:rsidRPr="003037D2">
        <w:rPr>
          <w:rFonts w:ascii="Garamond" w:hAnsi="Garamond"/>
          <w:i/>
          <w:iCs/>
        </w:rPr>
        <w:t xml:space="preserve">laid forth in </w:t>
      </w:r>
      <w:proofErr w:type="spellStart"/>
      <w:r w:rsidRPr="003037D2">
        <w:rPr>
          <w:rFonts w:ascii="Garamond" w:hAnsi="Garamond"/>
          <w:i/>
          <w:iCs/>
        </w:rPr>
        <w:t>Sheetes</w:t>
      </w:r>
      <w:proofErr w:type="spellEnd"/>
      <w:r w:rsidRPr="003037D2">
        <w:rPr>
          <w:rFonts w:ascii="Garamond" w:hAnsi="Garamond"/>
          <w:i/>
          <w:iCs/>
        </w:rPr>
        <w:t xml:space="preserve">, </w:t>
      </w:r>
      <w:r w:rsidRPr="003037D2">
        <w:rPr>
          <w:rFonts w:ascii="Garamond" w:hAnsi="Garamond"/>
        </w:rPr>
        <w:t xml:space="preserve">their life if gone, and it were well for them, if they might be </w:t>
      </w:r>
      <w:proofErr w:type="spellStart"/>
      <w:r w:rsidRPr="003037D2">
        <w:rPr>
          <w:rFonts w:ascii="Garamond" w:hAnsi="Garamond"/>
        </w:rPr>
        <w:t>buryed</w:t>
      </w:r>
      <w:proofErr w:type="spellEnd"/>
      <w:r w:rsidRPr="003037D2">
        <w:rPr>
          <w:rFonts w:ascii="Garamond" w:hAnsi="Garamond"/>
        </w:rPr>
        <w:t>.</w:t>
      </w:r>
      <w:r w:rsidRPr="003037D2">
        <w:rPr>
          <w:rStyle w:val="FootnoteReference"/>
          <w:rFonts w:ascii="Garamond" w:hAnsi="Garamond"/>
        </w:rPr>
        <w:footnoteReference w:id="675"/>
      </w:r>
    </w:p>
    <w:p w14:paraId="42036EB3" w14:textId="507014AB" w:rsidR="00162224" w:rsidRPr="003037D2" w:rsidRDefault="00162224" w:rsidP="00162224">
      <w:pPr>
        <w:spacing w:line="360" w:lineRule="auto"/>
        <w:rPr>
          <w:rFonts w:ascii="Garamond" w:hAnsi="Garamond"/>
        </w:rPr>
      </w:pPr>
      <w:r w:rsidRPr="003037D2">
        <w:rPr>
          <w:rFonts w:ascii="Garamond" w:hAnsi="Garamond"/>
        </w:rPr>
        <w:lastRenderedPageBreak/>
        <w:t xml:space="preserve">Focusing on the change in the sensory experience of his words brought about by the movement from public performance to private reading, Willan vividly describes how his words seem to be killed by the conversion. He provides marginal glosses in Latin from St. </w:t>
      </w:r>
      <w:proofErr w:type="spellStart"/>
      <w:r w:rsidRPr="003037D2">
        <w:rPr>
          <w:rFonts w:ascii="Garamond" w:hAnsi="Garamond"/>
        </w:rPr>
        <w:t>Hieron’s</w:t>
      </w:r>
      <w:proofErr w:type="spellEnd"/>
      <w:r w:rsidRPr="003037D2">
        <w:rPr>
          <w:rFonts w:ascii="Garamond" w:hAnsi="Garamond"/>
        </w:rPr>
        <w:t xml:space="preserve"> </w:t>
      </w:r>
      <w:r w:rsidRPr="003037D2">
        <w:rPr>
          <w:rFonts w:ascii="Garamond" w:hAnsi="Garamond"/>
          <w:i/>
          <w:iCs/>
        </w:rPr>
        <w:t>Epist</w:t>
      </w:r>
      <w:r w:rsidR="001F1F6B" w:rsidRPr="003037D2">
        <w:rPr>
          <w:rFonts w:ascii="Garamond" w:hAnsi="Garamond"/>
          <w:i/>
          <w:iCs/>
        </w:rPr>
        <w:t>l</w:t>
      </w:r>
      <w:r w:rsidRPr="003037D2">
        <w:rPr>
          <w:rFonts w:ascii="Garamond" w:hAnsi="Garamond"/>
          <w:i/>
          <w:iCs/>
        </w:rPr>
        <w:t xml:space="preserve">e 36, </w:t>
      </w:r>
      <w:r w:rsidRPr="003037D2">
        <w:rPr>
          <w:rFonts w:ascii="Garamond" w:hAnsi="Garamond"/>
        </w:rPr>
        <w:t>‘</w:t>
      </w:r>
      <w:proofErr w:type="spellStart"/>
      <w:r w:rsidRPr="003037D2">
        <w:rPr>
          <w:rFonts w:ascii="Garamond" w:hAnsi="Garamond"/>
          <w:i/>
          <w:iCs/>
        </w:rPr>
        <w:t>Habet</w:t>
      </w:r>
      <w:proofErr w:type="spellEnd"/>
      <w:r w:rsidRPr="003037D2">
        <w:rPr>
          <w:rFonts w:ascii="Garamond" w:hAnsi="Garamond"/>
          <w:i/>
          <w:iCs/>
        </w:rPr>
        <w:t xml:space="preserve"> </w:t>
      </w:r>
      <w:proofErr w:type="spellStart"/>
      <w:r w:rsidRPr="003037D2">
        <w:rPr>
          <w:rFonts w:ascii="Garamond" w:hAnsi="Garamond"/>
          <w:i/>
          <w:iCs/>
        </w:rPr>
        <w:t>nescio</w:t>
      </w:r>
      <w:proofErr w:type="spellEnd"/>
      <w:r w:rsidRPr="003037D2">
        <w:rPr>
          <w:rFonts w:ascii="Garamond" w:hAnsi="Garamond"/>
          <w:i/>
          <w:iCs/>
        </w:rPr>
        <w:t xml:space="preserve"> quit </w:t>
      </w:r>
      <w:proofErr w:type="spellStart"/>
      <w:r w:rsidRPr="003037D2">
        <w:rPr>
          <w:rFonts w:ascii="Garamond" w:hAnsi="Garamond"/>
          <w:i/>
          <w:iCs/>
        </w:rPr>
        <w:t>latentis</w:t>
      </w:r>
      <w:proofErr w:type="spellEnd"/>
      <w:r w:rsidRPr="003037D2">
        <w:rPr>
          <w:rFonts w:ascii="Garamond" w:hAnsi="Garamond"/>
          <w:i/>
          <w:iCs/>
        </w:rPr>
        <w:t xml:space="preserve"> </w:t>
      </w:r>
      <w:proofErr w:type="spellStart"/>
      <w:r w:rsidRPr="003037D2">
        <w:rPr>
          <w:rFonts w:ascii="Garamond" w:hAnsi="Garamond"/>
          <w:i/>
          <w:iCs/>
        </w:rPr>
        <w:t>energia</w:t>
      </w:r>
      <w:proofErr w:type="spellEnd"/>
      <w:r w:rsidRPr="003037D2">
        <w:rPr>
          <w:rFonts w:ascii="Garamond" w:hAnsi="Garamond"/>
          <w:i/>
          <w:iCs/>
        </w:rPr>
        <w:t xml:space="preserve"> </w:t>
      </w:r>
      <w:proofErr w:type="spellStart"/>
      <w:r w:rsidRPr="003037D2">
        <w:rPr>
          <w:rFonts w:ascii="Garamond" w:hAnsi="Garamond"/>
          <w:i/>
          <w:iCs/>
        </w:rPr>
        <w:t>vox</w:t>
      </w:r>
      <w:proofErr w:type="spellEnd"/>
      <w:r w:rsidRPr="003037D2">
        <w:rPr>
          <w:rFonts w:ascii="Garamond" w:hAnsi="Garamond"/>
          <w:i/>
          <w:iCs/>
        </w:rPr>
        <w:t xml:space="preserve"> viva, </w:t>
      </w:r>
      <w:r w:rsidRPr="003037D2">
        <w:rPr>
          <w:rFonts w:ascii="Garamond" w:hAnsi="Garamond"/>
        </w:rPr>
        <w:t>(I do not know what has more latent energy than the living voice)’ and St. Bernard, ‘</w:t>
      </w:r>
      <w:r w:rsidRPr="003037D2">
        <w:rPr>
          <w:rFonts w:ascii="Garamond" w:hAnsi="Garamond"/>
          <w:i/>
          <w:iCs/>
        </w:rPr>
        <w:t xml:space="preserve">Solet </w:t>
      </w:r>
      <w:proofErr w:type="spellStart"/>
      <w:r w:rsidRPr="003037D2">
        <w:rPr>
          <w:rFonts w:ascii="Garamond" w:hAnsi="Garamond"/>
          <w:i/>
          <w:iCs/>
        </w:rPr>
        <w:t>acceptior</w:t>
      </w:r>
      <w:proofErr w:type="spellEnd"/>
      <w:r w:rsidRPr="003037D2">
        <w:rPr>
          <w:rFonts w:ascii="Garamond" w:hAnsi="Garamond"/>
          <w:i/>
          <w:iCs/>
        </w:rPr>
        <w:t xml:space="preserve"> </w:t>
      </w:r>
      <w:proofErr w:type="spellStart"/>
      <w:r w:rsidRPr="003037D2">
        <w:rPr>
          <w:rFonts w:ascii="Garamond" w:hAnsi="Garamond"/>
          <w:i/>
          <w:iCs/>
        </w:rPr>
        <w:t>esse</w:t>
      </w:r>
      <w:proofErr w:type="spellEnd"/>
      <w:r w:rsidRPr="003037D2">
        <w:rPr>
          <w:rFonts w:ascii="Garamond" w:hAnsi="Garamond"/>
          <w:i/>
          <w:iCs/>
        </w:rPr>
        <w:t xml:space="preserve"> </w:t>
      </w:r>
      <w:proofErr w:type="spellStart"/>
      <w:r w:rsidRPr="003037D2">
        <w:rPr>
          <w:rFonts w:ascii="Garamond" w:hAnsi="Garamond"/>
          <w:i/>
          <w:iCs/>
        </w:rPr>
        <w:t>Sermo</w:t>
      </w:r>
      <w:proofErr w:type="spellEnd"/>
      <w:r w:rsidRPr="003037D2">
        <w:rPr>
          <w:rFonts w:ascii="Garamond" w:hAnsi="Garamond"/>
          <w:i/>
          <w:iCs/>
        </w:rPr>
        <w:t xml:space="preserve"> </w:t>
      </w:r>
      <w:proofErr w:type="spellStart"/>
      <w:r w:rsidRPr="003037D2">
        <w:rPr>
          <w:rFonts w:ascii="Garamond" w:hAnsi="Garamond"/>
          <w:i/>
          <w:iCs/>
        </w:rPr>
        <w:t>vivus</w:t>
      </w:r>
      <w:proofErr w:type="spellEnd"/>
      <w:r w:rsidRPr="003037D2">
        <w:rPr>
          <w:rFonts w:ascii="Garamond" w:hAnsi="Garamond"/>
          <w:i/>
          <w:iCs/>
        </w:rPr>
        <w:t xml:space="preserve"> </w:t>
      </w:r>
      <w:proofErr w:type="spellStart"/>
      <w:r w:rsidRPr="003037D2">
        <w:rPr>
          <w:rFonts w:ascii="Garamond" w:hAnsi="Garamond"/>
          <w:i/>
          <w:iCs/>
        </w:rPr>
        <w:t>quam</w:t>
      </w:r>
      <w:proofErr w:type="spellEnd"/>
      <w:r w:rsidRPr="003037D2">
        <w:rPr>
          <w:rFonts w:ascii="Garamond" w:hAnsi="Garamond"/>
          <w:i/>
          <w:iCs/>
        </w:rPr>
        <w:t xml:space="preserve"> </w:t>
      </w:r>
      <w:proofErr w:type="spellStart"/>
      <w:r w:rsidRPr="003037D2">
        <w:rPr>
          <w:rFonts w:ascii="Garamond" w:hAnsi="Garamond"/>
          <w:i/>
          <w:iCs/>
        </w:rPr>
        <w:t>Scriptus</w:t>
      </w:r>
      <w:proofErr w:type="spellEnd"/>
      <w:r w:rsidRPr="003037D2">
        <w:rPr>
          <w:rFonts w:ascii="Garamond" w:hAnsi="Garamond"/>
          <w:i/>
          <w:iCs/>
        </w:rPr>
        <w:t xml:space="preserve">, </w:t>
      </w:r>
      <w:r w:rsidRPr="003037D2">
        <w:rPr>
          <w:rFonts w:ascii="Garamond" w:hAnsi="Garamond"/>
        </w:rPr>
        <w:t>(Generally, the living sermons are more acceptable than Scripture)’.</w:t>
      </w:r>
      <w:r w:rsidRPr="003037D2">
        <w:rPr>
          <w:rStyle w:val="FootnoteReference"/>
          <w:rFonts w:ascii="Garamond" w:hAnsi="Garamond"/>
        </w:rPr>
        <w:footnoteReference w:id="676"/>
      </w:r>
      <w:r w:rsidRPr="003037D2">
        <w:rPr>
          <w:rFonts w:ascii="Garamond" w:hAnsi="Garamond"/>
        </w:rPr>
        <w:t xml:space="preserve"> Of course, the irony is that it is only in the printed form that such scholarly, supportive apparatus can be so deployed. Indeed, Willan continues his argument, </w:t>
      </w:r>
    </w:p>
    <w:p w14:paraId="18BAA365" w14:textId="5646376E" w:rsidR="00162224" w:rsidRDefault="00162224" w:rsidP="00162224">
      <w:pPr>
        <w:ind w:left="737" w:right="737"/>
        <w:rPr>
          <w:rFonts w:ascii="Garamond" w:hAnsi="Garamond"/>
        </w:rPr>
      </w:pPr>
      <w:r w:rsidRPr="003037D2">
        <w:rPr>
          <w:rFonts w:ascii="Garamond" w:hAnsi="Garamond"/>
        </w:rPr>
        <w:t xml:space="preserve">[When printed] they lie open to more exceptions under a sense more curious, and more </w:t>
      </w:r>
      <w:proofErr w:type="spellStart"/>
      <w:r w:rsidRPr="003037D2">
        <w:rPr>
          <w:rFonts w:ascii="Garamond" w:hAnsi="Garamond"/>
        </w:rPr>
        <w:t>criticall</w:t>
      </w:r>
      <w:proofErr w:type="spellEnd"/>
      <w:r w:rsidRPr="003037D2">
        <w:rPr>
          <w:rFonts w:ascii="Garamond" w:hAnsi="Garamond"/>
        </w:rPr>
        <w:t xml:space="preserve"> than that of Hearing, having an advantage to view, and review its object as often as it </w:t>
      </w:r>
      <w:proofErr w:type="spellStart"/>
      <w:r w:rsidRPr="003037D2">
        <w:rPr>
          <w:rFonts w:ascii="Garamond" w:hAnsi="Garamond"/>
        </w:rPr>
        <w:t>pleaseth</w:t>
      </w:r>
      <w:proofErr w:type="spellEnd"/>
      <w:r w:rsidRPr="003037D2">
        <w:rPr>
          <w:rFonts w:ascii="Garamond" w:hAnsi="Garamond"/>
        </w:rPr>
        <w:t xml:space="preserve">, and as long at once. It is therefore the Care, and Policy, of many, that they may </w:t>
      </w:r>
      <w:proofErr w:type="spellStart"/>
      <w:r w:rsidRPr="003037D2">
        <w:rPr>
          <w:rFonts w:ascii="Garamond" w:hAnsi="Garamond"/>
        </w:rPr>
        <w:t>keepe</w:t>
      </w:r>
      <w:proofErr w:type="spellEnd"/>
      <w:r w:rsidRPr="003037D2">
        <w:rPr>
          <w:rFonts w:ascii="Garamond" w:hAnsi="Garamond"/>
        </w:rPr>
        <w:t xml:space="preserve"> the credit which they get </w:t>
      </w:r>
      <w:proofErr w:type="spellStart"/>
      <w:r w:rsidRPr="003037D2">
        <w:rPr>
          <w:rFonts w:ascii="Garamond" w:hAnsi="Garamond"/>
        </w:rPr>
        <w:t>amoungst</w:t>
      </w:r>
      <w:proofErr w:type="spellEnd"/>
      <w:r w:rsidRPr="003037D2">
        <w:rPr>
          <w:rFonts w:ascii="Garamond" w:hAnsi="Garamond"/>
        </w:rPr>
        <w:t xml:space="preserve"> their </w:t>
      </w:r>
      <w:proofErr w:type="spellStart"/>
      <w:r w:rsidRPr="003037D2">
        <w:rPr>
          <w:rFonts w:ascii="Garamond" w:hAnsi="Garamond"/>
        </w:rPr>
        <w:t>Auditours</w:t>
      </w:r>
      <w:proofErr w:type="spellEnd"/>
      <w:r w:rsidRPr="003037D2">
        <w:rPr>
          <w:rFonts w:ascii="Garamond" w:hAnsi="Garamond"/>
        </w:rPr>
        <w:t xml:space="preserve"> by Preaching, to </w:t>
      </w:r>
      <w:proofErr w:type="spellStart"/>
      <w:r w:rsidRPr="003037D2">
        <w:rPr>
          <w:rFonts w:ascii="Garamond" w:hAnsi="Garamond"/>
        </w:rPr>
        <w:t>keepe</w:t>
      </w:r>
      <w:proofErr w:type="spellEnd"/>
      <w:r w:rsidRPr="003037D2">
        <w:rPr>
          <w:rFonts w:ascii="Garamond" w:hAnsi="Garamond"/>
        </w:rPr>
        <w:t xml:space="preserve"> themselves from penning of their Sermons, lest they lose it by critical Readers.</w:t>
      </w:r>
      <w:r w:rsidRPr="003037D2">
        <w:rPr>
          <w:rStyle w:val="FootnoteReference"/>
          <w:rFonts w:ascii="Garamond" w:hAnsi="Garamond"/>
        </w:rPr>
        <w:footnoteReference w:id="677"/>
      </w:r>
    </w:p>
    <w:p w14:paraId="5EC95FB6" w14:textId="77777777" w:rsidR="00667CD5" w:rsidRPr="003037D2" w:rsidRDefault="00667CD5" w:rsidP="00162224">
      <w:pPr>
        <w:ind w:left="737" w:right="737"/>
        <w:rPr>
          <w:rFonts w:ascii="Garamond" w:hAnsi="Garamond"/>
        </w:rPr>
      </w:pPr>
    </w:p>
    <w:p w14:paraId="4B1B0F6A" w14:textId="77777777" w:rsidR="00162224" w:rsidRPr="003037D2" w:rsidRDefault="00162224" w:rsidP="00162224">
      <w:pPr>
        <w:spacing w:line="360" w:lineRule="auto"/>
        <w:rPr>
          <w:rFonts w:ascii="Garamond" w:hAnsi="Garamond"/>
        </w:rPr>
      </w:pPr>
      <w:r w:rsidRPr="003037D2">
        <w:rPr>
          <w:rFonts w:ascii="Garamond" w:hAnsi="Garamond"/>
        </w:rPr>
        <w:t xml:space="preserve">Willan sees the difference between the printed and the spoken word as the result of the way in which writing can be repeatedly interrogated by the reader. Whilst spoken words fly past, and can thus pass as acceptable, printed words can be placed under more scrutiny. This is at once a danger and an opportunity, as whilst any shortcomings in the original text becomes painfully obvious the reader </w:t>
      </w:r>
      <w:proofErr w:type="gramStart"/>
      <w:r w:rsidRPr="003037D2">
        <w:rPr>
          <w:rFonts w:ascii="Garamond" w:hAnsi="Garamond"/>
        </w:rPr>
        <w:t>is able to</w:t>
      </w:r>
      <w:proofErr w:type="gramEnd"/>
      <w:r w:rsidRPr="003037D2">
        <w:rPr>
          <w:rFonts w:ascii="Garamond" w:hAnsi="Garamond"/>
        </w:rPr>
        <w:t xml:space="preserve"> return to them at will, availing themselves of their ‘curiosity’. As the reader re-reads the sermon it becomes removed from its original occasion, perhaps losing its freshness and vitality by becoming removed from the event of preaching.   </w:t>
      </w:r>
    </w:p>
    <w:p w14:paraId="682B3869" w14:textId="77777777" w:rsidR="00162224" w:rsidRPr="003037D2" w:rsidRDefault="00162224" w:rsidP="00162224">
      <w:pPr>
        <w:spacing w:line="360" w:lineRule="auto"/>
        <w:rPr>
          <w:rFonts w:ascii="Garamond" w:hAnsi="Garamond"/>
        </w:rPr>
      </w:pPr>
    </w:p>
    <w:p w14:paraId="5D200B5B" w14:textId="6006FA5C" w:rsidR="00162224" w:rsidRPr="003037D2" w:rsidRDefault="00162224" w:rsidP="00162224">
      <w:pPr>
        <w:spacing w:line="360" w:lineRule="auto"/>
        <w:ind w:firstLine="720"/>
        <w:rPr>
          <w:rFonts w:ascii="Garamond" w:hAnsi="Garamond" w:cs="Times New Roman"/>
        </w:rPr>
      </w:pPr>
      <w:r w:rsidRPr="003037D2">
        <w:rPr>
          <w:rFonts w:ascii="Garamond" w:hAnsi="Garamond" w:cs="Times New Roman"/>
        </w:rPr>
        <w:t xml:space="preserve">Of the sermon title pages surveyed, 61% gave information about the status of the preacher, mainly the location of their living, or their role in the court. (See </w:t>
      </w:r>
      <w:r w:rsidRPr="003037D2">
        <w:rPr>
          <w:rFonts w:ascii="Garamond" w:hAnsi="Garamond" w:cs="Times New Roman"/>
        </w:rPr>
        <w:fldChar w:fldCharType="begin"/>
      </w:r>
      <w:r w:rsidRPr="003037D2">
        <w:rPr>
          <w:rFonts w:ascii="Garamond" w:hAnsi="Garamond" w:cs="Times New Roman"/>
        </w:rPr>
        <w:instrText xml:space="preserve"> REF _Ref513911276 \h  \* MERGEFORMAT </w:instrText>
      </w:r>
      <w:r w:rsidRPr="003037D2">
        <w:rPr>
          <w:rFonts w:ascii="Garamond" w:hAnsi="Garamond" w:cs="Times New Roman"/>
        </w:rPr>
      </w:r>
      <w:r w:rsidRPr="003037D2">
        <w:rPr>
          <w:rFonts w:ascii="Garamond" w:hAnsi="Garamond" w:cs="Times New Roman"/>
        </w:rPr>
        <w:fldChar w:fldCharType="separate"/>
      </w:r>
      <w:r w:rsidR="001117A3" w:rsidRPr="003037D2">
        <w:rPr>
          <w:rFonts w:ascii="Garamond" w:hAnsi="Garamond"/>
        </w:rPr>
        <w:t xml:space="preserve">Figure </w:t>
      </w:r>
      <w:r w:rsidR="001117A3" w:rsidRPr="003037D2">
        <w:rPr>
          <w:rFonts w:ascii="Garamond" w:hAnsi="Garamond"/>
          <w:noProof/>
        </w:rPr>
        <w:t>55</w:t>
      </w:r>
      <w:r w:rsidRPr="003037D2">
        <w:rPr>
          <w:rFonts w:ascii="Garamond" w:hAnsi="Garamond" w:cs="Times New Roman"/>
        </w:rPr>
        <w:fldChar w:fldCharType="end"/>
      </w:r>
      <w:r w:rsidRPr="003037D2">
        <w:rPr>
          <w:rFonts w:ascii="Garamond" w:hAnsi="Garamond" w:cs="Times New Roman"/>
        </w:rPr>
        <w:t xml:space="preserve"> and </w:t>
      </w:r>
      <w:r w:rsidRPr="003037D2">
        <w:rPr>
          <w:rFonts w:ascii="Garamond" w:hAnsi="Garamond" w:cs="Times New Roman"/>
        </w:rPr>
        <w:fldChar w:fldCharType="begin"/>
      </w:r>
      <w:r w:rsidRPr="003037D2">
        <w:rPr>
          <w:rFonts w:ascii="Garamond" w:hAnsi="Garamond" w:cs="Times New Roman"/>
        </w:rPr>
        <w:instrText xml:space="preserve"> REF _Ref513911278 \h  \* MERGEFORMAT </w:instrText>
      </w:r>
      <w:r w:rsidRPr="003037D2">
        <w:rPr>
          <w:rFonts w:ascii="Garamond" w:hAnsi="Garamond" w:cs="Times New Roman"/>
        </w:rPr>
      </w:r>
      <w:r w:rsidRPr="003037D2">
        <w:rPr>
          <w:rFonts w:ascii="Garamond" w:hAnsi="Garamond" w:cs="Times New Roman"/>
        </w:rPr>
        <w:fldChar w:fldCharType="separate"/>
      </w:r>
      <w:r w:rsidR="001117A3" w:rsidRPr="003037D2">
        <w:rPr>
          <w:rFonts w:ascii="Garamond" w:hAnsi="Garamond"/>
        </w:rPr>
        <w:t xml:space="preserve">Figure </w:t>
      </w:r>
      <w:r w:rsidR="001117A3" w:rsidRPr="003037D2">
        <w:rPr>
          <w:rFonts w:ascii="Garamond" w:hAnsi="Garamond"/>
          <w:noProof/>
        </w:rPr>
        <w:t>56</w:t>
      </w:r>
      <w:r w:rsidRPr="003037D2">
        <w:rPr>
          <w:rFonts w:ascii="Garamond" w:hAnsi="Garamond" w:cs="Times New Roman"/>
        </w:rPr>
        <w:fldChar w:fldCharType="end"/>
      </w:r>
      <w:r w:rsidR="00ED0F4C">
        <w:rPr>
          <w:rFonts w:ascii="Garamond" w:hAnsi="Garamond" w:cs="Times New Roman"/>
        </w:rPr>
        <w:t>.</w:t>
      </w:r>
      <w:r w:rsidRPr="003037D2">
        <w:rPr>
          <w:rFonts w:ascii="Garamond" w:hAnsi="Garamond" w:cs="Times New Roman"/>
        </w:rPr>
        <w:t xml:space="preserve">) This points to the other way which sermons could advertise their worth: interwoven with the identity and persona of the preacher. Unlike plays, sermons were normally written and performed by the same person, at least in printed witnesses. It is worth bearing in mind that preachers may have reused sermons over the years. Emma </w:t>
      </w:r>
      <w:proofErr w:type="spellStart"/>
      <w:r w:rsidRPr="003037D2">
        <w:rPr>
          <w:rFonts w:ascii="Garamond" w:hAnsi="Garamond" w:cs="Times New Roman"/>
        </w:rPr>
        <w:t>Rhatigan</w:t>
      </w:r>
      <w:proofErr w:type="spellEnd"/>
      <w:r w:rsidRPr="003037D2">
        <w:rPr>
          <w:rFonts w:ascii="Garamond" w:hAnsi="Garamond" w:cs="Times New Roman"/>
        </w:rPr>
        <w:t xml:space="preserve"> has uncovered evidence that Donne’s Lincoln’s Inn sermon on Colossians 1.24 may have been re-preached in Chelsea in 1625.</w:t>
      </w:r>
      <w:r w:rsidRPr="003037D2">
        <w:rPr>
          <w:rStyle w:val="FootnoteReference"/>
          <w:rFonts w:ascii="Garamond" w:hAnsi="Garamond" w:cs="Times New Roman"/>
        </w:rPr>
        <w:footnoteReference w:id="678"/>
      </w:r>
      <w:r w:rsidRPr="003037D2">
        <w:rPr>
          <w:rFonts w:ascii="Garamond" w:hAnsi="Garamond" w:cs="Times New Roman"/>
        </w:rPr>
        <w:t xml:space="preserve">  </w:t>
      </w:r>
      <w:proofErr w:type="spellStart"/>
      <w:r w:rsidRPr="003037D2">
        <w:rPr>
          <w:rFonts w:ascii="Garamond" w:hAnsi="Garamond" w:cs="Times New Roman"/>
        </w:rPr>
        <w:t>Rhatigan</w:t>
      </w:r>
      <w:proofErr w:type="spellEnd"/>
      <w:r w:rsidRPr="003037D2">
        <w:rPr>
          <w:rFonts w:ascii="Garamond" w:hAnsi="Garamond" w:cs="Times New Roman"/>
        </w:rPr>
        <w:t xml:space="preserve"> suggests that Donne likely removed the opening discussion of the controversial doctrine of supererogation, </w:t>
      </w:r>
      <w:r w:rsidRPr="003037D2">
        <w:rPr>
          <w:rFonts w:ascii="Garamond" w:hAnsi="Garamond" w:cs="Times New Roman"/>
        </w:rPr>
        <w:lastRenderedPageBreak/>
        <w:t>and instead appended an introductory passage offering consolation to his London congregation in the aftermath of an outbreak of plague that had killed 35,000 people.</w:t>
      </w:r>
      <w:r w:rsidRPr="003037D2">
        <w:rPr>
          <w:rStyle w:val="FootnoteReference"/>
          <w:rFonts w:ascii="Garamond" w:hAnsi="Garamond" w:cs="Times New Roman"/>
        </w:rPr>
        <w:footnoteReference w:id="679"/>
      </w:r>
      <w:r w:rsidRPr="003037D2">
        <w:rPr>
          <w:rFonts w:ascii="Garamond" w:hAnsi="Garamond" w:cs="Times New Roman"/>
        </w:rPr>
        <w:t xml:space="preserve"> Indeed, when Donne wrote to Sir Thomas Roe with the news that he was revising his sermon manuscripts, he states that this is so his son or ‘</w:t>
      </w:r>
      <w:proofErr w:type="spellStart"/>
      <w:r w:rsidRPr="003037D2">
        <w:rPr>
          <w:rFonts w:ascii="Garamond" w:hAnsi="Garamond" w:cs="Times New Roman"/>
        </w:rPr>
        <w:t>someother</w:t>
      </w:r>
      <w:proofErr w:type="spellEnd"/>
      <w:r w:rsidRPr="003037D2">
        <w:rPr>
          <w:rFonts w:ascii="Garamond" w:hAnsi="Garamond" w:cs="Times New Roman"/>
        </w:rPr>
        <w:t xml:space="preserve"> in the world of middle </w:t>
      </w:r>
      <w:proofErr w:type="spellStart"/>
      <w:r w:rsidRPr="003037D2">
        <w:rPr>
          <w:rFonts w:ascii="Garamond" w:hAnsi="Garamond" w:cs="Times New Roman"/>
        </w:rPr>
        <w:t>understandinge</w:t>
      </w:r>
      <w:proofErr w:type="spellEnd"/>
      <w:r w:rsidRPr="003037D2">
        <w:rPr>
          <w:rFonts w:ascii="Garamond" w:hAnsi="Garamond" w:cs="Times New Roman"/>
        </w:rPr>
        <w:t>’ can ‘make some use’ of them – presumably either re-preaching them entirely or using them as the basis to write new sermons entirely.</w:t>
      </w:r>
      <w:r w:rsidRPr="003037D2">
        <w:rPr>
          <w:rStyle w:val="FootnoteReference"/>
          <w:rFonts w:ascii="Garamond" w:hAnsi="Garamond" w:cs="Times New Roman"/>
        </w:rPr>
        <w:footnoteReference w:id="680"/>
      </w:r>
      <w:r w:rsidRPr="003037D2">
        <w:rPr>
          <w:rFonts w:ascii="Garamond" w:hAnsi="Garamond" w:cs="Times New Roman"/>
        </w:rPr>
        <w:t xml:space="preserve"> Manuscript sermons provide ample evidence of sermons being re-preached, particularly in the provinces. A series of twenty manuscript sermons by preachers from the Wilson and Alderson families record the dates that they were preached upon in a variety of hands. These preachers gave sermons at Sheffield Parish church and churches in the surrounding villages of </w:t>
      </w:r>
      <w:proofErr w:type="spellStart"/>
      <w:r w:rsidRPr="003037D2">
        <w:rPr>
          <w:rFonts w:ascii="Garamond" w:hAnsi="Garamond" w:cs="Times New Roman"/>
        </w:rPr>
        <w:t>Tickhill</w:t>
      </w:r>
      <w:proofErr w:type="spellEnd"/>
      <w:r w:rsidRPr="003037D2">
        <w:rPr>
          <w:rFonts w:ascii="Garamond" w:hAnsi="Garamond" w:cs="Times New Roman"/>
        </w:rPr>
        <w:t xml:space="preserve">, Laughton and </w:t>
      </w:r>
      <w:proofErr w:type="spellStart"/>
      <w:r w:rsidRPr="003037D2">
        <w:rPr>
          <w:rFonts w:ascii="Garamond" w:hAnsi="Garamond" w:cs="Times New Roman"/>
        </w:rPr>
        <w:t>Bolsterstone</w:t>
      </w:r>
      <w:proofErr w:type="spellEnd"/>
      <w:r w:rsidRPr="003037D2">
        <w:rPr>
          <w:rFonts w:ascii="Garamond" w:hAnsi="Garamond" w:cs="Times New Roman"/>
        </w:rPr>
        <w:t xml:space="preserve">. One on Matthew 25.1-2 lists five </w:t>
      </w:r>
      <w:proofErr w:type="spellStart"/>
      <w:r w:rsidRPr="003037D2">
        <w:rPr>
          <w:rFonts w:ascii="Garamond" w:hAnsi="Garamond" w:cs="Times New Roman"/>
        </w:rPr>
        <w:t>preachings</w:t>
      </w:r>
      <w:proofErr w:type="spellEnd"/>
      <w:r w:rsidRPr="003037D2">
        <w:rPr>
          <w:rFonts w:ascii="Garamond" w:hAnsi="Garamond" w:cs="Times New Roman"/>
        </w:rPr>
        <w:t xml:space="preserve"> given over four decades, the first on the 29</w:t>
      </w:r>
      <w:r w:rsidRPr="003037D2">
        <w:rPr>
          <w:rFonts w:ascii="Garamond" w:hAnsi="Garamond" w:cs="Times New Roman"/>
          <w:vertAlign w:val="superscript"/>
        </w:rPr>
        <w:t>th</w:t>
      </w:r>
      <w:r w:rsidRPr="003037D2">
        <w:rPr>
          <w:rFonts w:ascii="Garamond" w:hAnsi="Garamond" w:cs="Times New Roman"/>
        </w:rPr>
        <w:t xml:space="preserve"> June 1707 and the last on the 17</w:t>
      </w:r>
      <w:r w:rsidRPr="003037D2">
        <w:rPr>
          <w:rFonts w:ascii="Garamond" w:hAnsi="Garamond" w:cs="Times New Roman"/>
          <w:vertAlign w:val="superscript"/>
        </w:rPr>
        <w:t>th</w:t>
      </w:r>
      <w:r w:rsidRPr="003037D2">
        <w:rPr>
          <w:rFonts w:ascii="Garamond" w:hAnsi="Garamond" w:cs="Times New Roman"/>
        </w:rPr>
        <w:t xml:space="preserve"> July 1741.</w:t>
      </w:r>
      <w:r w:rsidRPr="003037D2">
        <w:rPr>
          <w:rStyle w:val="FootnoteReference"/>
          <w:rFonts w:ascii="Garamond" w:hAnsi="Garamond" w:cs="Times New Roman"/>
        </w:rPr>
        <w:footnoteReference w:id="681"/>
      </w:r>
      <w:r w:rsidRPr="003037D2">
        <w:rPr>
          <w:rFonts w:ascii="Garamond" w:hAnsi="Garamond" w:cs="Times New Roman"/>
        </w:rPr>
        <w:t xml:space="preserve"> The different hands used to record these dates, and the span of years, suggests that the sermons were </w:t>
      </w:r>
      <w:proofErr w:type="spellStart"/>
      <w:r w:rsidRPr="003037D2">
        <w:rPr>
          <w:rFonts w:ascii="Garamond" w:hAnsi="Garamond" w:cs="Times New Roman"/>
        </w:rPr>
        <w:t>repreached</w:t>
      </w:r>
      <w:proofErr w:type="spellEnd"/>
      <w:r w:rsidRPr="003037D2">
        <w:rPr>
          <w:rFonts w:ascii="Garamond" w:hAnsi="Garamond" w:cs="Times New Roman"/>
        </w:rPr>
        <w:t xml:space="preserve"> by different preachers. Similarly, Reverend Francis </w:t>
      </w:r>
      <w:proofErr w:type="spellStart"/>
      <w:r w:rsidRPr="003037D2">
        <w:rPr>
          <w:rFonts w:ascii="Garamond" w:hAnsi="Garamond" w:cs="Times New Roman"/>
        </w:rPr>
        <w:t>Nevile’s</w:t>
      </w:r>
      <w:proofErr w:type="spellEnd"/>
      <w:r w:rsidRPr="003037D2">
        <w:rPr>
          <w:rFonts w:ascii="Garamond" w:hAnsi="Garamond" w:cs="Times New Roman"/>
        </w:rPr>
        <w:t xml:space="preserve"> sermon book has a number of sermons with dates of preaching given after his death in 1707, most notably a funeral sermon for ‘my good friend Rich[</w:t>
      </w:r>
      <w:proofErr w:type="spellStart"/>
      <w:r w:rsidRPr="003037D2">
        <w:rPr>
          <w:rFonts w:ascii="Garamond" w:hAnsi="Garamond" w:cs="Times New Roman"/>
        </w:rPr>
        <w:t>ard</w:t>
      </w:r>
      <w:proofErr w:type="spellEnd"/>
      <w:r w:rsidRPr="003037D2">
        <w:rPr>
          <w:rFonts w:ascii="Garamond" w:hAnsi="Garamond" w:cs="Times New Roman"/>
        </w:rPr>
        <w:t>] Clayton’ on 1 Corinthians 15.57, first preached on the 18</w:t>
      </w:r>
      <w:r w:rsidRPr="003037D2">
        <w:rPr>
          <w:rFonts w:ascii="Garamond" w:hAnsi="Garamond" w:cs="Times New Roman"/>
          <w:vertAlign w:val="superscript"/>
        </w:rPr>
        <w:t xml:space="preserve">th </w:t>
      </w:r>
      <w:r w:rsidRPr="003037D2">
        <w:rPr>
          <w:rFonts w:ascii="Garamond" w:hAnsi="Garamond" w:cs="Times New Roman"/>
        </w:rPr>
        <w:t>January 1703, and then preached nine more times over the next nine years, with extra passages on Revelations 2.30 and 1 Peter 1.3-4 inserted for certain renditions.</w:t>
      </w:r>
      <w:r w:rsidRPr="003037D2">
        <w:rPr>
          <w:rStyle w:val="FootnoteReference"/>
          <w:rFonts w:ascii="Garamond" w:hAnsi="Garamond" w:cs="Times New Roman"/>
        </w:rPr>
        <w:footnoteReference w:id="682"/>
      </w:r>
      <w:r w:rsidRPr="003037D2">
        <w:rPr>
          <w:rFonts w:ascii="Garamond" w:hAnsi="Garamond" w:cs="Times New Roman"/>
        </w:rPr>
        <w:t xml:space="preserve"> It seems likely that Francis’s brother </w:t>
      </w:r>
      <w:proofErr w:type="spellStart"/>
      <w:r w:rsidRPr="003037D2">
        <w:rPr>
          <w:rFonts w:ascii="Garamond" w:hAnsi="Garamond" w:cs="Times New Roman"/>
        </w:rPr>
        <w:t>Gervasse</w:t>
      </w:r>
      <w:proofErr w:type="spellEnd"/>
      <w:r w:rsidRPr="003037D2">
        <w:rPr>
          <w:rFonts w:ascii="Garamond" w:hAnsi="Garamond" w:cs="Times New Roman"/>
        </w:rPr>
        <w:t xml:space="preserve"> </w:t>
      </w:r>
      <w:proofErr w:type="spellStart"/>
      <w:r w:rsidRPr="003037D2">
        <w:rPr>
          <w:rFonts w:ascii="Garamond" w:hAnsi="Garamond" w:cs="Times New Roman"/>
        </w:rPr>
        <w:t>Nevile</w:t>
      </w:r>
      <w:proofErr w:type="spellEnd"/>
      <w:r w:rsidRPr="003037D2">
        <w:rPr>
          <w:rFonts w:ascii="Garamond" w:hAnsi="Garamond" w:cs="Times New Roman"/>
        </w:rPr>
        <w:t>, another vicar at Bingley</w:t>
      </w:r>
      <w:r w:rsidR="001F1F6B" w:rsidRPr="003037D2">
        <w:rPr>
          <w:rFonts w:ascii="Garamond" w:hAnsi="Garamond" w:cs="Times New Roman"/>
        </w:rPr>
        <w:t>,</w:t>
      </w:r>
      <w:r w:rsidRPr="003037D2">
        <w:rPr>
          <w:rFonts w:ascii="Garamond" w:hAnsi="Garamond" w:cs="Times New Roman"/>
        </w:rPr>
        <w:t xml:space="preserve"> reused his sermon notes following his death. However, when a sermon is printed, the name of the preacher who wrote and delivered it originally is nearly always highlighted. Indeed, of the nearly a thousand sermon title pages that I reviewed, it was notable that the preacher’s name was nearly always included, unless the sermon was </w:t>
      </w:r>
      <w:r w:rsidR="00470D01">
        <w:rPr>
          <w:rFonts w:ascii="Garamond" w:hAnsi="Garamond" w:cs="Times New Roman"/>
        </w:rPr>
        <w:t xml:space="preserve">illicit </w:t>
      </w:r>
      <w:r w:rsidR="003B1071" w:rsidRPr="003037D2">
        <w:rPr>
          <w:rFonts w:ascii="Garamond" w:hAnsi="Garamond" w:cs="Times New Roman"/>
        </w:rPr>
        <w:t>or</w:t>
      </w:r>
      <w:r w:rsidR="00470D01">
        <w:rPr>
          <w:rFonts w:ascii="Garamond" w:hAnsi="Garamond" w:cs="Times New Roman"/>
        </w:rPr>
        <w:t>,</w:t>
      </w:r>
      <w:r w:rsidR="003B1071" w:rsidRPr="003037D2">
        <w:rPr>
          <w:rFonts w:ascii="Garamond" w:hAnsi="Garamond" w:cs="Times New Roman"/>
        </w:rPr>
        <w:t xml:space="preserve"> in the case of the 1641 </w:t>
      </w:r>
      <w:proofErr w:type="spellStart"/>
      <w:r w:rsidR="003B1071" w:rsidRPr="003037D2">
        <w:rPr>
          <w:rFonts w:ascii="Garamond" w:hAnsi="Garamond" w:cs="Times New Roman"/>
          <w:i/>
        </w:rPr>
        <w:t>Brownists</w:t>
      </w:r>
      <w:proofErr w:type="spellEnd"/>
      <w:r w:rsidR="003B1071" w:rsidRPr="003037D2">
        <w:rPr>
          <w:rFonts w:ascii="Garamond" w:hAnsi="Garamond" w:cs="Times New Roman"/>
          <w:i/>
        </w:rPr>
        <w:t xml:space="preserve"> Conventicle, </w:t>
      </w:r>
      <w:r w:rsidR="003B1071" w:rsidRPr="003037D2">
        <w:rPr>
          <w:rFonts w:ascii="Garamond" w:hAnsi="Garamond" w:cs="Times New Roman"/>
        </w:rPr>
        <w:t>a parody of such an event. This volume</w:t>
      </w:r>
      <w:r w:rsidRPr="003037D2">
        <w:rPr>
          <w:rFonts w:ascii="Garamond" w:hAnsi="Garamond" w:cs="Times New Roman"/>
        </w:rPr>
        <w:t xml:space="preserve"> records a sermon given in ‘a private house… </w:t>
      </w:r>
      <w:proofErr w:type="spellStart"/>
      <w:r w:rsidRPr="003037D2">
        <w:rPr>
          <w:rFonts w:ascii="Garamond" w:hAnsi="Garamond" w:cs="Times New Roman"/>
        </w:rPr>
        <w:t>neere</w:t>
      </w:r>
      <w:proofErr w:type="spellEnd"/>
      <w:r w:rsidRPr="003037D2">
        <w:rPr>
          <w:rFonts w:ascii="Garamond" w:hAnsi="Garamond" w:cs="Times New Roman"/>
        </w:rPr>
        <w:t xml:space="preserve"> </w:t>
      </w:r>
      <w:proofErr w:type="spellStart"/>
      <w:r w:rsidRPr="003037D2">
        <w:rPr>
          <w:rFonts w:ascii="Garamond" w:hAnsi="Garamond" w:cs="Times New Roman"/>
          <w:i/>
          <w:iCs/>
        </w:rPr>
        <w:t>Algate</w:t>
      </w:r>
      <w:proofErr w:type="spellEnd"/>
      <w:r w:rsidRPr="003037D2">
        <w:rPr>
          <w:rFonts w:ascii="Garamond" w:hAnsi="Garamond" w:cs="Times New Roman"/>
          <w:i/>
          <w:iCs/>
        </w:rPr>
        <w:t xml:space="preserve">’ </w:t>
      </w:r>
      <w:r w:rsidRPr="003037D2">
        <w:rPr>
          <w:rFonts w:ascii="Garamond" w:hAnsi="Garamond" w:cs="Times New Roman"/>
        </w:rPr>
        <w:t xml:space="preserve">by ‘a brother of theirs… being a learned </w:t>
      </w:r>
      <w:r w:rsidRPr="003037D2">
        <w:rPr>
          <w:rFonts w:ascii="Garamond" w:hAnsi="Garamond" w:cs="Times New Roman"/>
          <w:i/>
          <w:iCs/>
        </w:rPr>
        <w:t xml:space="preserve">Felt-maker’ </w:t>
      </w:r>
      <w:r w:rsidRPr="003037D2">
        <w:rPr>
          <w:rFonts w:ascii="Garamond" w:hAnsi="Garamond" w:cs="Times New Roman"/>
        </w:rPr>
        <w:t>.</w:t>
      </w:r>
      <w:r w:rsidRPr="003037D2">
        <w:rPr>
          <w:rStyle w:val="FootnoteReference"/>
          <w:rFonts w:ascii="Garamond" w:hAnsi="Garamond" w:cs="Times New Roman"/>
        </w:rPr>
        <w:footnoteReference w:id="683"/>
      </w:r>
      <w:r w:rsidRPr="003037D2">
        <w:rPr>
          <w:rFonts w:ascii="Garamond" w:hAnsi="Garamond" w:cs="Times New Roman"/>
          <w:i/>
          <w:iCs/>
        </w:rPr>
        <w:t xml:space="preserve"> </w:t>
      </w:r>
      <w:r w:rsidRPr="003037D2">
        <w:rPr>
          <w:rFonts w:ascii="Garamond" w:hAnsi="Garamond" w:cs="Times New Roman"/>
        </w:rPr>
        <w:t xml:space="preserve">The decidedly ungodly nature of this sermon was highlighted by the list of worldly tradesmen who heard it, ‘Button-makers, </w:t>
      </w:r>
      <w:proofErr w:type="spellStart"/>
      <w:r w:rsidRPr="003037D2">
        <w:rPr>
          <w:rFonts w:ascii="Garamond" w:hAnsi="Garamond" w:cs="Times New Roman"/>
        </w:rPr>
        <w:t>Translaters</w:t>
      </w:r>
      <w:proofErr w:type="spellEnd"/>
      <w:r w:rsidRPr="003037D2">
        <w:rPr>
          <w:rFonts w:ascii="Garamond" w:hAnsi="Garamond" w:cs="Times New Roman"/>
        </w:rPr>
        <w:t>, Weavers, Bo-</w:t>
      </w:r>
      <w:r w:rsidRPr="003037D2">
        <w:rPr>
          <w:rFonts w:ascii="Garamond" w:hAnsi="Garamond" w:cs="Times New Roman"/>
        </w:rPr>
        <w:lastRenderedPageBreak/>
        <w:t>makers’ and the peculiar wood-cut which illustrates it, with a couple embracing in a corridor next to a room where the ‘</w:t>
      </w:r>
      <w:proofErr w:type="spellStart"/>
      <w:r w:rsidRPr="003037D2">
        <w:rPr>
          <w:rFonts w:ascii="Garamond" w:hAnsi="Garamond" w:cs="Times New Roman"/>
        </w:rPr>
        <w:t>Brownists</w:t>
      </w:r>
      <w:proofErr w:type="spellEnd"/>
      <w:r w:rsidRPr="003037D2">
        <w:rPr>
          <w:rFonts w:ascii="Garamond" w:hAnsi="Garamond" w:cs="Times New Roman"/>
        </w:rPr>
        <w:t>’ are gathered for dinner.</w:t>
      </w:r>
      <w:r w:rsidRPr="003037D2">
        <w:rPr>
          <w:rStyle w:val="FootnoteReference"/>
          <w:rFonts w:ascii="Garamond" w:hAnsi="Garamond" w:cs="Times New Roman"/>
        </w:rPr>
        <w:footnoteReference w:id="684"/>
      </w:r>
      <w:r w:rsidRPr="003037D2">
        <w:rPr>
          <w:rFonts w:ascii="Garamond" w:hAnsi="Garamond" w:cs="Times New Roman"/>
        </w:rPr>
        <w:t xml:space="preserve">  (See </w:t>
      </w:r>
      <w:r w:rsidRPr="003037D2">
        <w:rPr>
          <w:rFonts w:ascii="Garamond" w:hAnsi="Garamond" w:cs="Times New Roman"/>
        </w:rPr>
        <w:fldChar w:fldCharType="begin"/>
      </w:r>
      <w:r w:rsidRPr="003037D2">
        <w:rPr>
          <w:rFonts w:ascii="Garamond" w:hAnsi="Garamond" w:cs="Times New Roman"/>
        </w:rPr>
        <w:instrText xml:space="preserve"> REF _Ref513901614 \h  \* MERGEFORMAT </w:instrText>
      </w:r>
      <w:r w:rsidRPr="003037D2">
        <w:rPr>
          <w:rFonts w:ascii="Garamond" w:hAnsi="Garamond" w:cs="Times New Roman"/>
        </w:rPr>
      </w:r>
      <w:r w:rsidRPr="003037D2">
        <w:rPr>
          <w:rFonts w:ascii="Garamond" w:hAnsi="Garamond" w:cs="Times New Roman"/>
        </w:rPr>
        <w:fldChar w:fldCharType="separate"/>
      </w:r>
      <w:r w:rsidR="001117A3" w:rsidRPr="003037D2">
        <w:rPr>
          <w:rFonts w:ascii="Garamond" w:hAnsi="Garamond"/>
        </w:rPr>
        <w:t xml:space="preserve">Figure </w:t>
      </w:r>
      <w:r w:rsidR="001117A3" w:rsidRPr="003037D2">
        <w:rPr>
          <w:rFonts w:ascii="Garamond" w:hAnsi="Garamond"/>
          <w:noProof/>
        </w:rPr>
        <w:t>57</w:t>
      </w:r>
      <w:r w:rsidRPr="003037D2">
        <w:rPr>
          <w:rFonts w:ascii="Garamond" w:hAnsi="Garamond" w:cs="Times New Roman"/>
        </w:rPr>
        <w:fldChar w:fldCharType="end"/>
      </w:r>
      <w:r w:rsidR="00ED0F4C">
        <w:rPr>
          <w:rFonts w:ascii="Garamond" w:hAnsi="Garamond" w:cs="Times New Roman"/>
        </w:rPr>
        <w:t>.</w:t>
      </w:r>
      <w:r w:rsidRPr="003037D2">
        <w:rPr>
          <w:rFonts w:ascii="Garamond" w:hAnsi="Garamond" w:cs="Times New Roman"/>
        </w:rPr>
        <w:t>)</w:t>
      </w:r>
    </w:p>
    <w:p w14:paraId="31607B86" w14:textId="77777777" w:rsidR="00162224" w:rsidRPr="003037D2" w:rsidRDefault="00162224" w:rsidP="00162224">
      <w:pPr>
        <w:spacing w:line="360" w:lineRule="auto"/>
        <w:ind w:firstLine="720"/>
        <w:rPr>
          <w:rFonts w:ascii="Garamond" w:hAnsi="Garamond" w:cs="Times New Roman"/>
        </w:rPr>
      </w:pPr>
    </w:p>
    <w:p w14:paraId="5D6F98DF" w14:textId="77777777" w:rsidR="00162224" w:rsidRPr="003037D2" w:rsidRDefault="00162224" w:rsidP="00162224">
      <w:pPr>
        <w:spacing w:line="360" w:lineRule="auto"/>
        <w:ind w:firstLine="720"/>
        <w:rPr>
          <w:rFonts w:ascii="Garamond" w:hAnsi="Garamond" w:cs="Times New Roman"/>
        </w:rPr>
      </w:pPr>
      <w:r w:rsidRPr="003037D2">
        <w:rPr>
          <w:rFonts w:ascii="Garamond" w:hAnsi="Garamond" w:cs="Times New Roman"/>
        </w:rPr>
        <w:t xml:space="preserve">The re-preaching of sermon texts is a complication to my argument that a sermon was a one-off event; however, it perhaps speaks to a more general occasionality of the form. A rather later example of how a sermon could be reused can be found in the manuscripts of one Reverend Isaac Walton (crucially not Donne’s biographer) who held a post at Marsden Chapel in Almondsbury, Yorkshire. In this collection can be found a ‘Sermon concerning the pleasure of having the light &amp; the Sun occasioned by a very great eclipse of the sun which happened upon the 22 day of April 1715 preached the 1 of May 1715 in the evening’ on Ecclesiastes 11.7, ‘Truly the light is sweet, and a pleasant thing it is for the eyes to behold the sun’. Notes on the manuscript state that this sermon was ‘preached again Feb 17 1723; preached again with an </w:t>
      </w:r>
      <w:proofErr w:type="spellStart"/>
      <w:r w:rsidRPr="003037D2">
        <w:rPr>
          <w:rFonts w:ascii="Garamond" w:hAnsi="Garamond" w:cs="Times New Roman"/>
        </w:rPr>
        <w:t>serm</w:t>
      </w:r>
      <w:proofErr w:type="spellEnd"/>
      <w:r w:rsidRPr="003037D2">
        <w:rPr>
          <w:rFonts w:ascii="Garamond" w:hAnsi="Garamond" w:cs="Times New Roman"/>
        </w:rPr>
        <w:t>[on] Eccles[</w:t>
      </w:r>
      <w:proofErr w:type="spellStart"/>
      <w:r w:rsidRPr="003037D2">
        <w:rPr>
          <w:rFonts w:ascii="Garamond" w:hAnsi="Garamond" w:cs="Times New Roman"/>
        </w:rPr>
        <w:t>iastes</w:t>
      </w:r>
      <w:proofErr w:type="spellEnd"/>
      <w:r w:rsidRPr="003037D2">
        <w:rPr>
          <w:rFonts w:ascii="Garamond" w:hAnsi="Garamond" w:cs="Times New Roman"/>
        </w:rPr>
        <w:t>] 11.4 on May 17 1724, occasioned by a great eclipse which was on the 11 day of May 1724’.</w:t>
      </w:r>
      <w:r w:rsidRPr="003037D2">
        <w:rPr>
          <w:rStyle w:val="FootnoteReference"/>
          <w:rFonts w:ascii="Garamond" w:hAnsi="Garamond" w:cs="Times New Roman"/>
        </w:rPr>
        <w:footnoteReference w:id="685"/>
      </w:r>
      <w:r w:rsidRPr="003037D2">
        <w:rPr>
          <w:rFonts w:ascii="Garamond" w:hAnsi="Garamond" w:cs="Times New Roman"/>
        </w:rPr>
        <w:t xml:space="preserve"> The presumably fairly irregular occurrence of the eclipse would be an extremely memorable event, and perhaps by preaching the same sermon to </w:t>
      </w:r>
      <w:proofErr w:type="spellStart"/>
      <w:r w:rsidRPr="003037D2">
        <w:rPr>
          <w:rFonts w:ascii="Garamond" w:hAnsi="Garamond" w:cs="Times New Roman"/>
        </w:rPr>
        <w:t>memorialise</w:t>
      </w:r>
      <w:proofErr w:type="spellEnd"/>
      <w:r w:rsidRPr="003037D2">
        <w:rPr>
          <w:rFonts w:ascii="Garamond" w:hAnsi="Garamond" w:cs="Times New Roman"/>
        </w:rPr>
        <w:t xml:space="preserve"> each of these occurrences, Walton sought to provide comfort during a time that likely caused much superstitious fear, as eclipses were seen as evil portents. The re-preaching of a sermon perhaps points to a re-occasioning of the original sermon, with the event playing out at multiple times.   </w:t>
      </w:r>
    </w:p>
    <w:p w14:paraId="1D489102" w14:textId="77777777" w:rsidR="00162224" w:rsidRPr="003037D2" w:rsidRDefault="00162224" w:rsidP="00162224">
      <w:pPr>
        <w:spacing w:line="360" w:lineRule="auto"/>
        <w:ind w:firstLine="720"/>
        <w:rPr>
          <w:rFonts w:ascii="Garamond" w:hAnsi="Garamond" w:cs="Times New Roman"/>
        </w:rPr>
      </w:pPr>
    </w:p>
    <w:p w14:paraId="03EFC615" w14:textId="1A5849A2" w:rsidR="00162224" w:rsidRPr="003037D2" w:rsidRDefault="00162224" w:rsidP="00162224">
      <w:pPr>
        <w:spacing w:line="360" w:lineRule="auto"/>
        <w:ind w:firstLine="720"/>
        <w:rPr>
          <w:rFonts w:ascii="Garamond" w:hAnsi="Garamond" w:cs="Times New Roman"/>
        </w:rPr>
      </w:pPr>
      <w:r w:rsidRPr="003037D2">
        <w:rPr>
          <w:rFonts w:ascii="Garamond" w:hAnsi="Garamond" w:cs="Times New Roman"/>
        </w:rPr>
        <w:t xml:space="preserve">These exceptions only strengthen the link between the text and the author/performer figure of the preacher. Michael </w:t>
      </w:r>
      <w:proofErr w:type="spellStart"/>
      <w:r w:rsidRPr="003037D2">
        <w:rPr>
          <w:rFonts w:ascii="Garamond" w:hAnsi="Garamond" w:cs="Times New Roman"/>
        </w:rPr>
        <w:t>Saenger</w:t>
      </w:r>
      <w:proofErr w:type="spellEnd"/>
      <w:r w:rsidRPr="003037D2">
        <w:rPr>
          <w:rFonts w:ascii="Garamond" w:hAnsi="Garamond" w:cs="Times New Roman"/>
        </w:rPr>
        <w:t xml:space="preserve"> and Peter </w:t>
      </w:r>
      <w:proofErr w:type="spellStart"/>
      <w:r w:rsidRPr="003037D2">
        <w:rPr>
          <w:rFonts w:ascii="Garamond" w:hAnsi="Garamond" w:cs="Times New Roman"/>
        </w:rPr>
        <w:t>Stallybrass</w:t>
      </w:r>
      <w:proofErr w:type="spellEnd"/>
      <w:r w:rsidRPr="003037D2">
        <w:rPr>
          <w:rFonts w:ascii="Garamond" w:hAnsi="Garamond" w:cs="Times New Roman"/>
        </w:rPr>
        <w:t xml:space="preserve"> have produced studies demonstrating the ‘gradual rise of author-without-company and decline of company-without-author attributions’ in published plays during the period.</w:t>
      </w:r>
      <w:r w:rsidRPr="003037D2">
        <w:rPr>
          <w:rStyle w:val="FootnoteReference"/>
          <w:rFonts w:ascii="Garamond" w:hAnsi="Garamond" w:cs="Times New Roman"/>
        </w:rPr>
        <w:footnoteReference w:id="686"/>
      </w:r>
      <w:r w:rsidRPr="003037D2">
        <w:rPr>
          <w:rFonts w:ascii="Garamond" w:hAnsi="Garamond" w:cs="Times New Roman"/>
        </w:rPr>
        <w:t xml:space="preserve"> </w:t>
      </w:r>
      <w:proofErr w:type="spellStart"/>
      <w:r w:rsidRPr="003037D2">
        <w:rPr>
          <w:rFonts w:ascii="Garamond" w:hAnsi="Garamond" w:cs="Times New Roman"/>
        </w:rPr>
        <w:t>Saenger</w:t>
      </w:r>
      <w:proofErr w:type="spellEnd"/>
      <w:r w:rsidRPr="003037D2">
        <w:rPr>
          <w:rFonts w:ascii="Garamond" w:hAnsi="Garamond" w:cs="Times New Roman"/>
        </w:rPr>
        <w:t xml:space="preserve"> writes that ‘the early modern author of printed dramas is eventually recreated as a </w:t>
      </w:r>
      <w:proofErr w:type="spellStart"/>
      <w:r w:rsidRPr="003037D2">
        <w:rPr>
          <w:rFonts w:ascii="Garamond" w:hAnsi="Garamond" w:cs="Times New Roman"/>
        </w:rPr>
        <w:t>dematerialised</w:t>
      </w:r>
      <w:proofErr w:type="spellEnd"/>
      <w:r w:rsidRPr="003037D2">
        <w:rPr>
          <w:rFonts w:ascii="Garamond" w:hAnsi="Garamond" w:cs="Times New Roman"/>
        </w:rPr>
        <w:t xml:space="preserve"> author in print’.</w:t>
      </w:r>
      <w:r w:rsidRPr="003037D2">
        <w:rPr>
          <w:rStyle w:val="FootnoteReference"/>
          <w:rFonts w:ascii="Garamond" w:hAnsi="Garamond" w:cs="Times New Roman"/>
        </w:rPr>
        <w:footnoteReference w:id="687"/>
      </w:r>
      <w:r w:rsidRPr="003037D2">
        <w:rPr>
          <w:rFonts w:ascii="Garamond" w:hAnsi="Garamond" w:cs="Times New Roman"/>
        </w:rPr>
        <w:t xml:space="preserve"> This is posited as the result of how plays increasingly became viewed as ‘literary’ and deserving of an author, and distanced from their theatrical origins. </w:t>
      </w:r>
      <w:proofErr w:type="spellStart"/>
      <w:r w:rsidRPr="003037D2">
        <w:rPr>
          <w:rFonts w:ascii="Garamond" w:hAnsi="Garamond" w:cs="Times New Roman"/>
        </w:rPr>
        <w:t>Saenger</w:t>
      </w:r>
      <w:proofErr w:type="spellEnd"/>
      <w:r w:rsidRPr="003037D2">
        <w:rPr>
          <w:rFonts w:ascii="Garamond" w:hAnsi="Garamond" w:cs="Times New Roman"/>
        </w:rPr>
        <w:t xml:space="preserve"> argues that this focus upon the author may have been </w:t>
      </w:r>
      <w:r w:rsidRPr="003037D2">
        <w:rPr>
          <w:rFonts w:ascii="Garamond" w:hAnsi="Garamond" w:cs="Times New Roman"/>
        </w:rPr>
        <w:lastRenderedPageBreak/>
        <w:t>prompted by the printing of sermons, stating that ‘printers and publishers… were somewhat puzzled by playbooks, and the growth of authorship in these title pages is a gradual process which has as much to do with Andrewes as Jonson, and… the fact that named English preachers were gradually rivalling translated continental Protestants in the English book market’.</w:t>
      </w:r>
      <w:r w:rsidRPr="003037D2">
        <w:rPr>
          <w:rStyle w:val="FootnoteReference"/>
          <w:rFonts w:ascii="Garamond" w:hAnsi="Garamond" w:cs="Times New Roman"/>
        </w:rPr>
        <w:footnoteReference w:id="688"/>
      </w:r>
      <w:r w:rsidRPr="003037D2">
        <w:rPr>
          <w:rFonts w:ascii="Garamond" w:hAnsi="Garamond" w:cs="Times New Roman"/>
        </w:rPr>
        <w:t xml:space="preserve"> In contrast, with sermons the reference to the author </w:t>
      </w:r>
      <w:r w:rsidRPr="003037D2">
        <w:rPr>
          <w:rFonts w:ascii="Garamond" w:hAnsi="Garamond" w:cs="Times New Roman"/>
          <w:i/>
          <w:iCs/>
        </w:rPr>
        <w:t>recalls</w:t>
      </w:r>
      <w:r w:rsidRPr="003037D2">
        <w:rPr>
          <w:rFonts w:ascii="Garamond" w:hAnsi="Garamond" w:cs="Times New Roman"/>
        </w:rPr>
        <w:t xml:space="preserve"> attention to the initial performance, given by the preacher. In debates over the primacy of the spoken and written word, the preacher melds the two, both writer and performer, and </w:t>
      </w:r>
      <w:r w:rsidR="001F1F6B" w:rsidRPr="003037D2">
        <w:rPr>
          <w:rFonts w:ascii="Garamond" w:hAnsi="Garamond" w:cs="Times New Roman"/>
        </w:rPr>
        <w:t xml:space="preserve">is </w:t>
      </w:r>
      <w:r w:rsidRPr="003037D2">
        <w:rPr>
          <w:rFonts w:ascii="Garamond" w:hAnsi="Garamond" w:cs="Times New Roman"/>
        </w:rPr>
        <w:t xml:space="preserve">the more powerful for it. </w:t>
      </w:r>
    </w:p>
    <w:p w14:paraId="208ECAA1" w14:textId="77777777" w:rsidR="00162224" w:rsidRPr="003037D2" w:rsidRDefault="00162224" w:rsidP="00162224">
      <w:pPr>
        <w:spacing w:line="360" w:lineRule="auto"/>
        <w:ind w:firstLine="720"/>
        <w:rPr>
          <w:rFonts w:ascii="Garamond" w:hAnsi="Garamond" w:cs="Times New Roman"/>
        </w:rPr>
      </w:pPr>
    </w:p>
    <w:p w14:paraId="21004268" w14:textId="77777777" w:rsidR="00162224" w:rsidRPr="003037D2" w:rsidRDefault="00162224" w:rsidP="00162224">
      <w:pPr>
        <w:pStyle w:val="Heading4"/>
        <w:numPr>
          <w:ilvl w:val="0"/>
          <w:numId w:val="37"/>
        </w:numPr>
        <w:spacing w:line="360" w:lineRule="auto"/>
        <w:rPr>
          <w:rFonts w:ascii="Garamond" w:hAnsi="Garamond"/>
          <w:i w:val="0"/>
          <w:iCs w:val="0"/>
          <w:color w:val="auto"/>
        </w:rPr>
      </w:pPr>
      <w:r w:rsidRPr="003037D2">
        <w:rPr>
          <w:rFonts w:ascii="Garamond" w:hAnsi="Garamond"/>
          <w:i w:val="0"/>
          <w:iCs w:val="0"/>
          <w:color w:val="auto"/>
        </w:rPr>
        <w:t xml:space="preserve">John Day </w:t>
      </w:r>
    </w:p>
    <w:p w14:paraId="220040F0" w14:textId="77777777" w:rsidR="00162224" w:rsidRPr="003037D2" w:rsidRDefault="00162224" w:rsidP="00162224">
      <w:pPr>
        <w:spacing w:line="360" w:lineRule="auto"/>
        <w:rPr>
          <w:rFonts w:ascii="Garamond" w:hAnsi="Garamond"/>
        </w:rPr>
      </w:pPr>
    </w:p>
    <w:p w14:paraId="7EC7F0A7" w14:textId="7388BF01" w:rsidR="00162224" w:rsidRPr="003037D2" w:rsidRDefault="00162224" w:rsidP="00162224">
      <w:pPr>
        <w:spacing w:line="360" w:lineRule="auto"/>
        <w:rPr>
          <w:rFonts w:ascii="Garamond" w:hAnsi="Garamond" w:cs="Times New Roman"/>
        </w:rPr>
      </w:pPr>
      <w:r w:rsidRPr="003037D2">
        <w:rPr>
          <w:rFonts w:ascii="Garamond" w:hAnsi="Garamond" w:cs="Times New Roman"/>
        </w:rPr>
        <w:tab/>
        <w:t xml:space="preserve">One preacher who explicitly drew on temporal motifs to </w:t>
      </w:r>
      <w:proofErr w:type="spellStart"/>
      <w:r w:rsidRPr="003037D2">
        <w:rPr>
          <w:rFonts w:ascii="Garamond" w:hAnsi="Garamond" w:cs="Times New Roman"/>
        </w:rPr>
        <w:t>publicise</w:t>
      </w:r>
      <w:proofErr w:type="spellEnd"/>
      <w:r w:rsidRPr="003037D2">
        <w:rPr>
          <w:rFonts w:ascii="Garamond" w:hAnsi="Garamond" w:cs="Times New Roman"/>
        </w:rPr>
        <w:t xml:space="preserve"> their works was John Day. Day was the son of the successful evangelist printer, also named John Day, who published works by Hugh Latimer, John </w:t>
      </w:r>
      <w:proofErr w:type="spellStart"/>
      <w:r w:rsidRPr="003037D2">
        <w:rPr>
          <w:rFonts w:ascii="Garamond" w:hAnsi="Garamond" w:cs="Times New Roman"/>
        </w:rPr>
        <w:t>Ponet</w:t>
      </w:r>
      <w:proofErr w:type="spellEnd"/>
      <w:r w:rsidRPr="003037D2">
        <w:rPr>
          <w:rFonts w:ascii="Garamond" w:hAnsi="Garamond" w:cs="Times New Roman"/>
        </w:rPr>
        <w:t xml:space="preserve"> </w:t>
      </w:r>
      <w:r w:rsidR="007C61A3" w:rsidRPr="003037D2">
        <w:rPr>
          <w:rFonts w:ascii="Garamond" w:hAnsi="Garamond" w:cs="Times New Roman"/>
        </w:rPr>
        <w:t xml:space="preserve">and </w:t>
      </w:r>
      <w:r w:rsidRPr="003037D2">
        <w:rPr>
          <w:rFonts w:ascii="Garamond" w:hAnsi="Garamond" w:cs="Times New Roman"/>
        </w:rPr>
        <w:t xml:space="preserve">John Calvin, </w:t>
      </w:r>
      <w:r w:rsidR="007C61A3" w:rsidRPr="003037D2">
        <w:rPr>
          <w:rFonts w:ascii="Garamond" w:hAnsi="Garamond" w:cs="Times New Roman"/>
        </w:rPr>
        <w:t xml:space="preserve">as well as Mathew </w:t>
      </w:r>
      <w:r w:rsidRPr="003037D2">
        <w:rPr>
          <w:rFonts w:ascii="Garamond" w:hAnsi="Garamond" w:cs="Times New Roman"/>
        </w:rPr>
        <w:t xml:space="preserve">Parker’s </w:t>
      </w:r>
      <w:proofErr w:type="spellStart"/>
      <w:r w:rsidRPr="003037D2">
        <w:rPr>
          <w:rFonts w:ascii="Garamond" w:hAnsi="Garamond" w:cs="Times New Roman"/>
        </w:rPr>
        <w:t>pslater</w:t>
      </w:r>
      <w:proofErr w:type="spellEnd"/>
      <w:r w:rsidRPr="003037D2">
        <w:rPr>
          <w:rFonts w:ascii="Garamond" w:hAnsi="Garamond" w:cs="Times New Roman"/>
        </w:rPr>
        <w:t xml:space="preserve"> </w:t>
      </w:r>
      <w:r w:rsidR="007C61A3" w:rsidRPr="003037D2">
        <w:rPr>
          <w:rFonts w:ascii="Garamond" w:hAnsi="Garamond" w:cs="Times New Roman"/>
        </w:rPr>
        <w:t>(</w:t>
      </w:r>
      <w:r w:rsidRPr="003037D2">
        <w:rPr>
          <w:rFonts w:ascii="Garamond" w:hAnsi="Garamond" w:cs="Times New Roman"/>
        </w:rPr>
        <w:t>discussed in Chapter II</w:t>
      </w:r>
      <w:r w:rsidR="007C61A3" w:rsidRPr="003037D2">
        <w:rPr>
          <w:rFonts w:ascii="Garamond" w:hAnsi="Garamond" w:cs="Times New Roman"/>
        </w:rPr>
        <w:t>)</w:t>
      </w:r>
      <w:r w:rsidRPr="003037D2">
        <w:rPr>
          <w:rFonts w:ascii="Garamond" w:hAnsi="Garamond" w:cs="Times New Roman"/>
        </w:rPr>
        <w:t xml:space="preserve">. Day senior also held a monopoly on the </w:t>
      </w:r>
      <w:proofErr w:type="spellStart"/>
      <w:r w:rsidRPr="003037D2">
        <w:rPr>
          <w:rFonts w:ascii="Garamond" w:hAnsi="Garamond" w:cs="Times New Roman"/>
        </w:rPr>
        <w:t>Sternhold</w:t>
      </w:r>
      <w:proofErr w:type="spellEnd"/>
      <w:r w:rsidRPr="003037D2">
        <w:rPr>
          <w:rFonts w:ascii="Garamond" w:hAnsi="Garamond" w:cs="Times New Roman"/>
        </w:rPr>
        <w:t xml:space="preserve"> and Hopkins Psalter and the </w:t>
      </w:r>
      <w:r w:rsidRPr="003037D2">
        <w:rPr>
          <w:rFonts w:ascii="Garamond" w:hAnsi="Garamond" w:cs="Times New Roman"/>
          <w:i/>
          <w:iCs/>
        </w:rPr>
        <w:t xml:space="preserve">ABC with Little Catechism. </w:t>
      </w:r>
      <w:r w:rsidRPr="003037D2">
        <w:rPr>
          <w:rFonts w:ascii="Garamond" w:hAnsi="Garamond" w:cs="Times New Roman"/>
        </w:rPr>
        <w:t xml:space="preserve">This trade was lucrative, and he was able to funnel £1,000 into the publication of Foxe’s </w:t>
      </w:r>
      <w:proofErr w:type="spellStart"/>
      <w:r w:rsidRPr="003037D2">
        <w:rPr>
          <w:rFonts w:ascii="Garamond" w:hAnsi="Garamond" w:cs="Times New Roman"/>
          <w:i/>
          <w:iCs/>
        </w:rPr>
        <w:t>Act</w:t>
      </w:r>
      <w:r w:rsidR="001F1F6B" w:rsidRPr="003037D2">
        <w:rPr>
          <w:rFonts w:ascii="Garamond" w:hAnsi="Garamond" w:cs="Times New Roman"/>
          <w:i/>
          <w:iCs/>
        </w:rPr>
        <w:t>e</w:t>
      </w:r>
      <w:r w:rsidRPr="003037D2">
        <w:rPr>
          <w:rFonts w:ascii="Garamond" w:hAnsi="Garamond" w:cs="Times New Roman"/>
          <w:i/>
          <w:iCs/>
        </w:rPr>
        <w:t>s</w:t>
      </w:r>
      <w:proofErr w:type="spellEnd"/>
      <w:r w:rsidRPr="003037D2">
        <w:rPr>
          <w:rFonts w:ascii="Garamond" w:hAnsi="Garamond" w:cs="Times New Roman"/>
          <w:i/>
          <w:iCs/>
        </w:rPr>
        <w:t xml:space="preserve"> and Martyrs, </w:t>
      </w:r>
      <w:r w:rsidRPr="003037D2">
        <w:rPr>
          <w:rFonts w:ascii="Garamond" w:hAnsi="Garamond" w:cs="Times New Roman"/>
        </w:rPr>
        <w:t>a risky investment that paid off handsomely when the book was an instant success, required to be placed in every cathedral and senior clergyman’s house by the Queen’s orders.</w:t>
      </w:r>
      <w:r w:rsidRPr="003037D2">
        <w:rPr>
          <w:rStyle w:val="FootnoteReference"/>
          <w:rFonts w:ascii="Garamond" w:hAnsi="Garamond" w:cs="Times New Roman"/>
        </w:rPr>
        <w:footnoteReference w:id="689"/>
      </w:r>
      <w:r w:rsidRPr="003037D2">
        <w:rPr>
          <w:rFonts w:ascii="Garamond" w:hAnsi="Garamond" w:cs="Times New Roman"/>
        </w:rPr>
        <w:t xml:space="preserve"> Perhaps the younger Day learned how to entice a buyer from his father, which might account for the punning titles of his two volumes of sermons, </w:t>
      </w:r>
      <w:r w:rsidRPr="003037D2">
        <w:rPr>
          <w:rFonts w:ascii="Garamond" w:hAnsi="Garamond" w:cs="Times New Roman"/>
          <w:i/>
          <w:iCs/>
        </w:rPr>
        <w:t xml:space="preserve">Day’s </w:t>
      </w:r>
      <w:proofErr w:type="spellStart"/>
      <w:r w:rsidRPr="003037D2">
        <w:rPr>
          <w:rFonts w:ascii="Garamond" w:hAnsi="Garamond" w:cs="Times New Roman"/>
          <w:i/>
          <w:iCs/>
        </w:rPr>
        <w:t>Dyall</w:t>
      </w:r>
      <w:proofErr w:type="spellEnd"/>
      <w:r w:rsidRPr="003037D2">
        <w:rPr>
          <w:rFonts w:ascii="Garamond" w:hAnsi="Garamond" w:cs="Times New Roman"/>
          <w:i/>
          <w:iCs/>
        </w:rPr>
        <w:t xml:space="preserve"> or, his twelve </w:t>
      </w:r>
      <w:proofErr w:type="spellStart"/>
      <w:r w:rsidRPr="003037D2">
        <w:rPr>
          <w:rFonts w:ascii="Garamond" w:hAnsi="Garamond" w:cs="Times New Roman"/>
          <w:i/>
          <w:iCs/>
        </w:rPr>
        <w:t>Howres</w:t>
      </w:r>
      <w:proofErr w:type="spellEnd"/>
      <w:r w:rsidRPr="003037D2">
        <w:rPr>
          <w:rFonts w:ascii="Garamond" w:hAnsi="Garamond" w:cs="Times New Roman"/>
          <w:i/>
          <w:iCs/>
        </w:rPr>
        <w:t xml:space="preserve"> </w:t>
      </w:r>
      <w:r w:rsidRPr="003037D2">
        <w:rPr>
          <w:rFonts w:ascii="Garamond" w:hAnsi="Garamond" w:cs="Times New Roman"/>
        </w:rPr>
        <w:t xml:space="preserve">(1614) and </w:t>
      </w:r>
      <w:r w:rsidRPr="003037D2">
        <w:rPr>
          <w:rFonts w:ascii="Garamond" w:hAnsi="Garamond" w:cs="Times New Roman"/>
          <w:i/>
          <w:iCs/>
        </w:rPr>
        <w:t xml:space="preserve">Day’s Festivals or, Twelve of his sermons </w:t>
      </w:r>
      <w:r w:rsidRPr="003037D2">
        <w:rPr>
          <w:rFonts w:ascii="Garamond" w:hAnsi="Garamond" w:cs="Times New Roman"/>
        </w:rPr>
        <w:t xml:space="preserve">(1615). Both featured the same woodcut on their title pages, an ornate clock face with the moto </w:t>
      </w:r>
      <w:r w:rsidRPr="003037D2">
        <w:rPr>
          <w:rFonts w:ascii="Garamond" w:hAnsi="Garamond" w:cs="Times New Roman"/>
          <w:i/>
          <w:iCs/>
        </w:rPr>
        <w:t xml:space="preserve">Johan </w:t>
      </w:r>
      <w:proofErr w:type="spellStart"/>
      <w:r w:rsidRPr="003037D2">
        <w:rPr>
          <w:rFonts w:ascii="Garamond" w:hAnsi="Garamond" w:cs="Times New Roman"/>
          <w:i/>
          <w:iCs/>
        </w:rPr>
        <w:t>donec</w:t>
      </w:r>
      <w:proofErr w:type="spellEnd"/>
      <w:r w:rsidRPr="003037D2">
        <w:rPr>
          <w:rFonts w:ascii="Garamond" w:hAnsi="Garamond" w:cs="Times New Roman"/>
          <w:i/>
          <w:iCs/>
        </w:rPr>
        <w:t xml:space="preserve"> dies </w:t>
      </w:r>
      <w:proofErr w:type="spellStart"/>
      <w:r w:rsidRPr="003037D2">
        <w:rPr>
          <w:rFonts w:ascii="Garamond" w:hAnsi="Garamond" w:cs="Times New Roman"/>
          <w:i/>
          <w:iCs/>
        </w:rPr>
        <w:t>est</w:t>
      </w:r>
      <w:proofErr w:type="spellEnd"/>
      <w:r w:rsidRPr="003037D2">
        <w:rPr>
          <w:rFonts w:ascii="Garamond" w:hAnsi="Garamond" w:cs="Times New Roman"/>
          <w:i/>
          <w:iCs/>
        </w:rPr>
        <w:t xml:space="preserve"> </w:t>
      </w:r>
      <w:r w:rsidRPr="003037D2">
        <w:rPr>
          <w:rFonts w:ascii="Garamond" w:hAnsi="Garamond" w:cs="Times New Roman"/>
        </w:rPr>
        <w:t xml:space="preserve">(John Until the day) inscribed around it. </w:t>
      </w:r>
      <w:r w:rsidRPr="003037D2">
        <w:rPr>
          <w:rFonts w:ascii="Garamond" w:hAnsi="Garamond" w:cs="Times New Roman"/>
          <w:i/>
          <w:iCs/>
        </w:rPr>
        <w:t xml:space="preserve">Day’s </w:t>
      </w:r>
      <w:proofErr w:type="spellStart"/>
      <w:r w:rsidRPr="003037D2">
        <w:rPr>
          <w:rFonts w:ascii="Garamond" w:hAnsi="Garamond" w:cs="Times New Roman"/>
          <w:i/>
          <w:iCs/>
        </w:rPr>
        <w:t>Dyall</w:t>
      </w:r>
      <w:proofErr w:type="spellEnd"/>
      <w:r w:rsidRPr="003037D2">
        <w:rPr>
          <w:rFonts w:ascii="Garamond" w:hAnsi="Garamond" w:cs="Times New Roman"/>
          <w:i/>
          <w:iCs/>
        </w:rPr>
        <w:t xml:space="preserve"> </w:t>
      </w:r>
      <w:r w:rsidRPr="003037D2">
        <w:rPr>
          <w:rFonts w:ascii="Garamond" w:hAnsi="Garamond" w:cs="Times New Roman"/>
        </w:rPr>
        <w:t xml:space="preserve">bore the inscription ‘Are there not twelve </w:t>
      </w:r>
      <w:proofErr w:type="spellStart"/>
      <w:r w:rsidRPr="003037D2">
        <w:rPr>
          <w:rFonts w:ascii="Garamond" w:hAnsi="Garamond" w:cs="Times New Roman"/>
        </w:rPr>
        <w:t>howres</w:t>
      </w:r>
      <w:proofErr w:type="spellEnd"/>
      <w:r w:rsidRPr="003037D2">
        <w:rPr>
          <w:rFonts w:ascii="Garamond" w:hAnsi="Garamond" w:cs="Times New Roman"/>
        </w:rPr>
        <w:t xml:space="preserve"> in the Day?’ (John 11.9) and </w:t>
      </w:r>
      <w:r w:rsidRPr="003037D2">
        <w:rPr>
          <w:rFonts w:ascii="Garamond" w:hAnsi="Garamond" w:cs="Times New Roman"/>
          <w:i/>
          <w:iCs/>
        </w:rPr>
        <w:t xml:space="preserve">Day’s Festivals </w:t>
      </w:r>
      <w:r w:rsidRPr="003037D2">
        <w:rPr>
          <w:rFonts w:ascii="Garamond" w:hAnsi="Garamond" w:cs="Times New Roman"/>
        </w:rPr>
        <w:t xml:space="preserve">a text from Ecclesiastes 33.15, ‘I am awakened up last of all, as one that </w:t>
      </w:r>
      <w:proofErr w:type="spellStart"/>
      <w:r w:rsidRPr="003037D2">
        <w:rPr>
          <w:rFonts w:ascii="Garamond" w:hAnsi="Garamond" w:cs="Times New Roman"/>
        </w:rPr>
        <w:t>gatherth</w:t>
      </w:r>
      <w:proofErr w:type="spellEnd"/>
      <w:r w:rsidRPr="003037D2">
        <w:rPr>
          <w:rFonts w:ascii="Garamond" w:hAnsi="Garamond" w:cs="Times New Roman"/>
        </w:rPr>
        <w:t xml:space="preserve"> after them in the vintage’. John Day senior had pioneered the use of woodcuts in books, including a likeness of himself in one volume he published, the first known portrait of a printer in an English book.</w:t>
      </w:r>
      <w:r w:rsidRPr="003037D2">
        <w:rPr>
          <w:rStyle w:val="FootnoteReference"/>
          <w:rFonts w:ascii="Garamond" w:hAnsi="Garamond" w:cs="Times New Roman"/>
        </w:rPr>
        <w:footnoteReference w:id="690"/>
      </w:r>
      <w:r w:rsidRPr="003037D2">
        <w:rPr>
          <w:rFonts w:ascii="Garamond" w:hAnsi="Garamond" w:cs="Times New Roman"/>
        </w:rPr>
        <w:t xml:space="preserve"> From 1551, he included on his title pages a device of a boy walking which was often accompanied with the motto ‘</w:t>
      </w:r>
      <w:r w:rsidRPr="003037D2">
        <w:rPr>
          <w:rFonts w:ascii="Garamond" w:hAnsi="Garamond" w:cs="Times New Roman"/>
          <w:i/>
          <w:iCs/>
        </w:rPr>
        <w:t xml:space="preserve">Arise, for it is day’. </w:t>
      </w:r>
      <w:r w:rsidRPr="003037D2">
        <w:rPr>
          <w:rFonts w:ascii="Garamond" w:hAnsi="Garamond" w:cs="Times New Roman"/>
        </w:rPr>
        <w:t xml:space="preserve">Cathy Shrank suggests </w:t>
      </w:r>
      <w:r w:rsidRPr="003037D2">
        <w:rPr>
          <w:rFonts w:ascii="Garamond" w:hAnsi="Garamond" w:cs="Times New Roman"/>
        </w:rPr>
        <w:lastRenderedPageBreak/>
        <w:t>that this image would ‘be read as an emblem of spiritual awakening in a time of religious reform</w:t>
      </w:r>
      <w:r w:rsidR="007C61A3" w:rsidRPr="003037D2">
        <w:rPr>
          <w:rFonts w:ascii="Garamond" w:hAnsi="Garamond" w:cs="Times New Roman"/>
        </w:rPr>
        <w:t>’</w:t>
      </w:r>
      <w:r w:rsidRPr="003037D2">
        <w:rPr>
          <w:rFonts w:ascii="Garamond" w:hAnsi="Garamond" w:cs="Times New Roman"/>
        </w:rPr>
        <w:t>.</w:t>
      </w:r>
      <w:r w:rsidRPr="003037D2">
        <w:rPr>
          <w:rStyle w:val="FootnoteReference"/>
          <w:rFonts w:ascii="Garamond" w:hAnsi="Garamond" w:cs="Times New Roman"/>
        </w:rPr>
        <w:footnoteReference w:id="691"/>
      </w:r>
      <w:r w:rsidRPr="003037D2">
        <w:rPr>
          <w:rFonts w:ascii="Garamond" w:hAnsi="Garamond" w:cs="Times New Roman"/>
        </w:rPr>
        <w:t xml:space="preserve"> Day junior’s title page devices similarly point to an awakening, although perhaps less urgently experienced, whilst also </w:t>
      </w:r>
      <w:proofErr w:type="spellStart"/>
      <w:r w:rsidRPr="003037D2">
        <w:rPr>
          <w:rFonts w:ascii="Garamond" w:hAnsi="Garamond" w:cs="Times New Roman"/>
        </w:rPr>
        <w:t>emphasising</w:t>
      </w:r>
      <w:proofErr w:type="spellEnd"/>
      <w:r w:rsidRPr="003037D2">
        <w:rPr>
          <w:rFonts w:ascii="Garamond" w:hAnsi="Garamond" w:cs="Times New Roman"/>
        </w:rPr>
        <w:t xml:space="preserve"> his own constancy. </w:t>
      </w:r>
    </w:p>
    <w:p w14:paraId="57684315" w14:textId="77777777" w:rsidR="00162224" w:rsidRPr="003037D2" w:rsidRDefault="00162224" w:rsidP="00162224">
      <w:pPr>
        <w:spacing w:line="360" w:lineRule="auto"/>
        <w:rPr>
          <w:rFonts w:ascii="Garamond" w:hAnsi="Garamond" w:cs="Times New Roman"/>
        </w:rPr>
      </w:pPr>
    </w:p>
    <w:p w14:paraId="55E265C1" w14:textId="77777777" w:rsidR="00162224" w:rsidRPr="003037D2" w:rsidRDefault="00162224" w:rsidP="00162224">
      <w:pPr>
        <w:spacing w:line="360" w:lineRule="auto"/>
        <w:ind w:firstLine="720"/>
        <w:rPr>
          <w:rFonts w:ascii="Garamond" w:hAnsi="Garamond" w:cs="Times New Roman"/>
          <w:i/>
          <w:iCs/>
        </w:rPr>
      </w:pPr>
      <w:r w:rsidRPr="003037D2">
        <w:rPr>
          <w:rFonts w:ascii="Garamond" w:hAnsi="Garamond" w:cs="Times New Roman"/>
        </w:rPr>
        <w:t xml:space="preserve"> Despite their consistency in appearance, Day’s two volumes of sermons are quite distinct. The earlier </w:t>
      </w:r>
      <w:proofErr w:type="spellStart"/>
      <w:r w:rsidRPr="003037D2">
        <w:rPr>
          <w:rFonts w:ascii="Garamond" w:hAnsi="Garamond" w:cs="Times New Roman"/>
          <w:i/>
          <w:iCs/>
        </w:rPr>
        <w:t>Dyall</w:t>
      </w:r>
      <w:proofErr w:type="spellEnd"/>
      <w:r w:rsidRPr="003037D2">
        <w:rPr>
          <w:rFonts w:ascii="Garamond" w:hAnsi="Garamond" w:cs="Times New Roman"/>
          <w:i/>
          <w:iCs/>
        </w:rPr>
        <w:t xml:space="preserve"> </w:t>
      </w:r>
      <w:r w:rsidRPr="003037D2">
        <w:rPr>
          <w:rFonts w:ascii="Garamond" w:hAnsi="Garamond" w:cs="Times New Roman"/>
        </w:rPr>
        <w:t xml:space="preserve">draws together a series of twelve ‘lectures’ given at Oriel College, Oxford. The date upon which each sermon was given is stated in marginal notes at the beginning of the sermon. The lectures are learned and allusive, indeed, Day notes in the introductory letter that the allure of print comes from the fact ‘that Speech (especially my Speech) hath not the benefit that </w:t>
      </w:r>
      <w:r w:rsidRPr="003037D2">
        <w:rPr>
          <w:rFonts w:ascii="Garamond" w:hAnsi="Garamond" w:cs="Times New Roman"/>
          <w:i/>
          <w:iCs/>
        </w:rPr>
        <w:t xml:space="preserve">Printing </w:t>
      </w:r>
      <w:r w:rsidRPr="003037D2">
        <w:rPr>
          <w:rFonts w:ascii="Garamond" w:hAnsi="Garamond" w:cs="Times New Roman"/>
        </w:rPr>
        <w:t>hath, of quoting Authors at large’.</w:t>
      </w:r>
      <w:r w:rsidRPr="003037D2">
        <w:rPr>
          <w:rStyle w:val="FootnoteReference"/>
          <w:rFonts w:ascii="Garamond" w:hAnsi="Garamond" w:cs="Times New Roman"/>
        </w:rPr>
        <w:footnoteReference w:id="692"/>
      </w:r>
      <w:r w:rsidRPr="003037D2">
        <w:rPr>
          <w:rFonts w:ascii="Garamond" w:hAnsi="Garamond" w:cs="Times New Roman"/>
        </w:rPr>
        <w:t xml:space="preserve"> Day makes great use of this now expanded capacity to ‘quote at large’, and states that he has chosen to print these works because ‘the </w:t>
      </w:r>
      <w:r w:rsidRPr="003037D2">
        <w:rPr>
          <w:rFonts w:ascii="Garamond" w:hAnsi="Garamond" w:cs="Times New Roman"/>
          <w:i/>
          <w:iCs/>
        </w:rPr>
        <w:t xml:space="preserve">Eye </w:t>
      </w:r>
      <w:r w:rsidRPr="003037D2">
        <w:rPr>
          <w:rFonts w:ascii="Garamond" w:hAnsi="Garamond" w:cs="Times New Roman"/>
        </w:rPr>
        <w:t xml:space="preserve">is a surer Friend unto the Memory then the </w:t>
      </w:r>
      <w:proofErr w:type="spellStart"/>
      <w:r w:rsidRPr="003037D2">
        <w:rPr>
          <w:rFonts w:ascii="Garamond" w:hAnsi="Garamond" w:cs="Times New Roman"/>
        </w:rPr>
        <w:t>Eare</w:t>
      </w:r>
      <w:proofErr w:type="spellEnd"/>
      <w:r w:rsidRPr="003037D2">
        <w:rPr>
          <w:rFonts w:ascii="Garamond" w:hAnsi="Garamond" w:cs="Times New Roman"/>
        </w:rPr>
        <w:t xml:space="preserve"> can possibly be’. He also explicitly links the printing of his sermons to his pastoral mission at the college, explaining,</w:t>
      </w:r>
    </w:p>
    <w:p w14:paraId="696670E2" w14:textId="63E01192" w:rsidR="00162224" w:rsidRDefault="00162224" w:rsidP="00162224">
      <w:pPr>
        <w:ind w:left="737" w:right="737"/>
        <w:rPr>
          <w:rFonts w:ascii="Garamond" w:hAnsi="Garamond" w:cs="Times New Roman"/>
        </w:rPr>
      </w:pPr>
      <w:r w:rsidRPr="003037D2">
        <w:rPr>
          <w:rFonts w:ascii="Garamond" w:hAnsi="Garamond" w:cs="Times New Roman"/>
        </w:rPr>
        <w:t xml:space="preserve">But my </w:t>
      </w:r>
      <w:proofErr w:type="spellStart"/>
      <w:r w:rsidRPr="003037D2">
        <w:rPr>
          <w:rFonts w:ascii="Garamond" w:hAnsi="Garamond" w:cs="Times New Roman"/>
        </w:rPr>
        <w:t>cheefest</w:t>
      </w:r>
      <w:proofErr w:type="spellEnd"/>
      <w:r w:rsidRPr="003037D2">
        <w:rPr>
          <w:rFonts w:ascii="Garamond" w:hAnsi="Garamond" w:cs="Times New Roman"/>
        </w:rPr>
        <w:t xml:space="preserve"> Motive of all of </w:t>
      </w:r>
      <w:proofErr w:type="spellStart"/>
      <w:r w:rsidRPr="003037D2">
        <w:rPr>
          <w:rFonts w:ascii="Garamond" w:hAnsi="Garamond" w:cs="Times New Roman"/>
        </w:rPr>
        <w:t>commiting</w:t>
      </w:r>
      <w:proofErr w:type="spellEnd"/>
      <w:r w:rsidRPr="003037D2">
        <w:rPr>
          <w:rFonts w:ascii="Garamond" w:hAnsi="Garamond" w:cs="Times New Roman"/>
        </w:rPr>
        <w:t xml:space="preserve"> these unto the press, is the continual flowing unto us of such as you are, some going, others coming, and every </w:t>
      </w:r>
      <w:proofErr w:type="spellStart"/>
      <w:r w:rsidRPr="003037D2">
        <w:rPr>
          <w:rFonts w:ascii="Garamond" w:hAnsi="Garamond" w:cs="Times New Roman"/>
        </w:rPr>
        <w:t>Yeare</w:t>
      </w:r>
      <w:proofErr w:type="spellEnd"/>
      <w:r w:rsidRPr="003037D2">
        <w:rPr>
          <w:rFonts w:ascii="Garamond" w:hAnsi="Garamond" w:cs="Times New Roman"/>
        </w:rPr>
        <w:t xml:space="preserve"> some New ones, who since they are to belong to me in respect of my </w:t>
      </w:r>
      <w:proofErr w:type="spellStart"/>
      <w:r w:rsidRPr="003037D2">
        <w:rPr>
          <w:rFonts w:ascii="Garamond" w:hAnsi="Garamond" w:cs="Times New Roman"/>
        </w:rPr>
        <w:t>Pastorall</w:t>
      </w:r>
      <w:proofErr w:type="spellEnd"/>
      <w:r w:rsidRPr="003037D2">
        <w:rPr>
          <w:rFonts w:ascii="Garamond" w:hAnsi="Garamond" w:cs="Times New Roman"/>
        </w:rPr>
        <w:t xml:space="preserve"> charge, </w:t>
      </w:r>
      <w:proofErr w:type="spellStart"/>
      <w:r w:rsidRPr="003037D2">
        <w:rPr>
          <w:rFonts w:ascii="Garamond" w:hAnsi="Garamond" w:cs="Times New Roman"/>
        </w:rPr>
        <w:t>faine</w:t>
      </w:r>
      <w:proofErr w:type="spellEnd"/>
      <w:r w:rsidRPr="003037D2">
        <w:rPr>
          <w:rFonts w:ascii="Garamond" w:hAnsi="Garamond" w:cs="Times New Roman"/>
        </w:rPr>
        <w:t xml:space="preserve"> would I shew my love unto my </w:t>
      </w:r>
      <w:proofErr w:type="spellStart"/>
      <w:r w:rsidRPr="003037D2">
        <w:rPr>
          <w:rFonts w:ascii="Garamond" w:hAnsi="Garamond" w:cs="Times New Roman"/>
        </w:rPr>
        <w:t>Saviour</w:t>
      </w:r>
      <w:proofErr w:type="spellEnd"/>
      <w:r w:rsidRPr="003037D2">
        <w:rPr>
          <w:rFonts w:ascii="Garamond" w:hAnsi="Garamond" w:cs="Times New Roman"/>
        </w:rPr>
        <w:t>, by seeding those New ones in this s</w:t>
      </w:r>
      <w:r w:rsidR="002F1250">
        <w:rPr>
          <w:rFonts w:ascii="Garamond" w:hAnsi="Garamond" w:cs="Times New Roman"/>
        </w:rPr>
        <w:t>ort.</w:t>
      </w:r>
      <w:r w:rsidRPr="003037D2">
        <w:rPr>
          <w:rStyle w:val="FootnoteReference"/>
          <w:rFonts w:ascii="Garamond" w:hAnsi="Garamond" w:cs="Times New Roman"/>
        </w:rPr>
        <w:footnoteReference w:id="693"/>
      </w:r>
      <w:r w:rsidRPr="003037D2">
        <w:rPr>
          <w:rFonts w:ascii="Garamond" w:hAnsi="Garamond" w:cs="Times New Roman"/>
        </w:rPr>
        <w:t xml:space="preserve"> </w:t>
      </w:r>
    </w:p>
    <w:p w14:paraId="342B30DD" w14:textId="77777777" w:rsidR="00667CD5" w:rsidRPr="003037D2" w:rsidRDefault="00667CD5" w:rsidP="00162224">
      <w:pPr>
        <w:ind w:left="737" w:right="737"/>
        <w:rPr>
          <w:rFonts w:ascii="Garamond" w:hAnsi="Garamond" w:cs="Times New Roman"/>
        </w:rPr>
      </w:pPr>
    </w:p>
    <w:p w14:paraId="1A056ACA" w14:textId="77777777" w:rsidR="00162224" w:rsidRPr="003037D2" w:rsidRDefault="00162224" w:rsidP="00162224">
      <w:pPr>
        <w:spacing w:line="360" w:lineRule="auto"/>
        <w:rPr>
          <w:rFonts w:ascii="Garamond" w:hAnsi="Garamond" w:cs="Times New Roman"/>
        </w:rPr>
      </w:pPr>
      <w:r w:rsidRPr="003037D2">
        <w:rPr>
          <w:rFonts w:ascii="Garamond" w:hAnsi="Garamond" w:cs="Times New Roman"/>
        </w:rPr>
        <w:t xml:space="preserve">The language of ‘flow’ works both temporally and spatially as both the students and the years pass through the preacher’s life. Day attempts to take advantage of this continual change by seeding his devotional message in the minds of each new generation of students. The printed sermon becomes a fixed point in time, amongst this continual stream of change. Day seems </w:t>
      </w:r>
      <w:proofErr w:type="spellStart"/>
      <w:r w:rsidRPr="003037D2">
        <w:rPr>
          <w:rFonts w:ascii="Garamond" w:hAnsi="Garamond" w:cs="Times New Roman"/>
        </w:rPr>
        <w:t>enamoured</w:t>
      </w:r>
      <w:proofErr w:type="spellEnd"/>
      <w:r w:rsidRPr="003037D2">
        <w:rPr>
          <w:rFonts w:ascii="Garamond" w:hAnsi="Garamond" w:cs="Times New Roman"/>
        </w:rPr>
        <w:t xml:space="preserve"> with this language, describing how ‘these lives of mine… should be carried hereafter another way, when you are of riper </w:t>
      </w:r>
      <w:proofErr w:type="spellStart"/>
      <w:r w:rsidRPr="003037D2">
        <w:rPr>
          <w:rFonts w:ascii="Garamond" w:hAnsi="Garamond" w:cs="Times New Roman"/>
        </w:rPr>
        <w:t>yeeres</w:t>
      </w:r>
      <w:proofErr w:type="spellEnd"/>
      <w:r w:rsidRPr="003037D2">
        <w:rPr>
          <w:rFonts w:ascii="Garamond" w:hAnsi="Garamond" w:cs="Times New Roman"/>
        </w:rPr>
        <w:t xml:space="preserve">, with the </w:t>
      </w:r>
      <w:proofErr w:type="spellStart"/>
      <w:r w:rsidRPr="003037D2">
        <w:rPr>
          <w:rFonts w:ascii="Garamond" w:hAnsi="Garamond" w:cs="Times New Roman"/>
        </w:rPr>
        <w:t>streame</w:t>
      </w:r>
      <w:proofErr w:type="spellEnd"/>
      <w:r w:rsidRPr="003037D2">
        <w:rPr>
          <w:rFonts w:ascii="Garamond" w:hAnsi="Garamond" w:cs="Times New Roman"/>
        </w:rPr>
        <w:t xml:space="preserve"> of the world’.</w:t>
      </w:r>
      <w:r w:rsidRPr="003037D2">
        <w:rPr>
          <w:rStyle w:val="FootnoteReference"/>
          <w:rFonts w:ascii="Garamond" w:hAnsi="Garamond" w:cs="Times New Roman"/>
        </w:rPr>
        <w:footnoteReference w:id="694"/>
      </w:r>
      <w:r w:rsidRPr="003037D2">
        <w:rPr>
          <w:rFonts w:ascii="Garamond" w:hAnsi="Garamond" w:cs="Times New Roman"/>
        </w:rPr>
        <w:t xml:space="preserve"> The aging of the students is presented as generative, a coming to fruition, whilst Day himself is carried further away from the moment when the sermons were given. Despite this framing device, the lectures of</w:t>
      </w:r>
      <w:r w:rsidRPr="003037D2">
        <w:rPr>
          <w:rFonts w:ascii="Garamond" w:hAnsi="Garamond" w:cs="Times New Roman"/>
          <w:i/>
        </w:rPr>
        <w:t xml:space="preserve"> </w:t>
      </w:r>
      <w:proofErr w:type="spellStart"/>
      <w:r w:rsidRPr="003037D2">
        <w:rPr>
          <w:rFonts w:ascii="Garamond" w:hAnsi="Garamond" w:cs="Times New Roman"/>
          <w:i/>
        </w:rPr>
        <w:t>Dyall</w:t>
      </w:r>
      <w:proofErr w:type="spellEnd"/>
      <w:r w:rsidRPr="003037D2">
        <w:rPr>
          <w:rFonts w:ascii="Garamond" w:hAnsi="Garamond" w:cs="Times New Roman"/>
          <w:i/>
        </w:rPr>
        <w:t xml:space="preserve"> </w:t>
      </w:r>
      <w:r w:rsidRPr="003037D2">
        <w:rPr>
          <w:rFonts w:ascii="Garamond" w:hAnsi="Garamond" w:cs="Times New Roman"/>
        </w:rPr>
        <w:t xml:space="preserve">rarely engage with questions of time, beyond Day’s thoughts on the relationship between memory and prayer. In the Lecture on Prayer, given ‘10 June 1613’, Day argues that the importance of the Lord’s prayer is due to the fact that it is repeated, pointing to Christ’s </w:t>
      </w:r>
      <w:r w:rsidRPr="003037D2">
        <w:rPr>
          <w:rFonts w:ascii="Garamond" w:hAnsi="Garamond" w:cs="Times New Roman"/>
        </w:rPr>
        <w:lastRenderedPageBreak/>
        <w:t xml:space="preserve">example as ‘this prayer he taught his Disciples, at two sundry and </w:t>
      </w:r>
      <w:proofErr w:type="spellStart"/>
      <w:r w:rsidRPr="003037D2">
        <w:rPr>
          <w:rFonts w:ascii="Garamond" w:hAnsi="Garamond" w:cs="Times New Roman"/>
        </w:rPr>
        <w:t>severall</w:t>
      </w:r>
      <w:proofErr w:type="spellEnd"/>
      <w:r w:rsidRPr="003037D2">
        <w:rPr>
          <w:rFonts w:ascii="Garamond" w:hAnsi="Garamond" w:cs="Times New Roman"/>
        </w:rPr>
        <w:t xml:space="preserve"> times’.</w:t>
      </w:r>
      <w:r w:rsidRPr="003037D2">
        <w:rPr>
          <w:rStyle w:val="FootnoteReference"/>
          <w:rFonts w:ascii="Garamond" w:hAnsi="Garamond" w:cs="Times New Roman"/>
        </w:rPr>
        <w:footnoteReference w:id="695"/>
      </w:r>
      <w:r w:rsidRPr="003037D2">
        <w:rPr>
          <w:rFonts w:ascii="Garamond" w:hAnsi="Garamond" w:cs="Times New Roman"/>
        </w:rPr>
        <w:t xml:space="preserve"> This repetition is necessary, due to the vagaries of memory. Day declares, ‘Mans memory by reason of divers and sundry thoughts doth </w:t>
      </w:r>
      <w:proofErr w:type="spellStart"/>
      <w:r w:rsidRPr="003037D2">
        <w:rPr>
          <w:rFonts w:ascii="Garamond" w:hAnsi="Garamond" w:cs="Times New Roman"/>
        </w:rPr>
        <w:t>floate</w:t>
      </w:r>
      <w:proofErr w:type="spellEnd"/>
      <w:r w:rsidRPr="003037D2">
        <w:rPr>
          <w:rFonts w:ascii="Garamond" w:hAnsi="Garamond" w:cs="Times New Roman"/>
        </w:rPr>
        <w:t xml:space="preserve"> up and </w:t>
      </w:r>
      <w:proofErr w:type="spellStart"/>
      <w:r w:rsidRPr="003037D2">
        <w:rPr>
          <w:rFonts w:ascii="Garamond" w:hAnsi="Garamond" w:cs="Times New Roman"/>
        </w:rPr>
        <w:t>downe</w:t>
      </w:r>
      <w:proofErr w:type="spellEnd"/>
      <w:r w:rsidRPr="003037D2">
        <w:rPr>
          <w:rFonts w:ascii="Garamond" w:hAnsi="Garamond" w:cs="Times New Roman"/>
        </w:rPr>
        <w:t xml:space="preserve">, neither is it in any </w:t>
      </w:r>
      <w:proofErr w:type="spellStart"/>
      <w:r w:rsidRPr="003037D2">
        <w:rPr>
          <w:rFonts w:ascii="Garamond" w:hAnsi="Garamond" w:cs="Times New Roman"/>
        </w:rPr>
        <w:t>mans</w:t>
      </w:r>
      <w:proofErr w:type="spellEnd"/>
      <w:r w:rsidRPr="003037D2">
        <w:rPr>
          <w:rFonts w:ascii="Garamond" w:hAnsi="Garamond" w:cs="Times New Roman"/>
        </w:rPr>
        <w:t xml:space="preserve"> power, to call to mind what, and when he </w:t>
      </w:r>
      <w:proofErr w:type="gramStart"/>
      <w:r w:rsidRPr="003037D2">
        <w:rPr>
          <w:rFonts w:ascii="Garamond" w:hAnsi="Garamond" w:cs="Times New Roman"/>
        </w:rPr>
        <w:t>list</w:t>
      </w:r>
      <w:proofErr w:type="gramEnd"/>
      <w:r w:rsidRPr="003037D2">
        <w:rPr>
          <w:rFonts w:ascii="Garamond" w:hAnsi="Garamond" w:cs="Times New Roman"/>
        </w:rPr>
        <w:t>’.</w:t>
      </w:r>
      <w:r w:rsidRPr="003037D2">
        <w:rPr>
          <w:rStyle w:val="FootnoteReference"/>
          <w:rFonts w:ascii="Garamond" w:hAnsi="Garamond" w:cs="Times New Roman"/>
        </w:rPr>
        <w:footnoteReference w:id="696"/>
      </w:r>
      <w:r w:rsidRPr="003037D2">
        <w:rPr>
          <w:rFonts w:ascii="Garamond" w:hAnsi="Garamond" w:cs="Times New Roman"/>
        </w:rPr>
        <w:t xml:space="preserve"> </w:t>
      </w:r>
    </w:p>
    <w:p w14:paraId="5CDE954F" w14:textId="77777777" w:rsidR="00162224" w:rsidRPr="003037D2" w:rsidRDefault="00162224" w:rsidP="00162224">
      <w:pPr>
        <w:spacing w:line="360" w:lineRule="auto"/>
        <w:rPr>
          <w:rFonts w:ascii="Garamond" w:hAnsi="Garamond" w:cs="Times New Roman"/>
        </w:rPr>
      </w:pPr>
    </w:p>
    <w:p w14:paraId="6212CDF1" w14:textId="2A846FDA" w:rsidR="00162224" w:rsidRPr="003037D2" w:rsidRDefault="00162224" w:rsidP="00162224">
      <w:pPr>
        <w:spacing w:line="360" w:lineRule="auto"/>
        <w:ind w:firstLine="720"/>
        <w:rPr>
          <w:rFonts w:ascii="Garamond" w:hAnsi="Garamond" w:cs="Times New Roman"/>
        </w:rPr>
      </w:pPr>
      <w:r w:rsidRPr="003037D2">
        <w:rPr>
          <w:rFonts w:ascii="Garamond" w:hAnsi="Garamond" w:cs="Times New Roman"/>
        </w:rPr>
        <w:t xml:space="preserve">In his second volume, </w:t>
      </w:r>
      <w:r w:rsidRPr="003037D2">
        <w:rPr>
          <w:rFonts w:ascii="Garamond" w:hAnsi="Garamond" w:cs="Times New Roman"/>
          <w:i/>
        </w:rPr>
        <w:t xml:space="preserve">Festivals, </w:t>
      </w:r>
      <w:r w:rsidRPr="003037D2">
        <w:rPr>
          <w:rFonts w:ascii="Garamond" w:hAnsi="Garamond" w:cs="Times New Roman"/>
        </w:rPr>
        <w:t xml:space="preserve">which collects together twelve sermons given between 1610 and 1615 at St. Mary’s, Oxford, Day makes more explicit reference to the times at which the sermons </w:t>
      </w:r>
      <w:proofErr w:type="gramStart"/>
      <w:r w:rsidRPr="003037D2">
        <w:rPr>
          <w:rFonts w:ascii="Garamond" w:hAnsi="Garamond" w:cs="Times New Roman"/>
        </w:rPr>
        <w:t>were  given</w:t>
      </w:r>
      <w:proofErr w:type="gramEnd"/>
      <w:r w:rsidRPr="003037D2">
        <w:rPr>
          <w:rFonts w:ascii="Garamond" w:hAnsi="Garamond" w:cs="Times New Roman"/>
        </w:rPr>
        <w:t xml:space="preserve">, and how the matter of his speech fits that time. The sermons are mainly connected to actual church festivals commemorating Christ’s life: ‘Our </w:t>
      </w:r>
      <w:proofErr w:type="spellStart"/>
      <w:r w:rsidRPr="003037D2">
        <w:rPr>
          <w:rFonts w:ascii="Garamond" w:hAnsi="Garamond" w:cs="Times New Roman"/>
        </w:rPr>
        <w:t>Saviours</w:t>
      </w:r>
      <w:proofErr w:type="spellEnd"/>
      <w:r w:rsidRPr="003037D2">
        <w:rPr>
          <w:rFonts w:ascii="Garamond" w:hAnsi="Garamond" w:cs="Times New Roman"/>
        </w:rPr>
        <w:t xml:space="preserve"> Nativity’, ‘Our </w:t>
      </w:r>
      <w:proofErr w:type="spellStart"/>
      <w:r w:rsidRPr="003037D2">
        <w:rPr>
          <w:rFonts w:ascii="Garamond" w:hAnsi="Garamond" w:cs="Times New Roman"/>
        </w:rPr>
        <w:t>Saviours</w:t>
      </w:r>
      <w:proofErr w:type="spellEnd"/>
      <w:r w:rsidRPr="003037D2">
        <w:rPr>
          <w:rFonts w:ascii="Garamond" w:hAnsi="Garamond" w:cs="Times New Roman"/>
        </w:rPr>
        <w:t xml:space="preserve"> Passion’, the ‘Resurrection’ and ‘the Coming of the Holy Ghost’. Interestingly, in the title pages surveyed, there was only one specific reference to Christmas and Whitsunday apiece, whilst eighteen title pages referred to Easter. (See </w:t>
      </w:r>
      <w:r w:rsidRPr="003037D2">
        <w:rPr>
          <w:rFonts w:ascii="Garamond" w:hAnsi="Garamond" w:cs="Times New Roman"/>
        </w:rPr>
        <w:fldChar w:fldCharType="begin"/>
      </w:r>
      <w:r w:rsidRPr="003037D2">
        <w:rPr>
          <w:rFonts w:ascii="Garamond" w:hAnsi="Garamond" w:cs="Times New Roman"/>
        </w:rPr>
        <w:instrText xml:space="preserve"> REF _Ref513280401 \h  \* MERGEFORMAT </w:instrText>
      </w:r>
      <w:r w:rsidRPr="003037D2">
        <w:rPr>
          <w:rFonts w:ascii="Garamond" w:hAnsi="Garamond" w:cs="Times New Roman"/>
        </w:rPr>
      </w:r>
      <w:r w:rsidRPr="003037D2">
        <w:rPr>
          <w:rFonts w:ascii="Garamond" w:hAnsi="Garamond" w:cs="Times New Roman"/>
        </w:rPr>
        <w:fldChar w:fldCharType="separate"/>
      </w:r>
      <w:r w:rsidR="001117A3" w:rsidRPr="003037D2">
        <w:rPr>
          <w:rFonts w:ascii="Garamond" w:hAnsi="Garamond"/>
        </w:rPr>
        <w:t xml:space="preserve">Figure </w:t>
      </w:r>
      <w:r w:rsidR="001117A3" w:rsidRPr="003037D2">
        <w:rPr>
          <w:rFonts w:ascii="Garamond" w:hAnsi="Garamond"/>
          <w:noProof/>
        </w:rPr>
        <w:t>61</w:t>
      </w:r>
      <w:r w:rsidRPr="003037D2">
        <w:rPr>
          <w:rFonts w:ascii="Garamond" w:hAnsi="Garamond" w:cs="Times New Roman"/>
        </w:rPr>
        <w:fldChar w:fldCharType="end"/>
      </w:r>
      <w:r w:rsidR="00ED0F4C">
        <w:rPr>
          <w:rFonts w:ascii="Garamond" w:hAnsi="Garamond" w:cs="Times New Roman"/>
        </w:rPr>
        <w:t>.</w:t>
      </w:r>
      <w:r w:rsidRPr="003037D2">
        <w:rPr>
          <w:rFonts w:ascii="Garamond" w:hAnsi="Garamond" w:cs="Times New Roman"/>
        </w:rPr>
        <w:t xml:space="preserve">) In Day’s volume, other sermons focus on church rituals, such as baptism, or states of life: ‘Of Virginity’, ‘Of Widowhood’, and ‘Parents and Children’. Day orders the sermons by the stages of Christ’s life they refer to, rather than the actual date they were given, creating a Christological guide in the form of the book. The book almost encapsulates the events of Christ’s life, bringing them together in the volume in the same way that Day claims they are brought together theologically. In the first sermon, given on Christmas Day addressing the Nativity, Day links biblical history to the recent past, recalling that, </w:t>
      </w:r>
    </w:p>
    <w:p w14:paraId="06737304" w14:textId="0CA6CB9B" w:rsidR="00162224" w:rsidRPr="003037D2" w:rsidRDefault="00162224" w:rsidP="00162224">
      <w:pPr>
        <w:ind w:left="737" w:right="737"/>
        <w:contextualSpacing/>
        <w:rPr>
          <w:rFonts w:ascii="Garamond" w:hAnsi="Garamond" w:cs="Times New Roman"/>
        </w:rPr>
      </w:pPr>
      <w:r w:rsidRPr="003037D2">
        <w:rPr>
          <w:rFonts w:ascii="Garamond" w:hAnsi="Garamond" w:cs="Times New Roman"/>
        </w:rPr>
        <w:t xml:space="preserve">There was a time when this our Country much desiring what now it hath in much </w:t>
      </w:r>
      <w:proofErr w:type="spellStart"/>
      <w:r w:rsidRPr="003037D2">
        <w:rPr>
          <w:rFonts w:ascii="Garamond" w:hAnsi="Garamond" w:cs="Times New Roman"/>
        </w:rPr>
        <w:t>plentie</w:t>
      </w:r>
      <w:proofErr w:type="spellEnd"/>
      <w:r w:rsidRPr="003037D2">
        <w:rPr>
          <w:rFonts w:ascii="Garamond" w:hAnsi="Garamond" w:cs="Times New Roman"/>
        </w:rPr>
        <w:t xml:space="preserve">, namely, issue, or male, or female, of the Prince there of then being, it had well hoped that </w:t>
      </w:r>
      <w:proofErr w:type="spellStart"/>
      <w:r w:rsidRPr="003037D2">
        <w:rPr>
          <w:rFonts w:ascii="Garamond" w:hAnsi="Garamond" w:cs="Times New Roman"/>
        </w:rPr>
        <w:t>Queene</w:t>
      </w:r>
      <w:proofErr w:type="spellEnd"/>
      <w:r w:rsidRPr="003037D2">
        <w:rPr>
          <w:rFonts w:ascii="Garamond" w:hAnsi="Garamond" w:cs="Times New Roman"/>
        </w:rPr>
        <w:t xml:space="preserve"> Mary had </w:t>
      </w:r>
      <w:proofErr w:type="spellStart"/>
      <w:r w:rsidRPr="003037D2">
        <w:rPr>
          <w:rFonts w:ascii="Garamond" w:hAnsi="Garamond" w:cs="Times New Roman"/>
        </w:rPr>
        <w:t>beene</w:t>
      </w:r>
      <w:proofErr w:type="spellEnd"/>
      <w:r w:rsidRPr="003037D2">
        <w:rPr>
          <w:rFonts w:ascii="Garamond" w:hAnsi="Garamond" w:cs="Times New Roman"/>
        </w:rPr>
        <w:t xml:space="preserve"> the Mother of such a Pearle, and she her </w:t>
      </w:r>
      <w:proofErr w:type="spellStart"/>
      <w:r w:rsidRPr="003037D2">
        <w:rPr>
          <w:rFonts w:ascii="Garamond" w:hAnsi="Garamond" w:cs="Times New Roman"/>
        </w:rPr>
        <w:t>selfe</w:t>
      </w:r>
      <w:proofErr w:type="spellEnd"/>
      <w:r w:rsidRPr="003037D2">
        <w:rPr>
          <w:rFonts w:ascii="Garamond" w:hAnsi="Garamond" w:cs="Times New Roman"/>
        </w:rPr>
        <w:t xml:space="preserve">, and a many besides, thought indeed she was with child… But never was expectation to less purpose, preparation to </w:t>
      </w:r>
      <w:proofErr w:type="spellStart"/>
      <w:r w:rsidRPr="003037D2">
        <w:rPr>
          <w:rFonts w:ascii="Garamond" w:hAnsi="Garamond" w:cs="Times New Roman"/>
        </w:rPr>
        <w:t>lesse</w:t>
      </w:r>
      <w:proofErr w:type="spellEnd"/>
      <w:r w:rsidRPr="003037D2">
        <w:rPr>
          <w:rFonts w:ascii="Garamond" w:hAnsi="Garamond" w:cs="Times New Roman"/>
        </w:rPr>
        <w:t xml:space="preserve"> effect... The Midwives, and Nurses, and Rockers, were all of them gotten, and provided, only that was then wanting which was to set them all a </w:t>
      </w:r>
      <w:proofErr w:type="spellStart"/>
      <w:r w:rsidRPr="003037D2">
        <w:rPr>
          <w:rFonts w:ascii="Garamond" w:hAnsi="Garamond" w:cs="Times New Roman"/>
        </w:rPr>
        <w:t>worke</w:t>
      </w:r>
      <w:proofErr w:type="spellEnd"/>
      <w:r w:rsidR="007C61A3" w:rsidRPr="003037D2">
        <w:rPr>
          <w:rFonts w:ascii="Garamond" w:hAnsi="Garamond" w:cs="Times New Roman"/>
        </w:rPr>
        <w:t>.</w:t>
      </w:r>
      <w:r w:rsidRPr="003037D2">
        <w:rPr>
          <w:rStyle w:val="FootnoteReference"/>
          <w:rFonts w:ascii="Garamond" w:hAnsi="Garamond" w:cs="Times New Roman"/>
        </w:rPr>
        <w:footnoteReference w:id="697"/>
      </w:r>
    </w:p>
    <w:p w14:paraId="1610197A" w14:textId="77777777" w:rsidR="00162224" w:rsidRPr="003037D2" w:rsidRDefault="00162224" w:rsidP="00162224">
      <w:pPr>
        <w:ind w:left="737" w:right="737"/>
        <w:contextualSpacing/>
        <w:rPr>
          <w:rFonts w:ascii="Garamond" w:hAnsi="Garamond" w:cs="Times New Roman"/>
        </w:rPr>
      </w:pPr>
    </w:p>
    <w:p w14:paraId="02AE1991" w14:textId="2871BF64" w:rsidR="00162224" w:rsidRPr="003037D2" w:rsidRDefault="00162224" w:rsidP="00162224">
      <w:pPr>
        <w:spacing w:line="360" w:lineRule="auto"/>
        <w:rPr>
          <w:rFonts w:ascii="Garamond" w:hAnsi="Garamond" w:cs="Times New Roman"/>
        </w:rPr>
      </w:pPr>
      <w:r w:rsidRPr="003037D2">
        <w:rPr>
          <w:rFonts w:ascii="Garamond" w:hAnsi="Garamond" w:cs="Times New Roman"/>
        </w:rPr>
        <w:t xml:space="preserve">Mary’s barren reign is linked to that of </w:t>
      </w:r>
      <w:proofErr w:type="spellStart"/>
      <w:r w:rsidRPr="003037D2">
        <w:rPr>
          <w:rFonts w:ascii="Garamond" w:hAnsi="Garamond" w:cs="Times New Roman"/>
        </w:rPr>
        <w:t>Azah</w:t>
      </w:r>
      <w:proofErr w:type="spellEnd"/>
      <w:r w:rsidRPr="003037D2">
        <w:rPr>
          <w:rFonts w:ascii="Garamond" w:hAnsi="Garamond" w:cs="Times New Roman"/>
        </w:rPr>
        <w:t xml:space="preserve">, king of Judah, through the words she inscribed on a never to be used cradle. Both monarchs are presented as blind, misunderstanding the future prophecies, although in </w:t>
      </w:r>
      <w:proofErr w:type="spellStart"/>
      <w:r w:rsidRPr="003037D2">
        <w:rPr>
          <w:rFonts w:ascii="Garamond" w:hAnsi="Garamond" w:cs="Times New Roman"/>
        </w:rPr>
        <w:t>Azah’s</w:t>
      </w:r>
      <w:proofErr w:type="spellEnd"/>
      <w:r w:rsidRPr="003037D2">
        <w:rPr>
          <w:rFonts w:ascii="Garamond" w:hAnsi="Garamond" w:cs="Times New Roman"/>
        </w:rPr>
        <w:t xml:space="preserve"> case this was related to the birth of the messiah. The sermon then moves on to discuss the birth of King Solomon, ‘when I was borne, I received the common </w:t>
      </w:r>
      <w:proofErr w:type="spellStart"/>
      <w:r w:rsidRPr="003037D2">
        <w:rPr>
          <w:rFonts w:ascii="Garamond" w:hAnsi="Garamond" w:cs="Times New Roman"/>
        </w:rPr>
        <w:t>aire</w:t>
      </w:r>
      <w:proofErr w:type="spellEnd"/>
      <w:r w:rsidRPr="003037D2">
        <w:rPr>
          <w:rFonts w:ascii="Garamond" w:hAnsi="Garamond" w:cs="Times New Roman"/>
        </w:rPr>
        <w:t xml:space="preserve">, &amp; fell upon the earth, which is of like nature, crying and weeping at the first as all others doe. I was nourished in </w:t>
      </w:r>
      <w:proofErr w:type="spellStart"/>
      <w:r w:rsidRPr="003037D2">
        <w:rPr>
          <w:rFonts w:ascii="Garamond" w:hAnsi="Garamond" w:cs="Times New Roman"/>
        </w:rPr>
        <w:t>swadling</w:t>
      </w:r>
      <w:proofErr w:type="spellEnd"/>
      <w:r w:rsidRPr="003037D2">
        <w:rPr>
          <w:rFonts w:ascii="Garamond" w:hAnsi="Garamond" w:cs="Times New Roman"/>
        </w:rPr>
        <w:t xml:space="preserve"> </w:t>
      </w:r>
      <w:proofErr w:type="spellStart"/>
      <w:r w:rsidRPr="003037D2">
        <w:rPr>
          <w:rFonts w:ascii="Garamond" w:hAnsi="Garamond" w:cs="Times New Roman"/>
        </w:rPr>
        <w:lastRenderedPageBreak/>
        <w:t>cloathes</w:t>
      </w:r>
      <w:proofErr w:type="spellEnd"/>
      <w:r w:rsidRPr="003037D2">
        <w:rPr>
          <w:rFonts w:ascii="Garamond" w:hAnsi="Garamond" w:cs="Times New Roman"/>
        </w:rPr>
        <w:t>, and with cares. For there is no king that had any other beginning of birth’.</w:t>
      </w:r>
      <w:r w:rsidRPr="003037D2">
        <w:rPr>
          <w:rStyle w:val="FootnoteReference"/>
          <w:rFonts w:ascii="Garamond" w:hAnsi="Garamond" w:cs="Times New Roman"/>
        </w:rPr>
        <w:footnoteReference w:id="698"/>
      </w:r>
      <w:r w:rsidRPr="003037D2">
        <w:rPr>
          <w:rFonts w:ascii="Garamond" w:hAnsi="Garamond" w:cs="Times New Roman"/>
        </w:rPr>
        <w:t xml:space="preserve"> Comments on Christ’s nativity are woven together with insights on the fallibility of rulers. The distance between the Christological past and the political situation of the present is collapsed. Day defends the practic</w:t>
      </w:r>
      <w:r w:rsidR="002F1250">
        <w:rPr>
          <w:rFonts w:ascii="Garamond" w:hAnsi="Garamond" w:cs="Times New Roman"/>
        </w:rPr>
        <w:t>e of gift giving on New Year’s D</w:t>
      </w:r>
      <w:r w:rsidRPr="003037D2">
        <w:rPr>
          <w:rFonts w:ascii="Garamond" w:hAnsi="Garamond" w:cs="Times New Roman"/>
        </w:rPr>
        <w:t xml:space="preserve">ay by comparing it to how Jesus gave the gift of himself as sacrifice: </w:t>
      </w:r>
    </w:p>
    <w:p w14:paraId="6C1784A6" w14:textId="0802C69B" w:rsidR="00162224" w:rsidRDefault="00162224" w:rsidP="00162224">
      <w:pPr>
        <w:ind w:left="737" w:right="737"/>
        <w:rPr>
          <w:rFonts w:ascii="Garamond" w:hAnsi="Garamond" w:cs="Times New Roman"/>
        </w:rPr>
      </w:pPr>
      <w:r w:rsidRPr="003037D2">
        <w:rPr>
          <w:rFonts w:ascii="Garamond" w:hAnsi="Garamond" w:cs="Times New Roman"/>
        </w:rPr>
        <w:t xml:space="preserve">The very time of sending Gifts from one Friend to another drawing now </w:t>
      </w:r>
      <w:proofErr w:type="spellStart"/>
      <w:r w:rsidRPr="003037D2">
        <w:rPr>
          <w:rFonts w:ascii="Garamond" w:hAnsi="Garamond" w:cs="Times New Roman"/>
        </w:rPr>
        <w:t>neere</w:t>
      </w:r>
      <w:proofErr w:type="spellEnd"/>
      <w:r w:rsidRPr="003037D2">
        <w:rPr>
          <w:rFonts w:ascii="Garamond" w:hAnsi="Garamond" w:cs="Times New Roman"/>
        </w:rPr>
        <w:t xml:space="preserve"> at hand, I </w:t>
      </w:r>
      <w:proofErr w:type="spellStart"/>
      <w:r w:rsidRPr="003037D2">
        <w:rPr>
          <w:rFonts w:ascii="Garamond" w:hAnsi="Garamond" w:cs="Times New Roman"/>
        </w:rPr>
        <w:t>meane</w:t>
      </w:r>
      <w:proofErr w:type="spellEnd"/>
      <w:r w:rsidRPr="003037D2">
        <w:rPr>
          <w:rFonts w:ascii="Garamond" w:hAnsi="Garamond" w:cs="Times New Roman"/>
        </w:rPr>
        <w:t xml:space="preserve"> of New </w:t>
      </w:r>
      <w:proofErr w:type="spellStart"/>
      <w:r w:rsidRPr="003037D2">
        <w:rPr>
          <w:rFonts w:ascii="Garamond" w:hAnsi="Garamond" w:cs="Times New Roman"/>
        </w:rPr>
        <w:t>Yeares</w:t>
      </w:r>
      <w:proofErr w:type="spellEnd"/>
      <w:r w:rsidRPr="003037D2">
        <w:rPr>
          <w:rFonts w:ascii="Garamond" w:hAnsi="Garamond" w:cs="Times New Roman"/>
        </w:rPr>
        <w:t xml:space="preserve"> Gifts, may call to </w:t>
      </w:r>
      <w:proofErr w:type="spellStart"/>
      <w:r w:rsidRPr="003037D2">
        <w:rPr>
          <w:rFonts w:ascii="Garamond" w:hAnsi="Garamond" w:cs="Times New Roman"/>
        </w:rPr>
        <w:t>minde</w:t>
      </w:r>
      <w:proofErr w:type="spellEnd"/>
      <w:r w:rsidRPr="003037D2">
        <w:rPr>
          <w:rFonts w:ascii="Garamond" w:hAnsi="Garamond" w:cs="Times New Roman"/>
        </w:rPr>
        <w:t xml:space="preserve"> the </w:t>
      </w:r>
      <w:proofErr w:type="spellStart"/>
      <w:r w:rsidRPr="003037D2">
        <w:rPr>
          <w:rFonts w:ascii="Garamond" w:hAnsi="Garamond" w:cs="Times New Roman"/>
        </w:rPr>
        <w:t>presiousnesse</w:t>
      </w:r>
      <w:proofErr w:type="spellEnd"/>
      <w:r w:rsidRPr="003037D2">
        <w:rPr>
          <w:rFonts w:ascii="Garamond" w:hAnsi="Garamond" w:cs="Times New Roman"/>
        </w:rPr>
        <w:t xml:space="preserve"> of this Gift given unto us, whether </w:t>
      </w:r>
      <w:proofErr w:type="spellStart"/>
      <w:r w:rsidRPr="003037D2">
        <w:rPr>
          <w:rFonts w:ascii="Garamond" w:hAnsi="Garamond" w:cs="Times New Roman"/>
        </w:rPr>
        <w:t>wee</w:t>
      </w:r>
      <w:proofErr w:type="spellEnd"/>
      <w:r w:rsidRPr="003037D2">
        <w:rPr>
          <w:rFonts w:ascii="Garamond" w:hAnsi="Garamond" w:cs="Times New Roman"/>
        </w:rPr>
        <w:t xml:space="preserve"> respect the Gift </w:t>
      </w:r>
      <w:proofErr w:type="spellStart"/>
      <w:r w:rsidRPr="003037D2">
        <w:rPr>
          <w:rFonts w:ascii="Garamond" w:hAnsi="Garamond" w:cs="Times New Roman"/>
        </w:rPr>
        <w:t>itselfe</w:t>
      </w:r>
      <w:proofErr w:type="spellEnd"/>
      <w:r w:rsidRPr="003037D2">
        <w:rPr>
          <w:rFonts w:ascii="Garamond" w:hAnsi="Garamond" w:cs="Times New Roman"/>
        </w:rPr>
        <w:t>, or the Giver of it, the Father of lights.</w:t>
      </w:r>
      <w:r w:rsidRPr="003037D2">
        <w:rPr>
          <w:rStyle w:val="FootnoteReference"/>
          <w:rFonts w:ascii="Garamond" w:hAnsi="Garamond" w:cs="Times New Roman"/>
        </w:rPr>
        <w:footnoteReference w:id="699"/>
      </w:r>
    </w:p>
    <w:p w14:paraId="6D89D0D8" w14:textId="77777777" w:rsidR="00667CD5" w:rsidRPr="003037D2" w:rsidRDefault="00667CD5" w:rsidP="00162224">
      <w:pPr>
        <w:ind w:left="737" w:right="737"/>
        <w:rPr>
          <w:rFonts w:ascii="Garamond" w:hAnsi="Garamond" w:cs="Times New Roman"/>
        </w:rPr>
      </w:pPr>
    </w:p>
    <w:p w14:paraId="5D48BE41" w14:textId="77777777" w:rsidR="00162224" w:rsidRPr="003037D2" w:rsidRDefault="00162224" w:rsidP="00162224">
      <w:pPr>
        <w:spacing w:line="360" w:lineRule="auto"/>
        <w:rPr>
          <w:rFonts w:ascii="Garamond" w:hAnsi="Garamond" w:cs="Times New Roman"/>
        </w:rPr>
      </w:pPr>
      <w:r w:rsidRPr="003037D2">
        <w:rPr>
          <w:rFonts w:ascii="Garamond" w:hAnsi="Garamond" w:cs="Times New Roman"/>
        </w:rPr>
        <w:t xml:space="preserve">This gift giving, beyond the scope of the Church calendar can be rehabilitated by making it a further memorial for Christ’s goodness. </w:t>
      </w:r>
    </w:p>
    <w:p w14:paraId="4AB7AE63" w14:textId="77777777" w:rsidR="00162224" w:rsidRPr="003037D2" w:rsidRDefault="00162224" w:rsidP="00162224">
      <w:pPr>
        <w:ind w:left="737" w:right="737"/>
        <w:rPr>
          <w:rFonts w:ascii="Garamond" w:hAnsi="Garamond" w:cs="Times New Roman"/>
        </w:rPr>
      </w:pPr>
    </w:p>
    <w:p w14:paraId="03A9DF97" w14:textId="77777777" w:rsidR="00162224" w:rsidRPr="003037D2" w:rsidRDefault="00162224" w:rsidP="00162224">
      <w:pPr>
        <w:spacing w:line="360" w:lineRule="auto"/>
        <w:rPr>
          <w:rFonts w:ascii="Garamond" w:hAnsi="Garamond" w:cs="Times New Roman"/>
        </w:rPr>
      </w:pPr>
      <w:r w:rsidRPr="003037D2">
        <w:rPr>
          <w:rFonts w:ascii="Garamond" w:hAnsi="Garamond" w:cs="Times New Roman"/>
        </w:rPr>
        <w:tab/>
        <w:t xml:space="preserve">In some of Day’s sermons, the distance between the time of the text and the time of the sermon is wider. A sermon on the Passion was oddly given on Christmas Day 1612, an incongruity that Day notes: </w:t>
      </w:r>
    </w:p>
    <w:p w14:paraId="26F34C3E" w14:textId="77777777" w:rsidR="00162224" w:rsidRPr="003037D2" w:rsidRDefault="00162224" w:rsidP="00162224">
      <w:pPr>
        <w:ind w:left="737" w:right="737"/>
        <w:rPr>
          <w:rFonts w:ascii="Garamond" w:hAnsi="Garamond"/>
        </w:rPr>
      </w:pPr>
      <w:r w:rsidRPr="003037D2">
        <w:rPr>
          <w:rFonts w:ascii="Garamond" w:hAnsi="Garamond"/>
        </w:rPr>
        <w:t xml:space="preserve">It may </w:t>
      </w:r>
      <w:proofErr w:type="spellStart"/>
      <w:r w:rsidRPr="003037D2">
        <w:rPr>
          <w:rFonts w:ascii="Garamond" w:hAnsi="Garamond"/>
        </w:rPr>
        <w:t>seeme</w:t>
      </w:r>
      <w:proofErr w:type="spellEnd"/>
      <w:r w:rsidRPr="003037D2">
        <w:rPr>
          <w:rFonts w:ascii="Garamond" w:hAnsi="Garamond"/>
        </w:rPr>
        <w:t xml:space="preserve"> no good congruity… to speak of our </w:t>
      </w:r>
      <w:proofErr w:type="spellStart"/>
      <w:r w:rsidRPr="003037D2">
        <w:rPr>
          <w:rFonts w:ascii="Garamond" w:hAnsi="Garamond"/>
        </w:rPr>
        <w:t>Saviours</w:t>
      </w:r>
      <w:proofErr w:type="spellEnd"/>
      <w:r w:rsidRPr="003037D2">
        <w:rPr>
          <w:rFonts w:ascii="Garamond" w:hAnsi="Garamond"/>
        </w:rPr>
        <w:t xml:space="preserve"> </w:t>
      </w:r>
      <w:r w:rsidRPr="003037D2">
        <w:rPr>
          <w:rFonts w:ascii="Garamond" w:hAnsi="Garamond"/>
          <w:i/>
          <w:iCs/>
        </w:rPr>
        <w:t xml:space="preserve">Passion, </w:t>
      </w:r>
      <w:r w:rsidRPr="003037D2">
        <w:rPr>
          <w:rFonts w:ascii="Garamond" w:hAnsi="Garamond"/>
        </w:rPr>
        <w:t xml:space="preserve">on the day of his </w:t>
      </w:r>
      <w:r w:rsidRPr="003037D2">
        <w:rPr>
          <w:rFonts w:ascii="Garamond" w:hAnsi="Garamond"/>
          <w:i/>
          <w:iCs/>
        </w:rPr>
        <w:t xml:space="preserve">Incarnation: </w:t>
      </w:r>
      <w:r w:rsidRPr="003037D2">
        <w:rPr>
          <w:rFonts w:ascii="Garamond" w:hAnsi="Garamond"/>
        </w:rPr>
        <w:t xml:space="preserve">of his great </w:t>
      </w:r>
      <w:proofErr w:type="spellStart"/>
      <w:r w:rsidRPr="003037D2">
        <w:rPr>
          <w:rFonts w:ascii="Garamond" w:hAnsi="Garamond"/>
        </w:rPr>
        <w:t>distresse</w:t>
      </w:r>
      <w:proofErr w:type="spellEnd"/>
      <w:r w:rsidRPr="003037D2">
        <w:rPr>
          <w:rFonts w:ascii="Garamond" w:hAnsi="Garamond"/>
        </w:rPr>
        <w:t xml:space="preserve">, &amp; misery, on the day of his </w:t>
      </w:r>
      <w:proofErr w:type="spellStart"/>
      <w:r w:rsidRPr="003037D2">
        <w:rPr>
          <w:rFonts w:ascii="Garamond" w:hAnsi="Garamond"/>
          <w:i/>
          <w:iCs/>
        </w:rPr>
        <w:t>Nativitie</w:t>
      </w:r>
      <w:proofErr w:type="spellEnd"/>
      <w:r w:rsidRPr="003037D2">
        <w:rPr>
          <w:rFonts w:ascii="Garamond" w:hAnsi="Garamond"/>
          <w:i/>
          <w:iCs/>
        </w:rPr>
        <w:t xml:space="preserve">. A tale out of time, </w:t>
      </w:r>
      <w:r w:rsidRPr="003037D2">
        <w:rPr>
          <w:rFonts w:ascii="Garamond" w:hAnsi="Garamond"/>
        </w:rPr>
        <w:t xml:space="preserve">saith the </w:t>
      </w:r>
      <w:proofErr w:type="spellStart"/>
      <w:r w:rsidRPr="003037D2">
        <w:rPr>
          <w:rFonts w:ascii="Garamond" w:hAnsi="Garamond"/>
        </w:rPr>
        <w:t>Sonne</w:t>
      </w:r>
      <w:proofErr w:type="spellEnd"/>
      <w:r w:rsidRPr="003037D2">
        <w:rPr>
          <w:rFonts w:ascii="Garamond" w:hAnsi="Garamond"/>
        </w:rPr>
        <w:t xml:space="preserve"> of </w:t>
      </w:r>
      <w:proofErr w:type="spellStart"/>
      <w:r w:rsidRPr="003037D2">
        <w:rPr>
          <w:rFonts w:ascii="Garamond" w:hAnsi="Garamond"/>
        </w:rPr>
        <w:t>Syrach</w:t>
      </w:r>
      <w:proofErr w:type="spellEnd"/>
      <w:r w:rsidRPr="003037D2">
        <w:rPr>
          <w:rFonts w:ascii="Garamond" w:hAnsi="Garamond"/>
        </w:rPr>
        <w:t xml:space="preserve">, is as </w:t>
      </w:r>
      <w:proofErr w:type="spellStart"/>
      <w:r w:rsidRPr="003037D2">
        <w:rPr>
          <w:rFonts w:ascii="Garamond" w:hAnsi="Garamond"/>
        </w:rPr>
        <w:t>Musicke</w:t>
      </w:r>
      <w:proofErr w:type="spellEnd"/>
      <w:r w:rsidRPr="003037D2">
        <w:rPr>
          <w:rFonts w:ascii="Garamond" w:hAnsi="Garamond"/>
        </w:rPr>
        <w:t xml:space="preserve"> in mourning, and surely upon this Day, a relation of our </w:t>
      </w:r>
      <w:proofErr w:type="spellStart"/>
      <w:r w:rsidRPr="003037D2">
        <w:rPr>
          <w:rFonts w:ascii="Garamond" w:hAnsi="Garamond"/>
        </w:rPr>
        <w:t>Saviours</w:t>
      </w:r>
      <w:proofErr w:type="spellEnd"/>
      <w:r w:rsidRPr="003037D2">
        <w:rPr>
          <w:rFonts w:ascii="Garamond" w:hAnsi="Garamond"/>
        </w:rPr>
        <w:t xml:space="preserve"> Death, is as mourning in </w:t>
      </w:r>
      <w:proofErr w:type="spellStart"/>
      <w:r w:rsidRPr="003037D2">
        <w:rPr>
          <w:rFonts w:ascii="Garamond" w:hAnsi="Garamond"/>
        </w:rPr>
        <w:t>Musick</w:t>
      </w:r>
      <w:proofErr w:type="spellEnd"/>
      <w:r w:rsidRPr="003037D2">
        <w:rPr>
          <w:rFonts w:ascii="Garamond" w:hAnsi="Garamond"/>
        </w:rPr>
        <w:t xml:space="preserve">. Howbeit such hath been this whole </w:t>
      </w:r>
      <w:proofErr w:type="spellStart"/>
      <w:r w:rsidRPr="003037D2">
        <w:rPr>
          <w:rFonts w:ascii="Garamond" w:hAnsi="Garamond"/>
        </w:rPr>
        <w:t>yeare</w:t>
      </w:r>
      <w:proofErr w:type="spellEnd"/>
      <w:r w:rsidRPr="003037D2">
        <w:rPr>
          <w:rFonts w:ascii="Garamond" w:hAnsi="Garamond"/>
        </w:rPr>
        <w:t xml:space="preserve"> past, partly in respect of my </w:t>
      </w:r>
      <w:proofErr w:type="spellStart"/>
      <w:r w:rsidRPr="003037D2">
        <w:rPr>
          <w:rFonts w:ascii="Garamond" w:hAnsi="Garamond"/>
        </w:rPr>
        <w:t>selfe</w:t>
      </w:r>
      <w:proofErr w:type="spellEnd"/>
      <w:r w:rsidRPr="003037D2">
        <w:rPr>
          <w:rFonts w:ascii="Garamond" w:hAnsi="Garamond"/>
        </w:rPr>
        <w:t xml:space="preserve">, the </w:t>
      </w:r>
      <w:proofErr w:type="spellStart"/>
      <w:r w:rsidRPr="003037D2">
        <w:rPr>
          <w:rFonts w:ascii="Garamond" w:hAnsi="Garamond"/>
        </w:rPr>
        <w:t>losse</w:t>
      </w:r>
      <w:proofErr w:type="spellEnd"/>
      <w:r w:rsidRPr="003037D2">
        <w:rPr>
          <w:rFonts w:ascii="Garamond" w:hAnsi="Garamond"/>
        </w:rPr>
        <w:t xml:space="preserve"> of so many of my </w:t>
      </w:r>
      <w:proofErr w:type="spellStart"/>
      <w:r w:rsidRPr="003037D2">
        <w:rPr>
          <w:rFonts w:ascii="Garamond" w:hAnsi="Garamond"/>
        </w:rPr>
        <w:t>deerest</w:t>
      </w:r>
      <w:proofErr w:type="spellEnd"/>
      <w:r w:rsidRPr="003037D2">
        <w:rPr>
          <w:rFonts w:ascii="Garamond" w:hAnsi="Garamond"/>
        </w:rPr>
        <w:t xml:space="preserve"> Friends, </w:t>
      </w:r>
      <w:r w:rsidRPr="003037D2">
        <w:rPr>
          <w:rFonts w:ascii="Garamond" w:hAnsi="Garamond"/>
          <w:i/>
          <w:iCs/>
        </w:rPr>
        <w:t xml:space="preserve">partly </w:t>
      </w:r>
      <w:r w:rsidRPr="003037D2">
        <w:rPr>
          <w:rFonts w:ascii="Garamond" w:hAnsi="Garamond"/>
        </w:rPr>
        <w:t xml:space="preserve">in respect of us all, the loss of ONE above all, that as </w:t>
      </w:r>
      <w:r w:rsidRPr="003037D2">
        <w:rPr>
          <w:rFonts w:ascii="Garamond" w:hAnsi="Garamond"/>
          <w:i/>
          <w:iCs/>
        </w:rPr>
        <w:t xml:space="preserve">Mourning </w:t>
      </w:r>
      <w:r w:rsidRPr="003037D2">
        <w:rPr>
          <w:rFonts w:ascii="Garamond" w:hAnsi="Garamond"/>
        </w:rPr>
        <w:t xml:space="preserve">befits </w:t>
      </w:r>
      <w:r w:rsidRPr="003037D2">
        <w:rPr>
          <w:rFonts w:ascii="Garamond" w:hAnsi="Garamond"/>
          <w:i/>
          <w:iCs/>
        </w:rPr>
        <w:t xml:space="preserve">Me </w:t>
      </w:r>
      <w:r w:rsidRPr="003037D2">
        <w:rPr>
          <w:rFonts w:ascii="Garamond" w:hAnsi="Garamond"/>
        </w:rPr>
        <w:t xml:space="preserve">best the </w:t>
      </w:r>
      <w:r w:rsidRPr="003037D2">
        <w:rPr>
          <w:rFonts w:ascii="Garamond" w:hAnsi="Garamond"/>
          <w:i/>
          <w:iCs/>
        </w:rPr>
        <w:t xml:space="preserve">Speaker </w:t>
      </w:r>
      <w:r w:rsidRPr="003037D2">
        <w:rPr>
          <w:rFonts w:ascii="Garamond" w:hAnsi="Garamond"/>
        </w:rPr>
        <w:t xml:space="preserve">at this time, so it is not altogether unfit for you, at this time the </w:t>
      </w:r>
      <w:r w:rsidRPr="003037D2">
        <w:rPr>
          <w:rFonts w:ascii="Garamond" w:hAnsi="Garamond"/>
          <w:i/>
          <w:iCs/>
        </w:rPr>
        <w:t xml:space="preserve">Hearers. </w:t>
      </w:r>
      <w:r w:rsidRPr="003037D2">
        <w:rPr>
          <w:rFonts w:ascii="Garamond" w:hAnsi="Garamond"/>
        </w:rPr>
        <w:t xml:space="preserve">After so many Objects of Sorrow then, as have </w:t>
      </w:r>
      <w:proofErr w:type="spellStart"/>
      <w:r w:rsidRPr="003037D2">
        <w:rPr>
          <w:rFonts w:ascii="Garamond" w:hAnsi="Garamond"/>
        </w:rPr>
        <w:t>beene</w:t>
      </w:r>
      <w:proofErr w:type="spellEnd"/>
      <w:r w:rsidRPr="003037D2">
        <w:rPr>
          <w:rFonts w:ascii="Garamond" w:hAnsi="Garamond"/>
        </w:rPr>
        <w:t xml:space="preserve"> to a many of us this </w:t>
      </w:r>
      <w:proofErr w:type="spellStart"/>
      <w:r w:rsidRPr="003037D2">
        <w:rPr>
          <w:rFonts w:ascii="Garamond" w:hAnsi="Garamond"/>
        </w:rPr>
        <w:t>yeare</w:t>
      </w:r>
      <w:proofErr w:type="spellEnd"/>
      <w:r w:rsidRPr="003037D2">
        <w:rPr>
          <w:rFonts w:ascii="Garamond" w:hAnsi="Garamond"/>
        </w:rPr>
        <w:t xml:space="preserve"> past, either of one Friend loosing another, or </w:t>
      </w:r>
      <w:proofErr w:type="spellStart"/>
      <w:r w:rsidRPr="003037D2">
        <w:rPr>
          <w:rFonts w:ascii="Garamond" w:hAnsi="Garamond"/>
        </w:rPr>
        <w:t>losse</w:t>
      </w:r>
      <w:proofErr w:type="spellEnd"/>
      <w:r w:rsidRPr="003037D2">
        <w:rPr>
          <w:rFonts w:ascii="Garamond" w:hAnsi="Garamond"/>
        </w:rPr>
        <w:t xml:space="preserve"> of Husband, or </w:t>
      </w:r>
      <w:proofErr w:type="spellStart"/>
      <w:r w:rsidRPr="003037D2">
        <w:rPr>
          <w:rFonts w:ascii="Garamond" w:hAnsi="Garamond"/>
        </w:rPr>
        <w:t>losse</w:t>
      </w:r>
      <w:proofErr w:type="spellEnd"/>
      <w:r w:rsidRPr="003037D2">
        <w:rPr>
          <w:rFonts w:ascii="Garamond" w:hAnsi="Garamond"/>
        </w:rPr>
        <w:t xml:space="preserve"> of Wife, or </w:t>
      </w:r>
      <w:proofErr w:type="spellStart"/>
      <w:r w:rsidRPr="003037D2">
        <w:rPr>
          <w:rFonts w:ascii="Garamond" w:hAnsi="Garamond"/>
        </w:rPr>
        <w:t>losse</w:t>
      </w:r>
      <w:proofErr w:type="spellEnd"/>
      <w:r w:rsidRPr="003037D2">
        <w:rPr>
          <w:rFonts w:ascii="Garamond" w:hAnsi="Garamond"/>
        </w:rPr>
        <w:t xml:space="preserve"> of Parents, or </w:t>
      </w:r>
      <w:proofErr w:type="spellStart"/>
      <w:r w:rsidRPr="003037D2">
        <w:rPr>
          <w:rFonts w:ascii="Garamond" w:hAnsi="Garamond"/>
        </w:rPr>
        <w:t>losse</w:t>
      </w:r>
      <w:proofErr w:type="spellEnd"/>
      <w:r w:rsidRPr="003037D2">
        <w:rPr>
          <w:rFonts w:ascii="Garamond" w:hAnsi="Garamond"/>
        </w:rPr>
        <w:t xml:space="preserve"> of PRINCE, let us now behold the Death of ONE who was all, and every of these unto us.</w:t>
      </w:r>
      <w:r w:rsidRPr="003037D2">
        <w:rPr>
          <w:rStyle w:val="FootnoteReference"/>
          <w:rFonts w:ascii="Garamond" w:hAnsi="Garamond"/>
        </w:rPr>
        <w:footnoteReference w:id="700"/>
      </w:r>
    </w:p>
    <w:p w14:paraId="5EC0BCB0" w14:textId="77777777" w:rsidR="00162224" w:rsidRPr="003037D2" w:rsidRDefault="00162224" w:rsidP="00162224">
      <w:pPr>
        <w:ind w:left="737" w:right="737"/>
        <w:rPr>
          <w:rFonts w:ascii="Garamond" w:hAnsi="Garamond"/>
        </w:rPr>
      </w:pPr>
    </w:p>
    <w:p w14:paraId="2313A7CC" w14:textId="77777777" w:rsidR="00162224" w:rsidRPr="003037D2" w:rsidRDefault="00162224" w:rsidP="00162224">
      <w:pPr>
        <w:spacing w:line="360" w:lineRule="auto"/>
        <w:rPr>
          <w:rFonts w:ascii="Garamond" w:hAnsi="Garamond" w:cs="Times New Roman"/>
        </w:rPr>
      </w:pPr>
      <w:r w:rsidRPr="003037D2">
        <w:rPr>
          <w:rFonts w:ascii="Garamond" w:hAnsi="Garamond" w:cs="Times New Roman"/>
        </w:rPr>
        <w:t>Day draws on the recent death of the young Prince Henry, the month before his Christmas sermon, to meditate more generally on the other losses of the year. His congregation are brought together in a communal act of memory, as he acknowledges the human reality that with every celebration marking the passing of time (another Christmas, another New Year) necessarily comes an awareness of the losses that they have experienced in the preceding year. Day offers reassurance to his congregation, saying ‘the Death wee die in this world, which is no doubt a straight Gate, and the straightest perhaps that leadeth unto Heaven’.</w:t>
      </w:r>
      <w:r w:rsidRPr="003037D2">
        <w:rPr>
          <w:rStyle w:val="FootnoteReference"/>
          <w:rFonts w:ascii="Garamond" w:hAnsi="Garamond" w:cs="Times New Roman"/>
        </w:rPr>
        <w:footnoteReference w:id="701"/>
      </w:r>
      <w:r w:rsidRPr="003037D2">
        <w:rPr>
          <w:rFonts w:ascii="Garamond" w:hAnsi="Garamond" w:cs="Times New Roman"/>
        </w:rPr>
        <w:t xml:space="preserve"> He states that Jesus’s Passion was his </w:t>
      </w:r>
      <w:r w:rsidRPr="003037D2">
        <w:rPr>
          <w:rFonts w:ascii="Garamond" w:hAnsi="Garamond" w:cs="Times New Roman"/>
        </w:rPr>
        <w:lastRenderedPageBreak/>
        <w:t>‘means’ and he so ‘made our Redemption’.</w:t>
      </w:r>
      <w:r w:rsidRPr="003037D2">
        <w:rPr>
          <w:rStyle w:val="FootnoteReference"/>
          <w:rFonts w:ascii="Garamond" w:hAnsi="Garamond" w:cs="Times New Roman"/>
        </w:rPr>
        <w:footnoteReference w:id="702"/>
      </w:r>
      <w:r w:rsidRPr="003037D2">
        <w:rPr>
          <w:rFonts w:ascii="Garamond" w:hAnsi="Garamond" w:cs="Times New Roman"/>
        </w:rPr>
        <w:t xml:space="preserve"> A seeming ending in time has brought about eternal change. Donne similarly delivered a sermon on the Passion on Christmas Day 1626 at St. Paul’s, beginning the sermon by declaring that ‘the whole life of Christ was a </w:t>
      </w:r>
      <w:proofErr w:type="spellStart"/>
      <w:r w:rsidRPr="003037D2">
        <w:rPr>
          <w:rFonts w:ascii="Garamond" w:hAnsi="Garamond" w:cs="Times New Roman"/>
        </w:rPr>
        <w:t>continuall</w:t>
      </w:r>
      <w:proofErr w:type="spellEnd"/>
      <w:r w:rsidRPr="003037D2">
        <w:rPr>
          <w:rFonts w:ascii="Garamond" w:hAnsi="Garamond" w:cs="Times New Roman"/>
        </w:rPr>
        <w:t xml:space="preserve"> Passion… Christ was born a Martyr, He found a </w:t>
      </w:r>
      <w:r w:rsidRPr="003037D2">
        <w:rPr>
          <w:rFonts w:ascii="Garamond" w:hAnsi="Garamond" w:cs="Times New Roman"/>
          <w:i/>
          <w:iCs/>
        </w:rPr>
        <w:t xml:space="preserve">Golgotha… </w:t>
      </w:r>
      <w:r w:rsidRPr="003037D2">
        <w:rPr>
          <w:rFonts w:ascii="Garamond" w:hAnsi="Garamond" w:cs="Times New Roman"/>
        </w:rPr>
        <w:t xml:space="preserve">even in </w:t>
      </w:r>
      <w:proofErr w:type="spellStart"/>
      <w:r w:rsidRPr="003037D2">
        <w:rPr>
          <w:rFonts w:ascii="Garamond" w:hAnsi="Garamond" w:cs="Times New Roman"/>
        </w:rPr>
        <w:t>Bethlem</w:t>
      </w:r>
      <w:proofErr w:type="spellEnd"/>
      <w:r w:rsidRPr="003037D2">
        <w:rPr>
          <w:rFonts w:ascii="Garamond" w:hAnsi="Garamond" w:cs="Times New Roman"/>
        </w:rPr>
        <w:t xml:space="preserve">… [for] the straws were almost as sharp as the </w:t>
      </w:r>
      <w:proofErr w:type="spellStart"/>
      <w:r w:rsidRPr="003037D2">
        <w:rPr>
          <w:rFonts w:ascii="Garamond" w:hAnsi="Garamond" w:cs="Times New Roman"/>
        </w:rPr>
        <w:t>thornes</w:t>
      </w:r>
      <w:proofErr w:type="spellEnd"/>
      <w:r w:rsidRPr="003037D2">
        <w:rPr>
          <w:rFonts w:ascii="Garamond" w:hAnsi="Garamond" w:cs="Times New Roman"/>
        </w:rPr>
        <w:t xml:space="preserve"> after; and the Manger as </w:t>
      </w:r>
      <w:proofErr w:type="spellStart"/>
      <w:r w:rsidRPr="003037D2">
        <w:rPr>
          <w:rFonts w:ascii="Garamond" w:hAnsi="Garamond" w:cs="Times New Roman"/>
        </w:rPr>
        <w:t>uneasie</w:t>
      </w:r>
      <w:proofErr w:type="spellEnd"/>
      <w:r w:rsidRPr="003037D2">
        <w:rPr>
          <w:rFonts w:ascii="Garamond" w:hAnsi="Garamond" w:cs="Times New Roman"/>
        </w:rPr>
        <w:t xml:space="preserve"> at first, as his Crosse at last’. The scene of the Nativity is now one of foreboding, as Donne continues, ‘his birth and his death were but one </w:t>
      </w:r>
      <w:proofErr w:type="spellStart"/>
      <w:r w:rsidRPr="003037D2">
        <w:rPr>
          <w:rFonts w:ascii="Garamond" w:hAnsi="Garamond" w:cs="Times New Roman"/>
        </w:rPr>
        <w:t>continuall</w:t>
      </w:r>
      <w:proofErr w:type="spellEnd"/>
      <w:r w:rsidRPr="003037D2">
        <w:rPr>
          <w:rFonts w:ascii="Garamond" w:hAnsi="Garamond" w:cs="Times New Roman"/>
        </w:rPr>
        <w:t xml:space="preserve"> act, and his Christmas-day and his Good Friday, are but the evening and morning of one and the same day’.</w:t>
      </w:r>
      <w:r w:rsidRPr="003037D2">
        <w:rPr>
          <w:rStyle w:val="FootnoteReference"/>
          <w:rFonts w:ascii="Garamond" w:hAnsi="Garamond" w:cs="Times New Roman"/>
        </w:rPr>
        <w:footnoteReference w:id="703"/>
      </w:r>
      <w:r w:rsidRPr="003037D2">
        <w:rPr>
          <w:rFonts w:ascii="Garamond" w:hAnsi="Garamond" w:cs="Times New Roman"/>
        </w:rPr>
        <w:t xml:space="preserve"> Day’s Christmas sermon closes with a startling image, reminding the congregation of the falsity and danger of fearing death: </w:t>
      </w:r>
    </w:p>
    <w:p w14:paraId="4418FA40" w14:textId="77777777" w:rsidR="00162224" w:rsidRPr="003037D2" w:rsidRDefault="00162224" w:rsidP="00162224">
      <w:pPr>
        <w:ind w:left="737" w:right="737"/>
        <w:rPr>
          <w:rFonts w:ascii="Garamond" w:hAnsi="Garamond"/>
        </w:rPr>
      </w:pPr>
      <w:r w:rsidRPr="003037D2">
        <w:rPr>
          <w:rFonts w:ascii="Garamond" w:hAnsi="Garamond"/>
        </w:rPr>
        <w:t xml:space="preserve">Happy we, if we knew our </w:t>
      </w:r>
      <w:proofErr w:type="spellStart"/>
      <w:r w:rsidRPr="003037D2">
        <w:rPr>
          <w:rFonts w:ascii="Garamond" w:hAnsi="Garamond"/>
        </w:rPr>
        <w:t>Happynesse</w:t>
      </w:r>
      <w:proofErr w:type="spellEnd"/>
      <w:r w:rsidRPr="003037D2">
        <w:rPr>
          <w:rFonts w:ascii="Garamond" w:hAnsi="Garamond"/>
        </w:rPr>
        <w:t xml:space="preserve">. But if </w:t>
      </w:r>
      <w:proofErr w:type="gramStart"/>
      <w:r w:rsidRPr="003037D2">
        <w:rPr>
          <w:rFonts w:ascii="Garamond" w:hAnsi="Garamond"/>
        </w:rPr>
        <w:t>so</w:t>
      </w:r>
      <w:proofErr w:type="gramEnd"/>
      <w:r w:rsidRPr="003037D2">
        <w:rPr>
          <w:rFonts w:ascii="Garamond" w:hAnsi="Garamond"/>
        </w:rPr>
        <w:t xml:space="preserve"> be we now </w:t>
      </w:r>
      <w:proofErr w:type="spellStart"/>
      <w:r w:rsidRPr="003037D2">
        <w:rPr>
          <w:rFonts w:ascii="Garamond" w:hAnsi="Garamond"/>
        </w:rPr>
        <w:t>returne</w:t>
      </w:r>
      <w:proofErr w:type="spellEnd"/>
      <w:r w:rsidRPr="003037D2">
        <w:rPr>
          <w:rFonts w:ascii="Garamond" w:hAnsi="Garamond"/>
        </w:rPr>
        <w:t xml:space="preserve"> </w:t>
      </w:r>
      <w:proofErr w:type="spellStart"/>
      <w:r w:rsidRPr="003037D2">
        <w:rPr>
          <w:rFonts w:ascii="Garamond" w:hAnsi="Garamond"/>
        </w:rPr>
        <w:t>againe</w:t>
      </w:r>
      <w:proofErr w:type="spellEnd"/>
      <w:r w:rsidRPr="003037D2">
        <w:rPr>
          <w:rFonts w:ascii="Garamond" w:hAnsi="Garamond"/>
        </w:rPr>
        <w:t xml:space="preserve"> as doth the </w:t>
      </w:r>
      <w:proofErr w:type="spellStart"/>
      <w:r w:rsidRPr="003037D2">
        <w:rPr>
          <w:rFonts w:ascii="Garamond" w:hAnsi="Garamond"/>
        </w:rPr>
        <w:t>Dogge</w:t>
      </w:r>
      <w:proofErr w:type="spellEnd"/>
      <w:r w:rsidRPr="003037D2">
        <w:rPr>
          <w:rFonts w:ascii="Garamond" w:hAnsi="Garamond"/>
        </w:rPr>
        <w:t xml:space="preserve"> to his </w:t>
      </w:r>
      <w:proofErr w:type="spellStart"/>
      <w:r w:rsidRPr="003037D2">
        <w:rPr>
          <w:rFonts w:ascii="Garamond" w:hAnsi="Garamond"/>
        </w:rPr>
        <w:t>owne</w:t>
      </w:r>
      <w:proofErr w:type="spellEnd"/>
      <w:r w:rsidRPr="003037D2">
        <w:rPr>
          <w:rFonts w:ascii="Garamond" w:hAnsi="Garamond"/>
        </w:rPr>
        <w:t xml:space="preserve"> Vomit, or as the Sow that was washed, to the wallowing in the mire, our state is dangerous, our case </w:t>
      </w:r>
      <w:proofErr w:type="spellStart"/>
      <w:r w:rsidRPr="003037D2">
        <w:rPr>
          <w:rFonts w:ascii="Garamond" w:hAnsi="Garamond"/>
        </w:rPr>
        <w:t>fearefull</w:t>
      </w:r>
      <w:proofErr w:type="spellEnd"/>
      <w:r w:rsidRPr="003037D2">
        <w:rPr>
          <w:rFonts w:ascii="Garamond" w:hAnsi="Garamond"/>
        </w:rPr>
        <w:t xml:space="preserve">. St Austen speaking of the Dog [saith </w:t>
      </w:r>
      <w:proofErr w:type="gramStart"/>
      <w:r w:rsidRPr="003037D2">
        <w:rPr>
          <w:rFonts w:ascii="Garamond" w:hAnsi="Garamond"/>
        </w:rPr>
        <w:t>he]…</w:t>
      </w:r>
      <w:proofErr w:type="gramEnd"/>
      <w:r w:rsidRPr="003037D2">
        <w:rPr>
          <w:rFonts w:ascii="Garamond" w:hAnsi="Garamond"/>
        </w:rPr>
        <w:t xml:space="preserve"> </w:t>
      </w:r>
      <w:r w:rsidRPr="003037D2">
        <w:rPr>
          <w:rFonts w:ascii="Garamond" w:hAnsi="Garamond"/>
          <w:i/>
        </w:rPr>
        <w:t xml:space="preserve">If thou </w:t>
      </w:r>
      <w:proofErr w:type="spellStart"/>
      <w:r w:rsidRPr="003037D2">
        <w:rPr>
          <w:rFonts w:ascii="Garamond" w:hAnsi="Garamond"/>
          <w:i/>
        </w:rPr>
        <w:t>abhorrest</w:t>
      </w:r>
      <w:proofErr w:type="spellEnd"/>
      <w:r w:rsidRPr="003037D2">
        <w:rPr>
          <w:rFonts w:ascii="Garamond" w:hAnsi="Garamond"/>
          <w:i/>
        </w:rPr>
        <w:t xml:space="preserve"> to see a Dog to </w:t>
      </w:r>
      <w:proofErr w:type="spellStart"/>
      <w:r w:rsidRPr="003037D2">
        <w:rPr>
          <w:rFonts w:ascii="Garamond" w:hAnsi="Garamond"/>
          <w:i/>
        </w:rPr>
        <w:t>doe</w:t>
      </w:r>
      <w:proofErr w:type="spellEnd"/>
      <w:r w:rsidRPr="003037D2">
        <w:rPr>
          <w:rFonts w:ascii="Garamond" w:hAnsi="Garamond"/>
          <w:i/>
        </w:rPr>
        <w:t xml:space="preserve"> so beastly in thy sight, imagine what thou thy </w:t>
      </w:r>
      <w:proofErr w:type="spellStart"/>
      <w:r w:rsidRPr="003037D2">
        <w:rPr>
          <w:rFonts w:ascii="Garamond" w:hAnsi="Garamond"/>
          <w:i/>
        </w:rPr>
        <w:t>selfe</w:t>
      </w:r>
      <w:proofErr w:type="spellEnd"/>
      <w:r w:rsidRPr="003037D2">
        <w:rPr>
          <w:rFonts w:ascii="Garamond" w:hAnsi="Garamond"/>
          <w:i/>
        </w:rPr>
        <w:t xml:space="preserve"> art, if so bee thou </w:t>
      </w:r>
      <w:proofErr w:type="spellStart"/>
      <w:r w:rsidRPr="003037D2">
        <w:rPr>
          <w:rFonts w:ascii="Garamond" w:hAnsi="Garamond"/>
          <w:i/>
        </w:rPr>
        <w:t>shouldst</w:t>
      </w:r>
      <w:proofErr w:type="spellEnd"/>
      <w:r w:rsidRPr="003037D2">
        <w:rPr>
          <w:rFonts w:ascii="Garamond" w:hAnsi="Garamond"/>
          <w:i/>
        </w:rPr>
        <w:t xml:space="preserve"> so doe, in the sight of God</w:t>
      </w:r>
      <w:r w:rsidRPr="003037D2">
        <w:rPr>
          <w:rFonts w:ascii="Garamond" w:hAnsi="Garamond"/>
        </w:rPr>
        <w:t>.</w:t>
      </w:r>
      <w:r w:rsidRPr="003037D2">
        <w:rPr>
          <w:rStyle w:val="FootnoteReference"/>
          <w:rFonts w:ascii="Garamond" w:hAnsi="Garamond"/>
        </w:rPr>
        <w:footnoteReference w:id="704"/>
      </w:r>
    </w:p>
    <w:p w14:paraId="0D454B7C" w14:textId="77777777" w:rsidR="00162224" w:rsidRPr="003037D2" w:rsidRDefault="00162224" w:rsidP="00162224">
      <w:pPr>
        <w:ind w:left="737" w:right="737"/>
        <w:rPr>
          <w:rFonts w:ascii="Garamond" w:hAnsi="Garamond"/>
        </w:rPr>
      </w:pPr>
    </w:p>
    <w:p w14:paraId="366D8C8B" w14:textId="37C220BB" w:rsidR="00162224" w:rsidRPr="003037D2" w:rsidRDefault="00162224" w:rsidP="00162224">
      <w:pPr>
        <w:spacing w:line="360" w:lineRule="auto"/>
        <w:rPr>
          <w:rFonts w:ascii="Garamond" w:hAnsi="Garamond"/>
        </w:rPr>
      </w:pPr>
      <w:r w:rsidRPr="003037D2">
        <w:rPr>
          <w:rFonts w:ascii="Garamond" w:hAnsi="Garamond"/>
        </w:rPr>
        <w:t xml:space="preserve">Jeremy </w:t>
      </w:r>
      <w:proofErr w:type="spellStart"/>
      <w:r w:rsidRPr="003037D2">
        <w:rPr>
          <w:rFonts w:ascii="Garamond" w:hAnsi="Garamond"/>
        </w:rPr>
        <w:t>Catto</w:t>
      </w:r>
      <w:proofErr w:type="spellEnd"/>
      <w:r w:rsidRPr="003037D2">
        <w:rPr>
          <w:rFonts w:ascii="Garamond" w:hAnsi="Garamond"/>
        </w:rPr>
        <w:t xml:space="preserve"> suggest that Day’s sermons at St. Mary’s were intended as ‘plain exposition of Protestant teaching for a lay congregation’, and that can perhaps account for this choice of imagery. The image of a dog eating its own vomit is startlingly crude</w:t>
      </w:r>
      <w:r w:rsidR="00470D01">
        <w:rPr>
          <w:rFonts w:ascii="Garamond" w:hAnsi="Garamond"/>
        </w:rPr>
        <w:t>, despite being biblical in origin,</w:t>
      </w:r>
      <w:r w:rsidRPr="003037D2">
        <w:rPr>
          <w:rFonts w:ascii="Garamond" w:hAnsi="Garamond"/>
        </w:rPr>
        <w:t xml:space="preserve"> and would perhaps have reclaimed his audience’s attention at the end of a long sermon. Meanwhile, it works didactically to remind them of the ‘danger’ of allowing themselves to be fearful of their fate post death. </w:t>
      </w:r>
    </w:p>
    <w:p w14:paraId="05210446" w14:textId="77777777" w:rsidR="001117A3" w:rsidRPr="003037D2" w:rsidRDefault="001117A3" w:rsidP="00162224">
      <w:pPr>
        <w:spacing w:line="360" w:lineRule="auto"/>
        <w:rPr>
          <w:rFonts w:ascii="Garamond" w:hAnsi="Garamond"/>
        </w:rPr>
      </w:pPr>
    </w:p>
    <w:p w14:paraId="23B588B0" w14:textId="77777777" w:rsidR="00162224" w:rsidRPr="003037D2" w:rsidRDefault="00162224" w:rsidP="00162224">
      <w:pPr>
        <w:pStyle w:val="Heading2"/>
        <w:numPr>
          <w:ilvl w:val="0"/>
          <w:numId w:val="19"/>
        </w:numPr>
        <w:rPr>
          <w:i w:val="0"/>
          <w:iCs/>
          <w:sz w:val="28"/>
          <w:szCs w:val="28"/>
        </w:rPr>
      </w:pPr>
      <w:bookmarkStart w:id="87" w:name="_Toc3967192"/>
      <w:bookmarkEnd w:id="65"/>
      <w:r w:rsidRPr="003037D2">
        <w:rPr>
          <w:i w:val="0"/>
          <w:iCs/>
          <w:sz w:val="28"/>
          <w:szCs w:val="28"/>
        </w:rPr>
        <w:t>Popular preachers</w:t>
      </w:r>
      <w:bookmarkEnd w:id="87"/>
      <w:r w:rsidRPr="003037D2">
        <w:rPr>
          <w:i w:val="0"/>
          <w:iCs/>
          <w:sz w:val="28"/>
          <w:szCs w:val="28"/>
        </w:rPr>
        <w:t xml:space="preserve"> </w:t>
      </w:r>
    </w:p>
    <w:p w14:paraId="064999C3" w14:textId="77777777" w:rsidR="00162224" w:rsidRPr="003037D2" w:rsidRDefault="00162224" w:rsidP="00162224">
      <w:pPr>
        <w:spacing w:line="360" w:lineRule="auto"/>
        <w:rPr>
          <w:rFonts w:ascii="Garamond" w:hAnsi="Garamond"/>
        </w:rPr>
      </w:pPr>
    </w:p>
    <w:p w14:paraId="509C8ECD" w14:textId="7D4ADF54" w:rsidR="00162224" w:rsidRDefault="00162224" w:rsidP="00162224">
      <w:pPr>
        <w:spacing w:line="360" w:lineRule="auto"/>
        <w:rPr>
          <w:rFonts w:ascii="Garamond" w:hAnsi="Garamond"/>
        </w:rPr>
      </w:pPr>
      <w:r w:rsidRPr="003037D2">
        <w:rPr>
          <w:rFonts w:ascii="Garamond" w:hAnsi="Garamond"/>
        </w:rPr>
        <w:tab/>
        <w:t xml:space="preserve">In the survey, John Donne was the most published preacher, with seventeen sermon books published in the period 1620-1642. Of these, 76% specified the place of preaching on their title page and 71% the date preached. This is slightly more than the averages (see </w:t>
      </w:r>
      <w:r w:rsidRPr="003037D2">
        <w:rPr>
          <w:rFonts w:ascii="Garamond" w:hAnsi="Garamond"/>
        </w:rPr>
        <w:fldChar w:fldCharType="begin"/>
      </w:r>
      <w:r w:rsidRPr="003037D2">
        <w:rPr>
          <w:rFonts w:ascii="Garamond" w:hAnsi="Garamond"/>
        </w:rPr>
        <w:instrText xml:space="preserve"> REF _Ref513911276 \h  \* MERGEFORMAT </w:instrText>
      </w:r>
      <w:r w:rsidRPr="003037D2">
        <w:rPr>
          <w:rFonts w:ascii="Garamond" w:hAnsi="Garamond"/>
        </w:rPr>
      </w:r>
      <w:r w:rsidRPr="003037D2">
        <w:rPr>
          <w:rFonts w:ascii="Garamond" w:hAnsi="Garamond"/>
        </w:rPr>
        <w:fldChar w:fldCharType="separate"/>
      </w:r>
      <w:r w:rsidR="001117A3" w:rsidRPr="003037D2">
        <w:rPr>
          <w:rFonts w:ascii="Garamond" w:hAnsi="Garamond"/>
        </w:rPr>
        <w:t xml:space="preserve">Figure </w:t>
      </w:r>
      <w:r w:rsidR="001117A3" w:rsidRPr="003037D2">
        <w:rPr>
          <w:rFonts w:ascii="Garamond" w:hAnsi="Garamond"/>
          <w:noProof/>
        </w:rPr>
        <w:t>55</w:t>
      </w:r>
      <w:r w:rsidRPr="003037D2">
        <w:rPr>
          <w:rFonts w:ascii="Garamond" w:hAnsi="Garamond"/>
        </w:rPr>
        <w:fldChar w:fldCharType="end"/>
      </w:r>
      <w:r w:rsidRPr="003037D2">
        <w:rPr>
          <w:rFonts w:ascii="Garamond" w:hAnsi="Garamond"/>
        </w:rPr>
        <w:t xml:space="preserve"> and </w:t>
      </w:r>
      <w:r w:rsidRPr="003037D2">
        <w:rPr>
          <w:rFonts w:ascii="Garamond" w:hAnsi="Garamond"/>
        </w:rPr>
        <w:fldChar w:fldCharType="begin"/>
      </w:r>
      <w:r w:rsidRPr="003037D2">
        <w:rPr>
          <w:rFonts w:ascii="Garamond" w:hAnsi="Garamond"/>
        </w:rPr>
        <w:instrText xml:space="preserve"> REF _Ref513911278 \h  \* MERGEFORMAT </w:instrText>
      </w:r>
      <w:r w:rsidRPr="003037D2">
        <w:rPr>
          <w:rFonts w:ascii="Garamond" w:hAnsi="Garamond"/>
        </w:rPr>
      </w:r>
      <w:r w:rsidRPr="003037D2">
        <w:rPr>
          <w:rFonts w:ascii="Garamond" w:hAnsi="Garamond"/>
        </w:rPr>
        <w:fldChar w:fldCharType="separate"/>
      </w:r>
      <w:r w:rsidR="001117A3" w:rsidRPr="003037D2">
        <w:rPr>
          <w:rFonts w:ascii="Garamond" w:hAnsi="Garamond"/>
        </w:rPr>
        <w:t xml:space="preserve">Figure </w:t>
      </w:r>
      <w:r w:rsidR="001117A3" w:rsidRPr="003037D2">
        <w:rPr>
          <w:rFonts w:ascii="Garamond" w:hAnsi="Garamond"/>
          <w:noProof/>
        </w:rPr>
        <w:t>56</w:t>
      </w:r>
      <w:r w:rsidRPr="003037D2">
        <w:rPr>
          <w:rFonts w:ascii="Garamond" w:hAnsi="Garamond"/>
        </w:rPr>
        <w:fldChar w:fldCharType="end"/>
      </w:r>
      <w:r w:rsidRPr="003037D2">
        <w:rPr>
          <w:rFonts w:ascii="Garamond" w:hAnsi="Garamond"/>
        </w:rPr>
        <w:t>)</w:t>
      </w:r>
      <w:r w:rsidR="00ED0F4C">
        <w:rPr>
          <w:rFonts w:ascii="Garamond" w:hAnsi="Garamond"/>
        </w:rPr>
        <w:t>.</w:t>
      </w:r>
      <w:r w:rsidRPr="003037D2">
        <w:rPr>
          <w:rFonts w:ascii="Garamond" w:hAnsi="Garamond"/>
        </w:rPr>
        <w:t xml:space="preserve"> However, this is not to such an extent that it can be said to be highly significant. The </w:t>
      </w:r>
      <w:proofErr w:type="spellStart"/>
      <w:r w:rsidRPr="003037D2">
        <w:rPr>
          <w:rFonts w:ascii="Garamond" w:hAnsi="Garamond"/>
        </w:rPr>
        <w:t>organisation</w:t>
      </w:r>
      <w:proofErr w:type="spellEnd"/>
      <w:r w:rsidRPr="003037D2">
        <w:rPr>
          <w:rFonts w:ascii="Garamond" w:hAnsi="Garamond"/>
        </w:rPr>
        <w:t xml:space="preserve"> of the new Oxford edition of Donne’s sermons draws attention to how he shaped his rhetoric to the time and space in which he spoke. Whilst this is often </w:t>
      </w:r>
      <w:proofErr w:type="spellStart"/>
      <w:r w:rsidRPr="003037D2">
        <w:rPr>
          <w:rFonts w:ascii="Garamond" w:hAnsi="Garamond"/>
        </w:rPr>
        <w:t>characterised</w:t>
      </w:r>
      <w:proofErr w:type="spellEnd"/>
      <w:r w:rsidRPr="003037D2">
        <w:rPr>
          <w:rFonts w:ascii="Garamond" w:hAnsi="Garamond"/>
        </w:rPr>
        <w:t xml:space="preserve"> as a particularly Donnean characteristic, it is perhaps useful to compare Donne’s practice to that of other </w:t>
      </w:r>
      <w:r w:rsidRPr="003037D2">
        <w:rPr>
          <w:rFonts w:ascii="Garamond" w:hAnsi="Garamond"/>
        </w:rPr>
        <w:lastRenderedPageBreak/>
        <w:t>popularly published preachers at the same time.</w:t>
      </w:r>
      <w:r w:rsidRPr="003037D2">
        <w:rPr>
          <w:rStyle w:val="FootnoteReference"/>
          <w:rFonts w:ascii="Garamond" w:hAnsi="Garamond"/>
        </w:rPr>
        <w:footnoteReference w:id="705"/>
      </w:r>
      <w:r w:rsidRPr="003037D2">
        <w:rPr>
          <w:rFonts w:ascii="Garamond" w:hAnsi="Garamond"/>
        </w:rPr>
        <w:t xml:space="preserve">  During the twenty-two year period I surveyed, there were five other preachers who published ten or more sermon books, </w:t>
      </w:r>
      <w:proofErr w:type="spellStart"/>
      <w:r w:rsidRPr="003037D2">
        <w:rPr>
          <w:rFonts w:ascii="Garamond" w:hAnsi="Garamond"/>
        </w:rPr>
        <w:t>summarised</w:t>
      </w:r>
      <w:proofErr w:type="spellEnd"/>
      <w:r w:rsidRPr="003037D2">
        <w:rPr>
          <w:rFonts w:ascii="Garamond" w:hAnsi="Garamond"/>
        </w:rPr>
        <w:t xml:space="preserve"> in the table below. </w:t>
      </w:r>
    </w:p>
    <w:p w14:paraId="3C668D0F" w14:textId="77777777" w:rsidR="00667CD5" w:rsidRPr="003037D2" w:rsidRDefault="00667CD5" w:rsidP="00162224">
      <w:pPr>
        <w:spacing w:line="360" w:lineRule="auto"/>
        <w:rPr>
          <w:rFonts w:ascii="Garamond" w:hAnsi="Garamond"/>
        </w:rPr>
      </w:pPr>
    </w:p>
    <w:tbl>
      <w:tblPr>
        <w:tblW w:w="0" w:type="auto"/>
        <w:tblLook w:val="04A0" w:firstRow="1" w:lastRow="0" w:firstColumn="1" w:lastColumn="0" w:noHBand="0" w:noVBand="1"/>
      </w:tblPr>
      <w:tblGrid>
        <w:gridCol w:w="1239"/>
        <w:gridCol w:w="709"/>
        <w:gridCol w:w="599"/>
        <w:gridCol w:w="660"/>
        <w:gridCol w:w="610"/>
        <w:gridCol w:w="658"/>
        <w:gridCol w:w="578"/>
        <w:gridCol w:w="637"/>
        <w:gridCol w:w="562"/>
        <w:gridCol w:w="626"/>
        <w:gridCol w:w="670"/>
        <w:gridCol w:w="627"/>
      </w:tblGrid>
      <w:tr w:rsidR="00162224" w:rsidRPr="003037D2" w14:paraId="48B6B6F2" w14:textId="77777777" w:rsidTr="00162224">
        <w:tc>
          <w:tcPr>
            <w:tcW w:w="1585" w:type="dxa"/>
            <w:vMerge w:val="restart"/>
          </w:tcPr>
          <w:p w14:paraId="211F3AD2" w14:textId="77777777" w:rsidR="00162224" w:rsidRPr="003037D2" w:rsidRDefault="00162224" w:rsidP="00162224">
            <w:pPr>
              <w:spacing w:line="360" w:lineRule="auto"/>
              <w:rPr>
                <w:rFonts w:ascii="Garamond" w:hAnsi="Garamond"/>
              </w:rPr>
            </w:pPr>
          </w:p>
        </w:tc>
        <w:tc>
          <w:tcPr>
            <w:tcW w:w="669" w:type="dxa"/>
            <w:vMerge w:val="restart"/>
          </w:tcPr>
          <w:p w14:paraId="462056CA" w14:textId="77777777" w:rsidR="00162224" w:rsidRPr="003037D2" w:rsidRDefault="00162224" w:rsidP="00162224">
            <w:pPr>
              <w:spacing w:line="360" w:lineRule="auto"/>
              <w:jc w:val="center"/>
              <w:rPr>
                <w:rFonts w:ascii="Garamond" w:hAnsi="Garamond"/>
              </w:rPr>
            </w:pPr>
          </w:p>
          <w:p w14:paraId="61AE6EAE" w14:textId="77777777" w:rsidR="00162224" w:rsidRPr="003037D2" w:rsidRDefault="00162224" w:rsidP="00162224">
            <w:pPr>
              <w:spacing w:line="360" w:lineRule="auto"/>
              <w:jc w:val="center"/>
              <w:rPr>
                <w:rFonts w:ascii="Garamond" w:hAnsi="Garamond"/>
              </w:rPr>
            </w:pPr>
            <w:r w:rsidRPr="003037D2">
              <w:rPr>
                <w:rFonts w:ascii="Garamond" w:hAnsi="Garamond"/>
              </w:rPr>
              <w:t>Total</w:t>
            </w:r>
          </w:p>
        </w:tc>
        <w:tc>
          <w:tcPr>
            <w:tcW w:w="1172" w:type="dxa"/>
            <w:gridSpan w:val="2"/>
          </w:tcPr>
          <w:p w14:paraId="7BD8E73E" w14:textId="77777777" w:rsidR="00162224" w:rsidRPr="003037D2" w:rsidRDefault="00162224" w:rsidP="00162224">
            <w:pPr>
              <w:spacing w:line="360" w:lineRule="auto"/>
              <w:rPr>
                <w:rFonts w:ascii="Garamond" w:hAnsi="Garamond"/>
              </w:rPr>
            </w:pPr>
            <w:r w:rsidRPr="003037D2">
              <w:rPr>
                <w:rFonts w:ascii="Garamond" w:hAnsi="Garamond"/>
              </w:rPr>
              <w:t>Collections</w:t>
            </w:r>
          </w:p>
        </w:tc>
        <w:tc>
          <w:tcPr>
            <w:tcW w:w="1458" w:type="dxa"/>
            <w:gridSpan w:val="2"/>
          </w:tcPr>
          <w:p w14:paraId="4B2C3427" w14:textId="77777777" w:rsidR="00162224" w:rsidRPr="003037D2" w:rsidRDefault="00162224" w:rsidP="00162224">
            <w:pPr>
              <w:spacing w:line="360" w:lineRule="auto"/>
              <w:rPr>
                <w:rFonts w:ascii="Garamond" w:hAnsi="Garamond"/>
              </w:rPr>
            </w:pPr>
            <w:r w:rsidRPr="003037D2">
              <w:rPr>
                <w:rFonts w:ascii="Garamond" w:hAnsi="Garamond"/>
              </w:rPr>
              <w:t>Place of preaching</w:t>
            </w:r>
          </w:p>
        </w:tc>
        <w:tc>
          <w:tcPr>
            <w:tcW w:w="1452" w:type="dxa"/>
            <w:gridSpan w:val="2"/>
          </w:tcPr>
          <w:p w14:paraId="79D9951B" w14:textId="77777777" w:rsidR="00162224" w:rsidRPr="003037D2" w:rsidRDefault="00162224" w:rsidP="00162224">
            <w:pPr>
              <w:spacing w:line="360" w:lineRule="auto"/>
              <w:rPr>
                <w:rFonts w:ascii="Garamond" w:hAnsi="Garamond"/>
              </w:rPr>
            </w:pPr>
            <w:r w:rsidRPr="003037D2">
              <w:rPr>
                <w:rFonts w:ascii="Garamond" w:hAnsi="Garamond"/>
              </w:rPr>
              <w:t xml:space="preserve">Date specified </w:t>
            </w:r>
          </w:p>
        </w:tc>
        <w:tc>
          <w:tcPr>
            <w:tcW w:w="1444" w:type="dxa"/>
            <w:gridSpan w:val="2"/>
          </w:tcPr>
          <w:p w14:paraId="2B3A1DF4" w14:textId="77777777" w:rsidR="00162224" w:rsidRPr="003037D2" w:rsidRDefault="00162224" w:rsidP="00162224">
            <w:pPr>
              <w:spacing w:line="360" w:lineRule="auto"/>
              <w:rPr>
                <w:rFonts w:ascii="Garamond" w:hAnsi="Garamond"/>
              </w:rPr>
            </w:pPr>
            <w:r w:rsidRPr="003037D2">
              <w:rPr>
                <w:rFonts w:ascii="Garamond" w:hAnsi="Garamond"/>
              </w:rPr>
              <w:t xml:space="preserve">Both date and place </w:t>
            </w:r>
          </w:p>
        </w:tc>
        <w:tc>
          <w:tcPr>
            <w:tcW w:w="1462" w:type="dxa"/>
            <w:gridSpan w:val="2"/>
          </w:tcPr>
          <w:p w14:paraId="6F9BD7E7" w14:textId="77777777" w:rsidR="00162224" w:rsidRPr="003037D2" w:rsidRDefault="00162224" w:rsidP="00162224">
            <w:pPr>
              <w:spacing w:line="360" w:lineRule="auto"/>
              <w:rPr>
                <w:rFonts w:ascii="Garamond" w:hAnsi="Garamond"/>
              </w:rPr>
            </w:pPr>
            <w:r w:rsidRPr="003037D2">
              <w:rPr>
                <w:rFonts w:ascii="Garamond" w:hAnsi="Garamond"/>
              </w:rPr>
              <w:t xml:space="preserve">Preacher’s living </w:t>
            </w:r>
          </w:p>
        </w:tc>
      </w:tr>
      <w:tr w:rsidR="00162224" w:rsidRPr="003037D2" w14:paraId="38ACC26C" w14:textId="77777777" w:rsidTr="00162224">
        <w:tc>
          <w:tcPr>
            <w:tcW w:w="1585" w:type="dxa"/>
            <w:vMerge/>
          </w:tcPr>
          <w:p w14:paraId="24954FD6" w14:textId="77777777" w:rsidR="00162224" w:rsidRPr="003037D2" w:rsidRDefault="00162224" w:rsidP="00162224">
            <w:pPr>
              <w:spacing w:line="360" w:lineRule="auto"/>
              <w:rPr>
                <w:rFonts w:ascii="Garamond" w:hAnsi="Garamond"/>
              </w:rPr>
            </w:pPr>
          </w:p>
        </w:tc>
        <w:tc>
          <w:tcPr>
            <w:tcW w:w="669" w:type="dxa"/>
            <w:vMerge/>
          </w:tcPr>
          <w:p w14:paraId="0F248A21" w14:textId="77777777" w:rsidR="00162224" w:rsidRPr="003037D2" w:rsidRDefault="00162224" w:rsidP="00162224">
            <w:pPr>
              <w:spacing w:line="360" w:lineRule="auto"/>
              <w:rPr>
                <w:rFonts w:ascii="Garamond" w:hAnsi="Garamond"/>
              </w:rPr>
            </w:pPr>
          </w:p>
        </w:tc>
        <w:tc>
          <w:tcPr>
            <w:tcW w:w="537" w:type="dxa"/>
          </w:tcPr>
          <w:p w14:paraId="07D3CF1C" w14:textId="77777777" w:rsidR="00162224" w:rsidRPr="003037D2" w:rsidRDefault="00162224" w:rsidP="00162224">
            <w:pPr>
              <w:spacing w:line="360" w:lineRule="auto"/>
              <w:rPr>
                <w:rFonts w:ascii="Garamond" w:hAnsi="Garamond"/>
              </w:rPr>
            </w:pPr>
            <w:r w:rsidRPr="003037D2">
              <w:rPr>
                <w:rFonts w:ascii="Garamond" w:hAnsi="Garamond"/>
              </w:rPr>
              <w:t>#</w:t>
            </w:r>
          </w:p>
        </w:tc>
        <w:tc>
          <w:tcPr>
            <w:tcW w:w="635" w:type="dxa"/>
          </w:tcPr>
          <w:p w14:paraId="63BD24B6" w14:textId="77777777" w:rsidR="00162224" w:rsidRPr="003037D2" w:rsidRDefault="00162224" w:rsidP="00162224">
            <w:pPr>
              <w:spacing w:line="360" w:lineRule="auto"/>
              <w:rPr>
                <w:rFonts w:ascii="Garamond" w:hAnsi="Garamond"/>
              </w:rPr>
            </w:pPr>
            <w:r w:rsidRPr="003037D2">
              <w:rPr>
                <w:rFonts w:ascii="Garamond" w:hAnsi="Garamond"/>
              </w:rPr>
              <w:t>%</w:t>
            </w:r>
          </w:p>
        </w:tc>
        <w:tc>
          <w:tcPr>
            <w:tcW w:w="731" w:type="dxa"/>
          </w:tcPr>
          <w:p w14:paraId="6A363527" w14:textId="77777777" w:rsidR="00162224" w:rsidRPr="003037D2" w:rsidRDefault="00162224" w:rsidP="00162224">
            <w:pPr>
              <w:spacing w:line="360" w:lineRule="auto"/>
              <w:rPr>
                <w:rFonts w:ascii="Garamond" w:hAnsi="Garamond"/>
              </w:rPr>
            </w:pPr>
            <w:r w:rsidRPr="003037D2">
              <w:rPr>
                <w:rFonts w:ascii="Garamond" w:hAnsi="Garamond"/>
              </w:rPr>
              <w:t>#</w:t>
            </w:r>
          </w:p>
        </w:tc>
        <w:tc>
          <w:tcPr>
            <w:tcW w:w="727" w:type="dxa"/>
          </w:tcPr>
          <w:p w14:paraId="3CA20D9B" w14:textId="77777777" w:rsidR="00162224" w:rsidRPr="003037D2" w:rsidRDefault="00162224" w:rsidP="00162224">
            <w:pPr>
              <w:spacing w:line="360" w:lineRule="auto"/>
              <w:rPr>
                <w:rFonts w:ascii="Garamond" w:hAnsi="Garamond"/>
              </w:rPr>
            </w:pPr>
            <w:r w:rsidRPr="003037D2">
              <w:rPr>
                <w:rFonts w:ascii="Garamond" w:hAnsi="Garamond"/>
              </w:rPr>
              <w:t>%</w:t>
            </w:r>
          </w:p>
        </w:tc>
        <w:tc>
          <w:tcPr>
            <w:tcW w:w="727" w:type="dxa"/>
          </w:tcPr>
          <w:p w14:paraId="2FF0D77D" w14:textId="77777777" w:rsidR="00162224" w:rsidRPr="003037D2" w:rsidRDefault="00162224" w:rsidP="00162224">
            <w:pPr>
              <w:spacing w:line="360" w:lineRule="auto"/>
              <w:rPr>
                <w:rFonts w:ascii="Garamond" w:hAnsi="Garamond"/>
              </w:rPr>
            </w:pPr>
            <w:r w:rsidRPr="003037D2">
              <w:rPr>
                <w:rFonts w:ascii="Garamond" w:hAnsi="Garamond"/>
              </w:rPr>
              <w:t>#</w:t>
            </w:r>
          </w:p>
        </w:tc>
        <w:tc>
          <w:tcPr>
            <w:tcW w:w="725" w:type="dxa"/>
          </w:tcPr>
          <w:p w14:paraId="4587AAA1" w14:textId="77777777" w:rsidR="00162224" w:rsidRPr="003037D2" w:rsidRDefault="00162224" w:rsidP="00162224">
            <w:pPr>
              <w:spacing w:line="360" w:lineRule="auto"/>
              <w:rPr>
                <w:rFonts w:ascii="Garamond" w:hAnsi="Garamond"/>
              </w:rPr>
            </w:pPr>
            <w:r w:rsidRPr="003037D2">
              <w:rPr>
                <w:rFonts w:ascii="Garamond" w:hAnsi="Garamond"/>
              </w:rPr>
              <w:t>%</w:t>
            </w:r>
          </w:p>
        </w:tc>
        <w:tc>
          <w:tcPr>
            <w:tcW w:w="722" w:type="dxa"/>
          </w:tcPr>
          <w:p w14:paraId="00A9C2A0" w14:textId="77777777" w:rsidR="00162224" w:rsidRPr="003037D2" w:rsidRDefault="00162224" w:rsidP="00162224">
            <w:pPr>
              <w:spacing w:line="360" w:lineRule="auto"/>
              <w:rPr>
                <w:rFonts w:ascii="Garamond" w:hAnsi="Garamond"/>
              </w:rPr>
            </w:pPr>
            <w:r w:rsidRPr="003037D2">
              <w:rPr>
                <w:rFonts w:ascii="Garamond" w:hAnsi="Garamond"/>
              </w:rPr>
              <w:t>#</w:t>
            </w:r>
          </w:p>
        </w:tc>
        <w:tc>
          <w:tcPr>
            <w:tcW w:w="722" w:type="dxa"/>
          </w:tcPr>
          <w:p w14:paraId="0B9C2954" w14:textId="77777777" w:rsidR="00162224" w:rsidRPr="003037D2" w:rsidRDefault="00162224" w:rsidP="00162224">
            <w:pPr>
              <w:spacing w:line="360" w:lineRule="auto"/>
              <w:rPr>
                <w:rFonts w:ascii="Garamond" w:hAnsi="Garamond"/>
              </w:rPr>
            </w:pPr>
            <w:r w:rsidRPr="003037D2">
              <w:rPr>
                <w:rFonts w:ascii="Garamond" w:hAnsi="Garamond"/>
              </w:rPr>
              <w:t>%</w:t>
            </w:r>
          </w:p>
        </w:tc>
        <w:tc>
          <w:tcPr>
            <w:tcW w:w="733" w:type="dxa"/>
          </w:tcPr>
          <w:p w14:paraId="00EA2DA6" w14:textId="77777777" w:rsidR="00162224" w:rsidRPr="003037D2" w:rsidRDefault="00162224" w:rsidP="00162224">
            <w:pPr>
              <w:spacing w:line="360" w:lineRule="auto"/>
              <w:rPr>
                <w:rFonts w:ascii="Garamond" w:hAnsi="Garamond"/>
              </w:rPr>
            </w:pPr>
            <w:r w:rsidRPr="003037D2">
              <w:rPr>
                <w:rFonts w:ascii="Garamond" w:hAnsi="Garamond"/>
              </w:rPr>
              <w:t>#</w:t>
            </w:r>
          </w:p>
        </w:tc>
        <w:tc>
          <w:tcPr>
            <w:tcW w:w="729" w:type="dxa"/>
          </w:tcPr>
          <w:p w14:paraId="32E5E5C7" w14:textId="77777777" w:rsidR="00162224" w:rsidRPr="003037D2" w:rsidRDefault="00162224" w:rsidP="00162224">
            <w:pPr>
              <w:spacing w:line="360" w:lineRule="auto"/>
              <w:rPr>
                <w:rFonts w:ascii="Garamond" w:hAnsi="Garamond"/>
              </w:rPr>
            </w:pPr>
            <w:r w:rsidRPr="003037D2">
              <w:rPr>
                <w:rFonts w:ascii="Garamond" w:hAnsi="Garamond"/>
              </w:rPr>
              <w:t>%</w:t>
            </w:r>
          </w:p>
        </w:tc>
      </w:tr>
      <w:tr w:rsidR="00162224" w:rsidRPr="003037D2" w14:paraId="74E7D967" w14:textId="77777777" w:rsidTr="00162224">
        <w:tc>
          <w:tcPr>
            <w:tcW w:w="1585" w:type="dxa"/>
          </w:tcPr>
          <w:p w14:paraId="56AB7CA1" w14:textId="77777777" w:rsidR="00162224" w:rsidRPr="003037D2" w:rsidRDefault="00162224" w:rsidP="00162224">
            <w:pPr>
              <w:spacing w:line="360" w:lineRule="auto"/>
              <w:rPr>
                <w:rFonts w:ascii="Garamond" w:hAnsi="Garamond"/>
              </w:rPr>
            </w:pPr>
            <w:r w:rsidRPr="003037D2">
              <w:rPr>
                <w:rFonts w:ascii="Garamond" w:hAnsi="Garamond"/>
              </w:rPr>
              <w:t xml:space="preserve">John Donne </w:t>
            </w:r>
          </w:p>
        </w:tc>
        <w:tc>
          <w:tcPr>
            <w:tcW w:w="669" w:type="dxa"/>
          </w:tcPr>
          <w:p w14:paraId="0BD90CB3" w14:textId="77777777" w:rsidR="00162224" w:rsidRPr="003037D2" w:rsidRDefault="00162224" w:rsidP="00162224">
            <w:pPr>
              <w:spacing w:line="360" w:lineRule="auto"/>
              <w:rPr>
                <w:rFonts w:ascii="Garamond" w:hAnsi="Garamond"/>
              </w:rPr>
            </w:pPr>
            <w:r w:rsidRPr="003037D2">
              <w:rPr>
                <w:rFonts w:ascii="Garamond" w:hAnsi="Garamond"/>
              </w:rPr>
              <w:t xml:space="preserve">17 </w:t>
            </w:r>
          </w:p>
        </w:tc>
        <w:tc>
          <w:tcPr>
            <w:tcW w:w="537" w:type="dxa"/>
          </w:tcPr>
          <w:p w14:paraId="20C8EB32" w14:textId="77777777" w:rsidR="00162224" w:rsidRPr="003037D2" w:rsidRDefault="00162224" w:rsidP="00162224">
            <w:pPr>
              <w:spacing w:line="360" w:lineRule="auto"/>
              <w:rPr>
                <w:rFonts w:ascii="Garamond" w:hAnsi="Garamond"/>
              </w:rPr>
            </w:pPr>
            <w:r w:rsidRPr="003037D2">
              <w:rPr>
                <w:rFonts w:ascii="Garamond" w:hAnsi="Garamond"/>
              </w:rPr>
              <w:t>6</w:t>
            </w:r>
          </w:p>
        </w:tc>
        <w:tc>
          <w:tcPr>
            <w:tcW w:w="635" w:type="dxa"/>
          </w:tcPr>
          <w:p w14:paraId="56F3B188" w14:textId="77777777" w:rsidR="00162224" w:rsidRPr="003037D2" w:rsidRDefault="00162224" w:rsidP="00162224">
            <w:pPr>
              <w:spacing w:line="360" w:lineRule="auto"/>
              <w:rPr>
                <w:rFonts w:ascii="Garamond" w:hAnsi="Garamond"/>
              </w:rPr>
            </w:pPr>
            <w:r w:rsidRPr="003037D2">
              <w:rPr>
                <w:rFonts w:ascii="Garamond" w:hAnsi="Garamond"/>
              </w:rPr>
              <w:t>35</w:t>
            </w:r>
          </w:p>
        </w:tc>
        <w:tc>
          <w:tcPr>
            <w:tcW w:w="731" w:type="dxa"/>
          </w:tcPr>
          <w:p w14:paraId="5DEE9C79" w14:textId="77777777" w:rsidR="00162224" w:rsidRPr="003037D2" w:rsidRDefault="00162224" w:rsidP="00162224">
            <w:pPr>
              <w:spacing w:line="360" w:lineRule="auto"/>
              <w:rPr>
                <w:rFonts w:ascii="Garamond" w:hAnsi="Garamond"/>
              </w:rPr>
            </w:pPr>
            <w:r w:rsidRPr="003037D2">
              <w:rPr>
                <w:rFonts w:ascii="Garamond" w:hAnsi="Garamond"/>
              </w:rPr>
              <w:t>13</w:t>
            </w:r>
          </w:p>
        </w:tc>
        <w:tc>
          <w:tcPr>
            <w:tcW w:w="727" w:type="dxa"/>
          </w:tcPr>
          <w:p w14:paraId="25F5C7A4" w14:textId="77777777" w:rsidR="00162224" w:rsidRPr="003037D2" w:rsidRDefault="00162224" w:rsidP="00162224">
            <w:pPr>
              <w:spacing w:line="360" w:lineRule="auto"/>
              <w:rPr>
                <w:rFonts w:ascii="Garamond" w:hAnsi="Garamond"/>
              </w:rPr>
            </w:pPr>
            <w:r w:rsidRPr="003037D2">
              <w:rPr>
                <w:rFonts w:ascii="Garamond" w:hAnsi="Garamond"/>
              </w:rPr>
              <w:t>76</w:t>
            </w:r>
          </w:p>
        </w:tc>
        <w:tc>
          <w:tcPr>
            <w:tcW w:w="727" w:type="dxa"/>
          </w:tcPr>
          <w:p w14:paraId="60F8B7D1" w14:textId="77777777" w:rsidR="00162224" w:rsidRPr="003037D2" w:rsidRDefault="00162224" w:rsidP="00162224">
            <w:pPr>
              <w:spacing w:line="360" w:lineRule="auto"/>
              <w:rPr>
                <w:rFonts w:ascii="Garamond" w:hAnsi="Garamond"/>
              </w:rPr>
            </w:pPr>
            <w:r w:rsidRPr="003037D2">
              <w:rPr>
                <w:rFonts w:ascii="Garamond" w:hAnsi="Garamond"/>
              </w:rPr>
              <w:t>12</w:t>
            </w:r>
          </w:p>
        </w:tc>
        <w:tc>
          <w:tcPr>
            <w:tcW w:w="725" w:type="dxa"/>
          </w:tcPr>
          <w:p w14:paraId="40B0B394" w14:textId="77777777" w:rsidR="00162224" w:rsidRPr="003037D2" w:rsidRDefault="00162224" w:rsidP="00162224">
            <w:pPr>
              <w:spacing w:line="360" w:lineRule="auto"/>
              <w:rPr>
                <w:rFonts w:ascii="Garamond" w:hAnsi="Garamond"/>
              </w:rPr>
            </w:pPr>
            <w:r w:rsidRPr="003037D2">
              <w:rPr>
                <w:rFonts w:ascii="Garamond" w:hAnsi="Garamond"/>
              </w:rPr>
              <w:t>71</w:t>
            </w:r>
          </w:p>
        </w:tc>
        <w:tc>
          <w:tcPr>
            <w:tcW w:w="722" w:type="dxa"/>
          </w:tcPr>
          <w:p w14:paraId="55E608C2" w14:textId="77777777" w:rsidR="00162224" w:rsidRPr="003037D2" w:rsidRDefault="00162224" w:rsidP="00162224">
            <w:pPr>
              <w:spacing w:line="360" w:lineRule="auto"/>
              <w:rPr>
                <w:rFonts w:ascii="Garamond" w:hAnsi="Garamond"/>
              </w:rPr>
            </w:pPr>
            <w:r w:rsidRPr="003037D2">
              <w:rPr>
                <w:rFonts w:ascii="Garamond" w:hAnsi="Garamond"/>
              </w:rPr>
              <w:t>10</w:t>
            </w:r>
          </w:p>
        </w:tc>
        <w:tc>
          <w:tcPr>
            <w:tcW w:w="722" w:type="dxa"/>
          </w:tcPr>
          <w:p w14:paraId="74EAEC11" w14:textId="77777777" w:rsidR="00162224" w:rsidRPr="003037D2" w:rsidRDefault="00162224" w:rsidP="00162224">
            <w:pPr>
              <w:spacing w:line="360" w:lineRule="auto"/>
              <w:rPr>
                <w:rFonts w:ascii="Garamond" w:hAnsi="Garamond"/>
              </w:rPr>
            </w:pPr>
            <w:r w:rsidRPr="003037D2">
              <w:rPr>
                <w:rFonts w:ascii="Garamond" w:hAnsi="Garamond"/>
              </w:rPr>
              <w:t>59</w:t>
            </w:r>
          </w:p>
        </w:tc>
        <w:tc>
          <w:tcPr>
            <w:tcW w:w="733" w:type="dxa"/>
          </w:tcPr>
          <w:p w14:paraId="736F3019" w14:textId="77777777" w:rsidR="00162224" w:rsidRPr="003037D2" w:rsidRDefault="00162224" w:rsidP="00162224">
            <w:pPr>
              <w:spacing w:line="360" w:lineRule="auto"/>
              <w:rPr>
                <w:rFonts w:ascii="Garamond" w:hAnsi="Garamond"/>
              </w:rPr>
            </w:pPr>
            <w:r w:rsidRPr="003037D2">
              <w:rPr>
                <w:rFonts w:ascii="Garamond" w:hAnsi="Garamond"/>
              </w:rPr>
              <w:t>15</w:t>
            </w:r>
          </w:p>
        </w:tc>
        <w:tc>
          <w:tcPr>
            <w:tcW w:w="729" w:type="dxa"/>
          </w:tcPr>
          <w:p w14:paraId="0B952CE4" w14:textId="77777777" w:rsidR="00162224" w:rsidRPr="003037D2" w:rsidRDefault="00162224" w:rsidP="00162224">
            <w:pPr>
              <w:spacing w:line="360" w:lineRule="auto"/>
              <w:rPr>
                <w:rFonts w:ascii="Garamond" w:hAnsi="Garamond"/>
              </w:rPr>
            </w:pPr>
            <w:r w:rsidRPr="003037D2">
              <w:rPr>
                <w:rFonts w:ascii="Garamond" w:hAnsi="Garamond"/>
              </w:rPr>
              <w:t>88</w:t>
            </w:r>
          </w:p>
        </w:tc>
      </w:tr>
      <w:tr w:rsidR="00162224" w:rsidRPr="003037D2" w14:paraId="4AFD0D3D" w14:textId="77777777" w:rsidTr="00162224">
        <w:tc>
          <w:tcPr>
            <w:tcW w:w="1585" w:type="dxa"/>
          </w:tcPr>
          <w:p w14:paraId="7D8C358E" w14:textId="77777777" w:rsidR="00162224" w:rsidRPr="003037D2" w:rsidRDefault="00162224" w:rsidP="00162224">
            <w:pPr>
              <w:spacing w:line="360" w:lineRule="auto"/>
              <w:rPr>
                <w:rFonts w:ascii="Garamond" w:hAnsi="Garamond"/>
              </w:rPr>
            </w:pPr>
            <w:r w:rsidRPr="003037D2">
              <w:rPr>
                <w:rFonts w:ascii="Garamond" w:hAnsi="Garamond"/>
              </w:rPr>
              <w:t xml:space="preserve">John Preston </w:t>
            </w:r>
          </w:p>
        </w:tc>
        <w:tc>
          <w:tcPr>
            <w:tcW w:w="669" w:type="dxa"/>
          </w:tcPr>
          <w:p w14:paraId="06EF9395" w14:textId="77777777" w:rsidR="00162224" w:rsidRPr="003037D2" w:rsidRDefault="00162224" w:rsidP="00162224">
            <w:pPr>
              <w:spacing w:line="360" w:lineRule="auto"/>
              <w:rPr>
                <w:rFonts w:ascii="Garamond" w:hAnsi="Garamond"/>
              </w:rPr>
            </w:pPr>
            <w:r w:rsidRPr="003037D2">
              <w:rPr>
                <w:rFonts w:ascii="Garamond" w:hAnsi="Garamond"/>
              </w:rPr>
              <w:t>16</w:t>
            </w:r>
          </w:p>
        </w:tc>
        <w:tc>
          <w:tcPr>
            <w:tcW w:w="537" w:type="dxa"/>
          </w:tcPr>
          <w:p w14:paraId="2FFD6C82" w14:textId="77777777" w:rsidR="00162224" w:rsidRPr="003037D2" w:rsidRDefault="00162224" w:rsidP="00162224">
            <w:pPr>
              <w:spacing w:line="360" w:lineRule="auto"/>
              <w:rPr>
                <w:rFonts w:ascii="Garamond" w:hAnsi="Garamond"/>
              </w:rPr>
            </w:pPr>
            <w:r w:rsidRPr="003037D2">
              <w:rPr>
                <w:rFonts w:ascii="Garamond" w:hAnsi="Garamond"/>
              </w:rPr>
              <w:t>12</w:t>
            </w:r>
          </w:p>
        </w:tc>
        <w:tc>
          <w:tcPr>
            <w:tcW w:w="635" w:type="dxa"/>
          </w:tcPr>
          <w:p w14:paraId="2838859A" w14:textId="77777777" w:rsidR="00162224" w:rsidRPr="003037D2" w:rsidRDefault="00162224" w:rsidP="00162224">
            <w:pPr>
              <w:spacing w:line="360" w:lineRule="auto"/>
              <w:rPr>
                <w:rFonts w:ascii="Garamond" w:hAnsi="Garamond"/>
              </w:rPr>
            </w:pPr>
            <w:r w:rsidRPr="003037D2">
              <w:rPr>
                <w:rFonts w:ascii="Garamond" w:hAnsi="Garamond"/>
              </w:rPr>
              <w:t>75</w:t>
            </w:r>
          </w:p>
        </w:tc>
        <w:tc>
          <w:tcPr>
            <w:tcW w:w="731" w:type="dxa"/>
          </w:tcPr>
          <w:p w14:paraId="1B6A3EA3" w14:textId="77777777" w:rsidR="00162224" w:rsidRPr="003037D2" w:rsidRDefault="00162224" w:rsidP="00162224">
            <w:pPr>
              <w:spacing w:line="360" w:lineRule="auto"/>
              <w:rPr>
                <w:rFonts w:ascii="Garamond" w:hAnsi="Garamond"/>
              </w:rPr>
            </w:pPr>
            <w:r w:rsidRPr="003037D2">
              <w:rPr>
                <w:rFonts w:ascii="Garamond" w:hAnsi="Garamond"/>
              </w:rPr>
              <w:t>8</w:t>
            </w:r>
          </w:p>
        </w:tc>
        <w:tc>
          <w:tcPr>
            <w:tcW w:w="727" w:type="dxa"/>
          </w:tcPr>
          <w:p w14:paraId="55F1B6F3" w14:textId="77777777" w:rsidR="00162224" w:rsidRPr="003037D2" w:rsidRDefault="00162224" w:rsidP="00162224">
            <w:pPr>
              <w:spacing w:line="360" w:lineRule="auto"/>
              <w:rPr>
                <w:rFonts w:ascii="Garamond" w:hAnsi="Garamond"/>
              </w:rPr>
            </w:pPr>
            <w:r w:rsidRPr="003037D2">
              <w:rPr>
                <w:rFonts w:ascii="Garamond" w:hAnsi="Garamond"/>
              </w:rPr>
              <w:t>50</w:t>
            </w:r>
          </w:p>
        </w:tc>
        <w:tc>
          <w:tcPr>
            <w:tcW w:w="727" w:type="dxa"/>
          </w:tcPr>
          <w:p w14:paraId="350469E9" w14:textId="77777777" w:rsidR="00162224" w:rsidRPr="003037D2" w:rsidRDefault="00162224" w:rsidP="00162224">
            <w:pPr>
              <w:spacing w:line="360" w:lineRule="auto"/>
              <w:rPr>
                <w:rFonts w:ascii="Garamond" w:hAnsi="Garamond"/>
              </w:rPr>
            </w:pPr>
            <w:r w:rsidRPr="003037D2">
              <w:rPr>
                <w:rFonts w:ascii="Garamond" w:hAnsi="Garamond"/>
              </w:rPr>
              <w:t>2</w:t>
            </w:r>
          </w:p>
        </w:tc>
        <w:tc>
          <w:tcPr>
            <w:tcW w:w="725" w:type="dxa"/>
          </w:tcPr>
          <w:p w14:paraId="055FDD20" w14:textId="77777777" w:rsidR="00162224" w:rsidRPr="003037D2" w:rsidRDefault="00162224" w:rsidP="00162224">
            <w:pPr>
              <w:spacing w:line="360" w:lineRule="auto"/>
              <w:rPr>
                <w:rFonts w:ascii="Garamond" w:hAnsi="Garamond"/>
              </w:rPr>
            </w:pPr>
            <w:r w:rsidRPr="003037D2">
              <w:rPr>
                <w:rFonts w:ascii="Garamond" w:hAnsi="Garamond"/>
              </w:rPr>
              <w:t>13</w:t>
            </w:r>
          </w:p>
        </w:tc>
        <w:tc>
          <w:tcPr>
            <w:tcW w:w="722" w:type="dxa"/>
          </w:tcPr>
          <w:p w14:paraId="49B2C10F" w14:textId="77777777" w:rsidR="00162224" w:rsidRPr="003037D2" w:rsidRDefault="00162224" w:rsidP="00162224">
            <w:pPr>
              <w:spacing w:line="360" w:lineRule="auto"/>
              <w:rPr>
                <w:rFonts w:ascii="Garamond" w:hAnsi="Garamond"/>
              </w:rPr>
            </w:pPr>
            <w:r w:rsidRPr="003037D2">
              <w:rPr>
                <w:rFonts w:ascii="Garamond" w:hAnsi="Garamond"/>
              </w:rPr>
              <w:t>2</w:t>
            </w:r>
          </w:p>
        </w:tc>
        <w:tc>
          <w:tcPr>
            <w:tcW w:w="722" w:type="dxa"/>
          </w:tcPr>
          <w:p w14:paraId="69A52B46" w14:textId="77777777" w:rsidR="00162224" w:rsidRPr="003037D2" w:rsidRDefault="00162224" w:rsidP="00162224">
            <w:pPr>
              <w:spacing w:line="360" w:lineRule="auto"/>
              <w:rPr>
                <w:rFonts w:ascii="Garamond" w:hAnsi="Garamond"/>
              </w:rPr>
            </w:pPr>
            <w:r w:rsidRPr="003037D2">
              <w:rPr>
                <w:rFonts w:ascii="Garamond" w:hAnsi="Garamond"/>
              </w:rPr>
              <w:t>13</w:t>
            </w:r>
          </w:p>
        </w:tc>
        <w:tc>
          <w:tcPr>
            <w:tcW w:w="733" w:type="dxa"/>
          </w:tcPr>
          <w:p w14:paraId="0079F992" w14:textId="77777777" w:rsidR="00162224" w:rsidRPr="003037D2" w:rsidRDefault="00162224" w:rsidP="00162224">
            <w:pPr>
              <w:spacing w:line="360" w:lineRule="auto"/>
              <w:rPr>
                <w:rFonts w:ascii="Garamond" w:hAnsi="Garamond"/>
              </w:rPr>
            </w:pPr>
            <w:r w:rsidRPr="003037D2">
              <w:rPr>
                <w:rFonts w:ascii="Garamond" w:hAnsi="Garamond"/>
              </w:rPr>
              <w:t>11</w:t>
            </w:r>
          </w:p>
        </w:tc>
        <w:tc>
          <w:tcPr>
            <w:tcW w:w="729" w:type="dxa"/>
          </w:tcPr>
          <w:p w14:paraId="6268010C" w14:textId="77777777" w:rsidR="00162224" w:rsidRPr="003037D2" w:rsidRDefault="00162224" w:rsidP="00162224">
            <w:pPr>
              <w:spacing w:line="360" w:lineRule="auto"/>
              <w:rPr>
                <w:rFonts w:ascii="Garamond" w:hAnsi="Garamond"/>
              </w:rPr>
            </w:pPr>
            <w:r w:rsidRPr="003037D2">
              <w:rPr>
                <w:rFonts w:ascii="Garamond" w:hAnsi="Garamond"/>
              </w:rPr>
              <w:t>69</w:t>
            </w:r>
          </w:p>
        </w:tc>
      </w:tr>
      <w:tr w:rsidR="00162224" w:rsidRPr="003037D2" w14:paraId="0D55BEA7" w14:textId="77777777" w:rsidTr="00162224">
        <w:tc>
          <w:tcPr>
            <w:tcW w:w="1585" w:type="dxa"/>
          </w:tcPr>
          <w:p w14:paraId="68F1C755" w14:textId="77777777" w:rsidR="00162224" w:rsidRPr="003037D2" w:rsidRDefault="00162224" w:rsidP="00162224">
            <w:pPr>
              <w:spacing w:line="360" w:lineRule="auto"/>
              <w:rPr>
                <w:rFonts w:ascii="Garamond" w:hAnsi="Garamond"/>
              </w:rPr>
            </w:pPr>
            <w:r w:rsidRPr="003037D2">
              <w:rPr>
                <w:rFonts w:ascii="Garamond" w:hAnsi="Garamond"/>
              </w:rPr>
              <w:t xml:space="preserve">Thomas </w:t>
            </w:r>
            <w:proofErr w:type="spellStart"/>
            <w:r w:rsidRPr="003037D2">
              <w:rPr>
                <w:rFonts w:ascii="Garamond" w:hAnsi="Garamond"/>
              </w:rPr>
              <w:t>Gataker</w:t>
            </w:r>
            <w:proofErr w:type="spellEnd"/>
            <w:r w:rsidRPr="003037D2">
              <w:rPr>
                <w:rFonts w:ascii="Garamond" w:hAnsi="Garamond"/>
              </w:rPr>
              <w:t xml:space="preserve"> </w:t>
            </w:r>
          </w:p>
        </w:tc>
        <w:tc>
          <w:tcPr>
            <w:tcW w:w="669" w:type="dxa"/>
          </w:tcPr>
          <w:p w14:paraId="1E78F07B" w14:textId="77777777" w:rsidR="00162224" w:rsidRPr="003037D2" w:rsidRDefault="00162224" w:rsidP="00162224">
            <w:pPr>
              <w:spacing w:line="360" w:lineRule="auto"/>
              <w:rPr>
                <w:rFonts w:ascii="Garamond" w:hAnsi="Garamond"/>
              </w:rPr>
            </w:pPr>
            <w:r w:rsidRPr="003037D2">
              <w:rPr>
                <w:rFonts w:ascii="Garamond" w:hAnsi="Garamond"/>
              </w:rPr>
              <w:t>15</w:t>
            </w:r>
          </w:p>
        </w:tc>
        <w:tc>
          <w:tcPr>
            <w:tcW w:w="537" w:type="dxa"/>
          </w:tcPr>
          <w:p w14:paraId="20AE680A" w14:textId="77777777" w:rsidR="00162224" w:rsidRPr="003037D2" w:rsidRDefault="00162224" w:rsidP="00162224">
            <w:pPr>
              <w:spacing w:line="360" w:lineRule="auto"/>
              <w:rPr>
                <w:rFonts w:ascii="Garamond" w:hAnsi="Garamond"/>
              </w:rPr>
            </w:pPr>
            <w:r w:rsidRPr="003037D2">
              <w:rPr>
                <w:rFonts w:ascii="Garamond" w:hAnsi="Garamond"/>
              </w:rPr>
              <w:t>5</w:t>
            </w:r>
          </w:p>
        </w:tc>
        <w:tc>
          <w:tcPr>
            <w:tcW w:w="635" w:type="dxa"/>
          </w:tcPr>
          <w:p w14:paraId="5DDA1ACD" w14:textId="77777777" w:rsidR="00162224" w:rsidRPr="003037D2" w:rsidRDefault="00162224" w:rsidP="00162224">
            <w:pPr>
              <w:spacing w:line="360" w:lineRule="auto"/>
              <w:rPr>
                <w:rFonts w:ascii="Garamond" w:hAnsi="Garamond"/>
              </w:rPr>
            </w:pPr>
            <w:r w:rsidRPr="003037D2">
              <w:rPr>
                <w:rFonts w:ascii="Garamond" w:hAnsi="Garamond"/>
              </w:rPr>
              <w:t>33</w:t>
            </w:r>
          </w:p>
        </w:tc>
        <w:tc>
          <w:tcPr>
            <w:tcW w:w="731" w:type="dxa"/>
          </w:tcPr>
          <w:p w14:paraId="13431C24" w14:textId="77777777" w:rsidR="00162224" w:rsidRPr="003037D2" w:rsidRDefault="00162224" w:rsidP="00162224">
            <w:pPr>
              <w:spacing w:line="360" w:lineRule="auto"/>
              <w:rPr>
                <w:rFonts w:ascii="Garamond" w:hAnsi="Garamond"/>
              </w:rPr>
            </w:pPr>
            <w:r w:rsidRPr="003037D2">
              <w:rPr>
                <w:rFonts w:ascii="Garamond" w:hAnsi="Garamond"/>
              </w:rPr>
              <w:t>3</w:t>
            </w:r>
          </w:p>
        </w:tc>
        <w:tc>
          <w:tcPr>
            <w:tcW w:w="727" w:type="dxa"/>
          </w:tcPr>
          <w:p w14:paraId="109B599D" w14:textId="77777777" w:rsidR="00162224" w:rsidRPr="003037D2" w:rsidRDefault="00162224" w:rsidP="00162224">
            <w:pPr>
              <w:spacing w:line="360" w:lineRule="auto"/>
              <w:rPr>
                <w:rFonts w:ascii="Garamond" w:hAnsi="Garamond"/>
              </w:rPr>
            </w:pPr>
            <w:r w:rsidRPr="003037D2">
              <w:rPr>
                <w:rFonts w:ascii="Garamond" w:hAnsi="Garamond"/>
              </w:rPr>
              <w:t>20</w:t>
            </w:r>
          </w:p>
        </w:tc>
        <w:tc>
          <w:tcPr>
            <w:tcW w:w="727" w:type="dxa"/>
          </w:tcPr>
          <w:p w14:paraId="32C988EB" w14:textId="77777777" w:rsidR="00162224" w:rsidRPr="003037D2" w:rsidRDefault="00162224" w:rsidP="00162224">
            <w:pPr>
              <w:spacing w:line="360" w:lineRule="auto"/>
              <w:rPr>
                <w:rFonts w:ascii="Garamond" w:hAnsi="Garamond"/>
              </w:rPr>
            </w:pPr>
            <w:r w:rsidRPr="003037D2">
              <w:rPr>
                <w:rFonts w:ascii="Garamond" w:hAnsi="Garamond"/>
              </w:rPr>
              <w:t>10</w:t>
            </w:r>
          </w:p>
        </w:tc>
        <w:tc>
          <w:tcPr>
            <w:tcW w:w="725" w:type="dxa"/>
          </w:tcPr>
          <w:p w14:paraId="789671A4" w14:textId="77777777" w:rsidR="00162224" w:rsidRPr="003037D2" w:rsidRDefault="00162224" w:rsidP="00162224">
            <w:pPr>
              <w:spacing w:line="360" w:lineRule="auto"/>
              <w:rPr>
                <w:rFonts w:ascii="Garamond" w:hAnsi="Garamond"/>
              </w:rPr>
            </w:pPr>
            <w:r w:rsidRPr="003037D2">
              <w:rPr>
                <w:rFonts w:ascii="Garamond" w:hAnsi="Garamond"/>
              </w:rPr>
              <w:t>67</w:t>
            </w:r>
          </w:p>
        </w:tc>
        <w:tc>
          <w:tcPr>
            <w:tcW w:w="722" w:type="dxa"/>
          </w:tcPr>
          <w:p w14:paraId="3E928B5A" w14:textId="77777777" w:rsidR="00162224" w:rsidRPr="003037D2" w:rsidRDefault="00162224" w:rsidP="00162224">
            <w:pPr>
              <w:spacing w:line="360" w:lineRule="auto"/>
              <w:rPr>
                <w:rFonts w:ascii="Garamond" w:hAnsi="Garamond"/>
              </w:rPr>
            </w:pPr>
            <w:r w:rsidRPr="003037D2">
              <w:rPr>
                <w:rFonts w:ascii="Garamond" w:hAnsi="Garamond"/>
              </w:rPr>
              <w:t>1</w:t>
            </w:r>
          </w:p>
        </w:tc>
        <w:tc>
          <w:tcPr>
            <w:tcW w:w="722" w:type="dxa"/>
          </w:tcPr>
          <w:p w14:paraId="16F8CF65" w14:textId="77777777" w:rsidR="00162224" w:rsidRPr="003037D2" w:rsidRDefault="00162224" w:rsidP="00162224">
            <w:pPr>
              <w:spacing w:line="360" w:lineRule="auto"/>
              <w:rPr>
                <w:rFonts w:ascii="Garamond" w:hAnsi="Garamond"/>
              </w:rPr>
            </w:pPr>
            <w:r w:rsidRPr="003037D2">
              <w:rPr>
                <w:rFonts w:ascii="Garamond" w:hAnsi="Garamond"/>
              </w:rPr>
              <w:t>7</w:t>
            </w:r>
          </w:p>
        </w:tc>
        <w:tc>
          <w:tcPr>
            <w:tcW w:w="733" w:type="dxa"/>
          </w:tcPr>
          <w:p w14:paraId="6239050B" w14:textId="77777777" w:rsidR="00162224" w:rsidRPr="003037D2" w:rsidRDefault="00162224" w:rsidP="00162224">
            <w:pPr>
              <w:spacing w:line="360" w:lineRule="auto"/>
              <w:rPr>
                <w:rFonts w:ascii="Garamond" w:hAnsi="Garamond"/>
              </w:rPr>
            </w:pPr>
            <w:r w:rsidRPr="003037D2">
              <w:rPr>
                <w:rFonts w:ascii="Garamond" w:hAnsi="Garamond"/>
              </w:rPr>
              <w:t>14</w:t>
            </w:r>
          </w:p>
        </w:tc>
        <w:tc>
          <w:tcPr>
            <w:tcW w:w="729" w:type="dxa"/>
          </w:tcPr>
          <w:p w14:paraId="40836F68" w14:textId="77777777" w:rsidR="00162224" w:rsidRPr="003037D2" w:rsidRDefault="00162224" w:rsidP="00162224">
            <w:pPr>
              <w:spacing w:line="360" w:lineRule="auto"/>
              <w:rPr>
                <w:rFonts w:ascii="Garamond" w:hAnsi="Garamond"/>
              </w:rPr>
            </w:pPr>
            <w:r w:rsidRPr="003037D2">
              <w:rPr>
                <w:rFonts w:ascii="Garamond" w:hAnsi="Garamond"/>
              </w:rPr>
              <w:t>93</w:t>
            </w:r>
          </w:p>
        </w:tc>
      </w:tr>
      <w:tr w:rsidR="00162224" w:rsidRPr="003037D2" w14:paraId="1AB0552D" w14:textId="77777777" w:rsidTr="00162224">
        <w:tc>
          <w:tcPr>
            <w:tcW w:w="1585" w:type="dxa"/>
          </w:tcPr>
          <w:p w14:paraId="2D7FC64A" w14:textId="77777777" w:rsidR="00162224" w:rsidRPr="003037D2" w:rsidRDefault="00162224" w:rsidP="00162224">
            <w:pPr>
              <w:spacing w:line="360" w:lineRule="auto"/>
              <w:rPr>
                <w:rFonts w:ascii="Garamond" w:hAnsi="Garamond"/>
              </w:rPr>
            </w:pPr>
            <w:r w:rsidRPr="003037D2">
              <w:rPr>
                <w:rFonts w:ascii="Garamond" w:hAnsi="Garamond"/>
              </w:rPr>
              <w:t>Robert Harris</w:t>
            </w:r>
          </w:p>
        </w:tc>
        <w:tc>
          <w:tcPr>
            <w:tcW w:w="669" w:type="dxa"/>
          </w:tcPr>
          <w:p w14:paraId="19E6D283" w14:textId="77777777" w:rsidR="00162224" w:rsidRPr="003037D2" w:rsidRDefault="00162224" w:rsidP="00162224">
            <w:pPr>
              <w:spacing w:line="360" w:lineRule="auto"/>
              <w:rPr>
                <w:rFonts w:ascii="Garamond" w:hAnsi="Garamond"/>
              </w:rPr>
            </w:pPr>
            <w:r w:rsidRPr="003037D2">
              <w:rPr>
                <w:rFonts w:ascii="Garamond" w:hAnsi="Garamond"/>
              </w:rPr>
              <w:t>15</w:t>
            </w:r>
          </w:p>
        </w:tc>
        <w:tc>
          <w:tcPr>
            <w:tcW w:w="537" w:type="dxa"/>
          </w:tcPr>
          <w:p w14:paraId="4726A5F5" w14:textId="77777777" w:rsidR="00162224" w:rsidRPr="003037D2" w:rsidRDefault="00162224" w:rsidP="00162224">
            <w:pPr>
              <w:spacing w:line="360" w:lineRule="auto"/>
              <w:rPr>
                <w:rFonts w:ascii="Garamond" w:hAnsi="Garamond"/>
              </w:rPr>
            </w:pPr>
            <w:r w:rsidRPr="003037D2">
              <w:rPr>
                <w:rFonts w:ascii="Garamond" w:hAnsi="Garamond"/>
              </w:rPr>
              <w:t>3</w:t>
            </w:r>
          </w:p>
        </w:tc>
        <w:tc>
          <w:tcPr>
            <w:tcW w:w="635" w:type="dxa"/>
          </w:tcPr>
          <w:p w14:paraId="30B994F3" w14:textId="77777777" w:rsidR="00162224" w:rsidRPr="003037D2" w:rsidRDefault="00162224" w:rsidP="00162224">
            <w:pPr>
              <w:spacing w:line="360" w:lineRule="auto"/>
              <w:rPr>
                <w:rFonts w:ascii="Garamond" w:hAnsi="Garamond"/>
              </w:rPr>
            </w:pPr>
            <w:r w:rsidRPr="003037D2">
              <w:rPr>
                <w:rFonts w:ascii="Garamond" w:hAnsi="Garamond"/>
              </w:rPr>
              <w:t>20</w:t>
            </w:r>
          </w:p>
        </w:tc>
        <w:tc>
          <w:tcPr>
            <w:tcW w:w="731" w:type="dxa"/>
          </w:tcPr>
          <w:p w14:paraId="5A940C29" w14:textId="77777777" w:rsidR="00162224" w:rsidRPr="003037D2" w:rsidRDefault="00162224" w:rsidP="00162224">
            <w:pPr>
              <w:spacing w:line="360" w:lineRule="auto"/>
              <w:rPr>
                <w:rFonts w:ascii="Garamond" w:hAnsi="Garamond"/>
              </w:rPr>
            </w:pPr>
            <w:r w:rsidRPr="003037D2">
              <w:rPr>
                <w:rFonts w:ascii="Garamond" w:hAnsi="Garamond"/>
              </w:rPr>
              <w:t>5</w:t>
            </w:r>
          </w:p>
        </w:tc>
        <w:tc>
          <w:tcPr>
            <w:tcW w:w="727" w:type="dxa"/>
          </w:tcPr>
          <w:p w14:paraId="7CA37195" w14:textId="77777777" w:rsidR="00162224" w:rsidRPr="003037D2" w:rsidRDefault="00162224" w:rsidP="00162224">
            <w:pPr>
              <w:spacing w:line="360" w:lineRule="auto"/>
              <w:rPr>
                <w:rFonts w:ascii="Garamond" w:hAnsi="Garamond"/>
              </w:rPr>
            </w:pPr>
            <w:r w:rsidRPr="003037D2">
              <w:rPr>
                <w:rFonts w:ascii="Garamond" w:hAnsi="Garamond"/>
              </w:rPr>
              <w:t>33</w:t>
            </w:r>
          </w:p>
        </w:tc>
        <w:tc>
          <w:tcPr>
            <w:tcW w:w="727" w:type="dxa"/>
          </w:tcPr>
          <w:p w14:paraId="25496887" w14:textId="77777777" w:rsidR="00162224" w:rsidRPr="003037D2" w:rsidRDefault="00162224" w:rsidP="00162224">
            <w:pPr>
              <w:spacing w:line="360" w:lineRule="auto"/>
              <w:rPr>
                <w:rFonts w:ascii="Garamond" w:hAnsi="Garamond"/>
              </w:rPr>
            </w:pPr>
            <w:r w:rsidRPr="003037D2">
              <w:rPr>
                <w:rFonts w:ascii="Garamond" w:hAnsi="Garamond"/>
              </w:rPr>
              <w:t>8</w:t>
            </w:r>
          </w:p>
        </w:tc>
        <w:tc>
          <w:tcPr>
            <w:tcW w:w="725" w:type="dxa"/>
          </w:tcPr>
          <w:p w14:paraId="0C3BBF37" w14:textId="77777777" w:rsidR="00162224" w:rsidRPr="003037D2" w:rsidRDefault="00162224" w:rsidP="00162224">
            <w:pPr>
              <w:spacing w:line="360" w:lineRule="auto"/>
              <w:rPr>
                <w:rFonts w:ascii="Garamond" w:hAnsi="Garamond"/>
              </w:rPr>
            </w:pPr>
            <w:r w:rsidRPr="003037D2">
              <w:rPr>
                <w:rFonts w:ascii="Garamond" w:hAnsi="Garamond"/>
              </w:rPr>
              <w:t>53</w:t>
            </w:r>
          </w:p>
        </w:tc>
        <w:tc>
          <w:tcPr>
            <w:tcW w:w="722" w:type="dxa"/>
          </w:tcPr>
          <w:p w14:paraId="6B234EFC" w14:textId="77777777" w:rsidR="00162224" w:rsidRPr="003037D2" w:rsidRDefault="00162224" w:rsidP="00162224">
            <w:pPr>
              <w:spacing w:line="360" w:lineRule="auto"/>
              <w:rPr>
                <w:rFonts w:ascii="Garamond" w:hAnsi="Garamond"/>
              </w:rPr>
            </w:pPr>
            <w:r w:rsidRPr="003037D2">
              <w:rPr>
                <w:rFonts w:ascii="Garamond" w:hAnsi="Garamond"/>
              </w:rPr>
              <w:t>5</w:t>
            </w:r>
          </w:p>
        </w:tc>
        <w:tc>
          <w:tcPr>
            <w:tcW w:w="722" w:type="dxa"/>
          </w:tcPr>
          <w:p w14:paraId="449A079E" w14:textId="77777777" w:rsidR="00162224" w:rsidRPr="003037D2" w:rsidRDefault="00162224" w:rsidP="00162224">
            <w:pPr>
              <w:spacing w:line="360" w:lineRule="auto"/>
              <w:rPr>
                <w:rFonts w:ascii="Garamond" w:hAnsi="Garamond"/>
              </w:rPr>
            </w:pPr>
            <w:r w:rsidRPr="003037D2">
              <w:rPr>
                <w:rFonts w:ascii="Garamond" w:hAnsi="Garamond"/>
              </w:rPr>
              <w:t>33</w:t>
            </w:r>
          </w:p>
        </w:tc>
        <w:tc>
          <w:tcPr>
            <w:tcW w:w="733" w:type="dxa"/>
          </w:tcPr>
          <w:p w14:paraId="64230BCB" w14:textId="77777777" w:rsidR="00162224" w:rsidRPr="003037D2" w:rsidRDefault="00162224" w:rsidP="00162224">
            <w:pPr>
              <w:spacing w:line="360" w:lineRule="auto"/>
              <w:rPr>
                <w:rFonts w:ascii="Garamond" w:hAnsi="Garamond"/>
              </w:rPr>
            </w:pPr>
            <w:r w:rsidRPr="003037D2">
              <w:rPr>
                <w:rFonts w:ascii="Garamond" w:hAnsi="Garamond"/>
              </w:rPr>
              <w:t>8</w:t>
            </w:r>
          </w:p>
        </w:tc>
        <w:tc>
          <w:tcPr>
            <w:tcW w:w="729" w:type="dxa"/>
          </w:tcPr>
          <w:p w14:paraId="2F884AF5" w14:textId="77777777" w:rsidR="00162224" w:rsidRPr="003037D2" w:rsidRDefault="00162224" w:rsidP="00162224">
            <w:pPr>
              <w:spacing w:line="360" w:lineRule="auto"/>
              <w:rPr>
                <w:rFonts w:ascii="Garamond" w:hAnsi="Garamond"/>
              </w:rPr>
            </w:pPr>
            <w:r w:rsidRPr="003037D2">
              <w:rPr>
                <w:rFonts w:ascii="Garamond" w:hAnsi="Garamond"/>
              </w:rPr>
              <w:t>53</w:t>
            </w:r>
          </w:p>
        </w:tc>
      </w:tr>
      <w:tr w:rsidR="00162224" w:rsidRPr="003037D2" w14:paraId="3F78B8DE" w14:textId="77777777" w:rsidTr="00162224">
        <w:tc>
          <w:tcPr>
            <w:tcW w:w="1585" w:type="dxa"/>
          </w:tcPr>
          <w:p w14:paraId="79C04D5A" w14:textId="77777777" w:rsidR="00162224" w:rsidRPr="003037D2" w:rsidRDefault="00162224" w:rsidP="00162224">
            <w:pPr>
              <w:spacing w:line="360" w:lineRule="auto"/>
              <w:rPr>
                <w:rFonts w:ascii="Garamond" w:hAnsi="Garamond"/>
              </w:rPr>
            </w:pPr>
            <w:r w:rsidRPr="003037D2">
              <w:rPr>
                <w:rFonts w:ascii="Garamond" w:hAnsi="Garamond"/>
              </w:rPr>
              <w:t xml:space="preserve">Joseph Hall </w:t>
            </w:r>
          </w:p>
        </w:tc>
        <w:tc>
          <w:tcPr>
            <w:tcW w:w="669" w:type="dxa"/>
          </w:tcPr>
          <w:p w14:paraId="616463C3" w14:textId="77777777" w:rsidR="00162224" w:rsidRPr="003037D2" w:rsidRDefault="00162224" w:rsidP="00162224">
            <w:pPr>
              <w:spacing w:line="360" w:lineRule="auto"/>
              <w:rPr>
                <w:rFonts w:ascii="Garamond" w:hAnsi="Garamond"/>
              </w:rPr>
            </w:pPr>
            <w:r w:rsidRPr="003037D2">
              <w:rPr>
                <w:rFonts w:ascii="Garamond" w:hAnsi="Garamond"/>
              </w:rPr>
              <w:t>11</w:t>
            </w:r>
          </w:p>
        </w:tc>
        <w:tc>
          <w:tcPr>
            <w:tcW w:w="537" w:type="dxa"/>
          </w:tcPr>
          <w:p w14:paraId="63542999" w14:textId="77777777" w:rsidR="00162224" w:rsidRPr="003037D2" w:rsidRDefault="00162224" w:rsidP="00162224">
            <w:pPr>
              <w:spacing w:line="360" w:lineRule="auto"/>
              <w:rPr>
                <w:rFonts w:ascii="Garamond" w:hAnsi="Garamond"/>
              </w:rPr>
            </w:pPr>
            <w:r w:rsidRPr="003037D2">
              <w:rPr>
                <w:rFonts w:ascii="Garamond" w:hAnsi="Garamond"/>
              </w:rPr>
              <w:t>1</w:t>
            </w:r>
          </w:p>
        </w:tc>
        <w:tc>
          <w:tcPr>
            <w:tcW w:w="635" w:type="dxa"/>
          </w:tcPr>
          <w:p w14:paraId="2ECCB2CB" w14:textId="77777777" w:rsidR="00162224" w:rsidRPr="003037D2" w:rsidRDefault="00162224" w:rsidP="00162224">
            <w:pPr>
              <w:spacing w:line="360" w:lineRule="auto"/>
              <w:rPr>
                <w:rFonts w:ascii="Garamond" w:hAnsi="Garamond"/>
              </w:rPr>
            </w:pPr>
            <w:r w:rsidRPr="003037D2">
              <w:rPr>
                <w:rFonts w:ascii="Garamond" w:hAnsi="Garamond"/>
              </w:rPr>
              <w:t>9</w:t>
            </w:r>
          </w:p>
        </w:tc>
        <w:tc>
          <w:tcPr>
            <w:tcW w:w="731" w:type="dxa"/>
          </w:tcPr>
          <w:p w14:paraId="7DF3D1E9" w14:textId="77777777" w:rsidR="00162224" w:rsidRPr="003037D2" w:rsidRDefault="00162224" w:rsidP="00162224">
            <w:pPr>
              <w:spacing w:line="360" w:lineRule="auto"/>
              <w:rPr>
                <w:rFonts w:ascii="Garamond" w:hAnsi="Garamond"/>
              </w:rPr>
            </w:pPr>
            <w:r w:rsidRPr="003037D2">
              <w:rPr>
                <w:rFonts w:ascii="Garamond" w:hAnsi="Garamond"/>
              </w:rPr>
              <w:t>11</w:t>
            </w:r>
          </w:p>
        </w:tc>
        <w:tc>
          <w:tcPr>
            <w:tcW w:w="727" w:type="dxa"/>
          </w:tcPr>
          <w:p w14:paraId="0DC8D261" w14:textId="77777777" w:rsidR="00162224" w:rsidRPr="003037D2" w:rsidRDefault="00162224" w:rsidP="00162224">
            <w:pPr>
              <w:spacing w:line="360" w:lineRule="auto"/>
              <w:rPr>
                <w:rFonts w:ascii="Garamond" w:hAnsi="Garamond"/>
              </w:rPr>
            </w:pPr>
            <w:r w:rsidRPr="003037D2">
              <w:rPr>
                <w:rFonts w:ascii="Garamond" w:hAnsi="Garamond"/>
              </w:rPr>
              <w:t>100</w:t>
            </w:r>
          </w:p>
        </w:tc>
        <w:tc>
          <w:tcPr>
            <w:tcW w:w="727" w:type="dxa"/>
          </w:tcPr>
          <w:p w14:paraId="6C3B9B18" w14:textId="77777777" w:rsidR="00162224" w:rsidRPr="003037D2" w:rsidRDefault="00162224" w:rsidP="00162224">
            <w:pPr>
              <w:spacing w:line="360" w:lineRule="auto"/>
              <w:rPr>
                <w:rFonts w:ascii="Garamond" w:hAnsi="Garamond"/>
              </w:rPr>
            </w:pPr>
            <w:r w:rsidRPr="003037D2">
              <w:rPr>
                <w:rFonts w:ascii="Garamond" w:hAnsi="Garamond"/>
              </w:rPr>
              <w:t>11</w:t>
            </w:r>
          </w:p>
        </w:tc>
        <w:tc>
          <w:tcPr>
            <w:tcW w:w="725" w:type="dxa"/>
          </w:tcPr>
          <w:p w14:paraId="45B9C8FA" w14:textId="77777777" w:rsidR="00162224" w:rsidRPr="003037D2" w:rsidRDefault="00162224" w:rsidP="00162224">
            <w:pPr>
              <w:spacing w:line="360" w:lineRule="auto"/>
              <w:rPr>
                <w:rFonts w:ascii="Garamond" w:hAnsi="Garamond"/>
              </w:rPr>
            </w:pPr>
            <w:r w:rsidRPr="003037D2">
              <w:rPr>
                <w:rFonts w:ascii="Garamond" w:hAnsi="Garamond"/>
              </w:rPr>
              <w:t>100</w:t>
            </w:r>
          </w:p>
        </w:tc>
        <w:tc>
          <w:tcPr>
            <w:tcW w:w="722" w:type="dxa"/>
          </w:tcPr>
          <w:p w14:paraId="035FEFF9" w14:textId="77777777" w:rsidR="00162224" w:rsidRPr="003037D2" w:rsidRDefault="00162224" w:rsidP="00162224">
            <w:pPr>
              <w:spacing w:line="360" w:lineRule="auto"/>
              <w:rPr>
                <w:rFonts w:ascii="Garamond" w:hAnsi="Garamond"/>
              </w:rPr>
            </w:pPr>
            <w:r w:rsidRPr="003037D2">
              <w:rPr>
                <w:rFonts w:ascii="Garamond" w:hAnsi="Garamond"/>
              </w:rPr>
              <w:t>11</w:t>
            </w:r>
          </w:p>
        </w:tc>
        <w:tc>
          <w:tcPr>
            <w:tcW w:w="722" w:type="dxa"/>
          </w:tcPr>
          <w:p w14:paraId="1285CC12" w14:textId="77777777" w:rsidR="00162224" w:rsidRPr="003037D2" w:rsidRDefault="00162224" w:rsidP="00162224">
            <w:pPr>
              <w:spacing w:line="360" w:lineRule="auto"/>
              <w:rPr>
                <w:rFonts w:ascii="Garamond" w:hAnsi="Garamond"/>
              </w:rPr>
            </w:pPr>
            <w:r w:rsidRPr="003037D2">
              <w:rPr>
                <w:rFonts w:ascii="Garamond" w:hAnsi="Garamond"/>
              </w:rPr>
              <w:t>100</w:t>
            </w:r>
          </w:p>
        </w:tc>
        <w:tc>
          <w:tcPr>
            <w:tcW w:w="733" w:type="dxa"/>
          </w:tcPr>
          <w:p w14:paraId="31F29340" w14:textId="77777777" w:rsidR="00162224" w:rsidRPr="003037D2" w:rsidRDefault="00162224" w:rsidP="00162224">
            <w:pPr>
              <w:spacing w:line="360" w:lineRule="auto"/>
              <w:rPr>
                <w:rFonts w:ascii="Garamond" w:hAnsi="Garamond"/>
              </w:rPr>
            </w:pPr>
            <w:r w:rsidRPr="003037D2">
              <w:rPr>
                <w:rFonts w:ascii="Garamond" w:hAnsi="Garamond"/>
              </w:rPr>
              <w:t>2</w:t>
            </w:r>
          </w:p>
        </w:tc>
        <w:tc>
          <w:tcPr>
            <w:tcW w:w="729" w:type="dxa"/>
          </w:tcPr>
          <w:p w14:paraId="4207C761" w14:textId="77777777" w:rsidR="00162224" w:rsidRPr="003037D2" w:rsidRDefault="00162224" w:rsidP="00162224">
            <w:pPr>
              <w:spacing w:line="360" w:lineRule="auto"/>
              <w:rPr>
                <w:rFonts w:ascii="Garamond" w:hAnsi="Garamond"/>
              </w:rPr>
            </w:pPr>
            <w:r w:rsidRPr="003037D2">
              <w:rPr>
                <w:rFonts w:ascii="Garamond" w:hAnsi="Garamond"/>
              </w:rPr>
              <w:t>18</w:t>
            </w:r>
          </w:p>
        </w:tc>
      </w:tr>
      <w:tr w:rsidR="00162224" w:rsidRPr="003037D2" w14:paraId="365FB406" w14:textId="77777777" w:rsidTr="00162224">
        <w:tc>
          <w:tcPr>
            <w:tcW w:w="1585" w:type="dxa"/>
          </w:tcPr>
          <w:p w14:paraId="1558F451" w14:textId="77777777" w:rsidR="00162224" w:rsidRPr="003037D2" w:rsidRDefault="00162224" w:rsidP="00162224">
            <w:pPr>
              <w:spacing w:line="360" w:lineRule="auto"/>
              <w:rPr>
                <w:rFonts w:ascii="Garamond" w:hAnsi="Garamond"/>
              </w:rPr>
            </w:pPr>
            <w:r w:rsidRPr="003037D2">
              <w:rPr>
                <w:rFonts w:ascii="Garamond" w:hAnsi="Garamond"/>
              </w:rPr>
              <w:t xml:space="preserve">Arthur Dent </w:t>
            </w:r>
          </w:p>
        </w:tc>
        <w:tc>
          <w:tcPr>
            <w:tcW w:w="669" w:type="dxa"/>
          </w:tcPr>
          <w:p w14:paraId="10A18ED6" w14:textId="77777777" w:rsidR="00162224" w:rsidRPr="003037D2" w:rsidRDefault="00162224" w:rsidP="00162224">
            <w:pPr>
              <w:spacing w:line="360" w:lineRule="auto"/>
              <w:rPr>
                <w:rFonts w:ascii="Garamond" w:hAnsi="Garamond"/>
              </w:rPr>
            </w:pPr>
            <w:r w:rsidRPr="003037D2">
              <w:rPr>
                <w:rFonts w:ascii="Garamond" w:hAnsi="Garamond"/>
              </w:rPr>
              <w:t>10</w:t>
            </w:r>
          </w:p>
        </w:tc>
        <w:tc>
          <w:tcPr>
            <w:tcW w:w="537" w:type="dxa"/>
          </w:tcPr>
          <w:p w14:paraId="20F15F31" w14:textId="77777777" w:rsidR="00162224" w:rsidRPr="003037D2" w:rsidRDefault="00162224" w:rsidP="00162224">
            <w:pPr>
              <w:spacing w:line="360" w:lineRule="auto"/>
              <w:rPr>
                <w:rFonts w:ascii="Garamond" w:hAnsi="Garamond"/>
              </w:rPr>
            </w:pPr>
            <w:r w:rsidRPr="003037D2">
              <w:rPr>
                <w:rFonts w:ascii="Garamond" w:hAnsi="Garamond"/>
              </w:rPr>
              <w:t>-</w:t>
            </w:r>
          </w:p>
        </w:tc>
        <w:tc>
          <w:tcPr>
            <w:tcW w:w="635" w:type="dxa"/>
          </w:tcPr>
          <w:p w14:paraId="66DD9E29" w14:textId="77777777" w:rsidR="00162224" w:rsidRPr="003037D2" w:rsidRDefault="00162224" w:rsidP="00162224">
            <w:pPr>
              <w:spacing w:line="360" w:lineRule="auto"/>
              <w:rPr>
                <w:rFonts w:ascii="Garamond" w:hAnsi="Garamond"/>
              </w:rPr>
            </w:pPr>
            <w:r w:rsidRPr="003037D2">
              <w:rPr>
                <w:rFonts w:ascii="Garamond" w:hAnsi="Garamond"/>
              </w:rPr>
              <w:t>-</w:t>
            </w:r>
          </w:p>
        </w:tc>
        <w:tc>
          <w:tcPr>
            <w:tcW w:w="731" w:type="dxa"/>
          </w:tcPr>
          <w:p w14:paraId="5F09700C" w14:textId="77777777" w:rsidR="00162224" w:rsidRPr="003037D2" w:rsidRDefault="00162224" w:rsidP="00162224">
            <w:pPr>
              <w:spacing w:line="360" w:lineRule="auto"/>
              <w:rPr>
                <w:rFonts w:ascii="Garamond" w:hAnsi="Garamond"/>
              </w:rPr>
            </w:pPr>
            <w:r w:rsidRPr="003037D2">
              <w:rPr>
                <w:rFonts w:ascii="Garamond" w:hAnsi="Garamond"/>
              </w:rPr>
              <w:t>10</w:t>
            </w:r>
          </w:p>
        </w:tc>
        <w:tc>
          <w:tcPr>
            <w:tcW w:w="727" w:type="dxa"/>
          </w:tcPr>
          <w:p w14:paraId="081C5E72" w14:textId="77777777" w:rsidR="00162224" w:rsidRPr="003037D2" w:rsidRDefault="00162224" w:rsidP="00162224">
            <w:pPr>
              <w:spacing w:line="360" w:lineRule="auto"/>
              <w:rPr>
                <w:rFonts w:ascii="Garamond" w:hAnsi="Garamond"/>
              </w:rPr>
            </w:pPr>
            <w:r w:rsidRPr="003037D2">
              <w:rPr>
                <w:rFonts w:ascii="Garamond" w:hAnsi="Garamond"/>
              </w:rPr>
              <w:t>100</w:t>
            </w:r>
          </w:p>
        </w:tc>
        <w:tc>
          <w:tcPr>
            <w:tcW w:w="727" w:type="dxa"/>
          </w:tcPr>
          <w:p w14:paraId="435FE5F9" w14:textId="77777777" w:rsidR="00162224" w:rsidRPr="003037D2" w:rsidRDefault="00162224" w:rsidP="00162224">
            <w:pPr>
              <w:spacing w:line="360" w:lineRule="auto"/>
              <w:rPr>
                <w:rFonts w:ascii="Garamond" w:hAnsi="Garamond"/>
              </w:rPr>
            </w:pPr>
            <w:r w:rsidRPr="003037D2">
              <w:rPr>
                <w:rFonts w:ascii="Garamond" w:hAnsi="Garamond"/>
              </w:rPr>
              <w:t>-</w:t>
            </w:r>
          </w:p>
        </w:tc>
        <w:tc>
          <w:tcPr>
            <w:tcW w:w="725" w:type="dxa"/>
          </w:tcPr>
          <w:p w14:paraId="510661E4" w14:textId="77777777" w:rsidR="00162224" w:rsidRPr="003037D2" w:rsidRDefault="00162224" w:rsidP="00162224">
            <w:pPr>
              <w:spacing w:line="360" w:lineRule="auto"/>
              <w:rPr>
                <w:rFonts w:ascii="Garamond" w:hAnsi="Garamond"/>
              </w:rPr>
            </w:pPr>
            <w:r w:rsidRPr="003037D2">
              <w:rPr>
                <w:rFonts w:ascii="Garamond" w:hAnsi="Garamond"/>
              </w:rPr>
              <w:t>-</w:t>
            </w:r>
          </w:p>
        </w:tc>
        <w:tc>
          <w:tcPr>
            <w:tcW w:w="722" w:type="dxa"/>
          </w:tcPr>
          <w:p w14:paraId="7CE638E6" w14:textId="77777777" w:rsidR="00162224" w:rsidRPr="003037D2" w:rsidRDefault="00162224" w:rsidP="00162224">
            <w:pPr>
              <w:spacing w:line="360" w:lineRule="auto"/>
              <w:rPr>
                <w:rFonts w:ascii="Garamond" w:hAnsi="Garamond"/>
              </w:rPr>
            </w:pPr>
            <w:r w:rsidRPr="003037D2">
              <w:rPr>
                <w:rFonts w:ascii="Garamond" w:hAnsi="Garamond"/>
              </w:rPr>
              <w:t>-</w:t>
            </w:r>
          </w:p>
        </w:tc>
        <w:tc>
          <w:tcPr>
            <w:tcW w:w="722" w:type="dxa"/>
          </w:tcPr>
          <w:p w14:paraId="2721BDED" w14:textId="77777777" w:rsidR="00162224" w:rsidRPr="003037D2" w:rsidRDefault="00162224" w:rsidP="00162224">
            <w:pPr>
              <w:spacing w:line="360" w:lineRule="auto"/>
              <w:rPr>
                <w:rFonts w:ascii="Garamond" w:hAnsi="Garamond"/>
              </w:rPr>
            </w:pPr>
            <w:r w:rsidRPr="003037D2">
              <w:rPr>
                <w:rFonts w:ascii="Garamond" w:hAnsi="Garamond"/>
              </w:rPr>
              <w:t>-</w:t>
            </w:r>
          </w:p>
        </w:tc>
        <w:tc>
          <w:tcPr>
            <w:tcW w:w="733" w:type="dxa"/>
          </w:tcPr>
          <w:p w14:paraId="547FF601" w14:textId="77777777" w:rsidR="00162224" w:rsidRPr="003037D2" w:rsidRDefault="00162224" w:rsidP="00162224">
            <w:pPr>
              <w:spacing w:line="360" w:lineRule="auto"/>
              <w:rPr>
                <w:rFonts w:ascii="Garamond" w:hAnsi="Garamond"/>
              </w:rPr>
            </w:pPr>
            <w:r w:rsidRPr="003037D2">
              <w:rPr>
                <w:rFonts w:ascii="Garamond" w:hAnsi="Garamond"/>
              </w:rPr>
              <w:t>-</w:t>
            </w:r>
          </w:p>
        </w:tc>
        <w:tc>
          <w:tcPr>
            <w:tcW w:w="729" w:type="dxa"/>
          </w:tcPr>
          <w:p w14:paraId="4C0D5416" w14:textId="77777777" w:rsidR="00162224" w:rsidRPr="003037D2" w:rsidRDefault="00162224" w:rsidP="00162224">
            <w:pPr>
              <w:keepNext/>
              <w:spacing w:line="360" w:lineRule="auto"/>
              <w:rPr>
                <w:rFonts w:ascii="Garamond" w:hAnsi="Garamond"/>
              </w:rPr>
            </w:pPr>
            <w:r w:rsidRPr="003037D2">
              <w:rPr>
                <w:rFonts w:ascii="Garamond" w:hAnsi="Garamond"/>
              </w:rPr>
              <w:t>-</w:t>
            </w:r>
          </w:p>
        </w:tc>
      </w:tr>
    </w:tbl>
    <w:p w14:paraId="108A1077" w14:textId="024C7C15" w:rsidR="00162224" w:rsidRPr="003037D2" w:rsidRDefault="00162224" w:rsidP="00667CD5">
      <w:pPr>
        <w:pStyle w:val="Caption"/>
        <w:spacing w:line="360" w:lineRule="auto"/>
        <w:rPr>
          <w:rFonts w:ascii="Garamond" w:hAnsi="Garamond"/>
          <w:sz w:val="22"/>
          <w:szCs w:val="22"/>
        </w:rPr>
      </w:pPr>
      <w:r w:rsidRPr="003037D2">
        <w:rPr>
          <w:rFonts w:ascii="Garamond" w:hAnsi="Garamond"/>
          <w:sz w:val="22"/>
          <w:szCs w:val="22"/>
        </w:rPr>
        <w:t xml:space="preserve">Table </w:t>
      </w:r>
      <w:r w:rsidRPr="003037D2">
        <w:rPr>
          <w:rFonts w:ascii="Garamond" w:hAnsi="Garamond"/>
          <w:sz w:val="22"/>
          <w:szCs w:val="22"/>
        </w:rPr>
        <w:fldChar w:fldCharType="begin"/>
      </w:r>
      <w:r w:rsidRPr="003037D2">
        <w:rPr>
          <w:rFonts w:ascii="Garamond" w:hAnsi="Garamond"/>
          <w:sz w:val="22"/>
          <w:szCs w:val="22"/>
        </w:rPr>
        <w:instrText xml:space="preserve"> SEQ Table \* ARABIC </w:instrText>
      </w:r>
      <w:r w:rsidRPr="003037D2">
        <w:rPr>
          <w:rFonts w:ascii="Garamond" w:hAnsi="Garamond"/>
          <w:sz w:val="22"/>
          <w:szCs w:val="22"/>
        </w:rPr>
        <w:fldChar w:fldCharType="separate"/>
      </w:r>
      <w:r w:rsidR="001117A3" w:rsidRPr="003037D2">
        <w:rPr>
          <w:rFonts w:ascii="Garamond" w:hAnsi="Garamond"/>
          <w:noProof/>
          <w:sz w:val="22"/>
          <w:szCs w:val="22"/>
        </w:rPr>
        <w:t>2</w:t>
      </w:r>
      <w:r w:rsidRPr="003037D2">
        <w:rPr>
          <w:rFonts w:ascii="Garamond" w:hAnsi="Garamond"/>
          <w:sz w:val="22"/>
          <w:szCs w:val="22"/>
        </w:rPr>
        <w:fldChar w:fldCharType="end"/>
      </w:r>
      <w:r w:rsidRPr="003037D2">
        <w:rPr>
          <w:rFonts w:ascii="Garamond" w:hAnsi="Garamond"/>
          <w:sz w:val="22"/>
          <w:szCs w:val="22"/>
        </w:rPr>
        <w:t xml:space="preserve"> </w:t>
      </w:r>
      <w:r w:rsidR="00667CD5">
        <w:rPr>
          <w:rFonts w:ascii="Garamond" w:hAnsi="Garamond"/>
          <w:i w:val="0"/>
          <w:iCs w:val="0"/>
          <w:sz w:val="22"/>
          <w:szCs w:val="22"/>
        </w:rPr>
        <w:t xml:space="preserve">Popular preachers and title page features, 1620-1642. </w:t>
      </w:r>
      <w:r w:rsidRPr="003037D2">
        <w:rPr>
          <w:rFonts w:ascii="Garamond" w:hAnsi="Garamond"/>
          <w:i w:val="0"/>
          <w:iCs w:val="0"/>
          <w:sz w:val="22"/>
          <w:szCs w:val="22"/>
        </w:rPr>
        <w:t xml:space="preserve"> </w:t>
      </w:r>
    </w:p>
    <w:p w14:paraId="1BA6673F" w14:textId="77777777" w:rsidR="00162224" w:rsidRPr="003037D2" w:rsidRDefault="00162224" w:rsidP="00162224">
      <w:pPr>
        <w:spacing w:line="360" w:lineRule="auto"/>
        <w:rPr>
          <w:rFonts w:ascii="Garamond" w:hAnsi="Garamond"/>
        </w:rPr>
      </w:pPr>
      <w:r w:rsidRPr="003037D2">
        <w:rPr>
          <w:rFonts w:ascii="Garamond" w:hAnsi="Garamond"/>
        </w:rPr>
        <w:t xml:space="preserve">Examining this table reveals that John Preston, a puritan Lincoln’s Inn preacher, published more individual sermons as a higher proportion of his sermon books were collections (75% to Donne’s 35%). It is also notable that of these well-published preachers, Donne is the one whose sermon book title pages most often specify the date and place of preaching, bar Joseph Hall. Hall includes the details of the specific occasion and location of the sermon on </w:t>
      </w:r>
      <w:proofErr w:type="gramStart"/>
      <w:r w:rsidRPr="003037D2">
        <w:rPr>
          <w:rFonts w:ascii="Garamond" w:hAnsi="Garamond"/>
        </w:rPr>
        <w:t>all of</w:t>
      </w:r>
      <w:proofErr w:type="gramEnd"/>
      <w:r w:rsidRPr="003037D2">
        <w:rPr>
          <w:rFonts w:ascii="Garamond" w:hAnsi="Garamond"/>
        </w:rPr>
        <w:t xml:space="preserve"> his title pages. </w:t>
      </w:r>
      <w:proofErr w:type="gramStart"/>
      <w:r w:rsidRPr="003037D2">
        <w:rPr>
          <w:rFonts w:ascii="Garamond" w:hAnsi="Garamond"/>
        </w:rPr>
        <w:t>It seems as though</w:t>
      </w:r>
      <w:proofErr w:type="gramEnd"/>
      <w:r w:rsidRPr="003037D2">
        <w:rPr>
          <w:rFonts w:ascii="Garamond" w:hAnsi="Garamond"/>
        </w:rPr>
        <w:t xml:space="preserve"> comparing Hall and Donne might be illuminating, to see if the commonly made claim that Donne’s rhetoric is distinguished by its evocation of the time and place of preaching holds true. By title pages alone, </w:t>
      </w:r>
      <w:proofErr w:type="gramStart"/>
      <w:r w:rsidRPr="003037D2">
        <w:rPr>
          <w:rFonts w:ascii="Garamond" w:hAnsi="Garamond"/>
        </w:rPr>
        <w:t>it would seem that Hall’s</w:t>
      </w:r>
      <w:proofErr w:type="gramEnd"/>
      <w:r w:rsidRPr="003037D2">
        <w:rPr>
          <w:rFonts w:ascii="Garamond" w:hAnsi="Garamond"/>
        </w:rPr>
        <w:t xml:space="preserve"> publisher, and </w:t>
      </w:r>
      <w:r w:rsidRPr="003037D2">
        <w:rPr>
          <w:rFonts w:ascii="Garamond" w:hAnsi="Garamond"/>
        </w:rPr>
        <w:lastRenderedPageBreak/>
        <w:t xml:space="preserve">potentially readers similarly attached value to knowing the time and place where his sermons were first given.  </w:t>
      </w:r>
    </w:p>
    <w:p w14:paraId="59D39056" w14:textId="07783FFE" w:rsidR="00162224" w:rsidRPr="003037D2" w:rsidRDefault="00162224" w:rsidP="00162224">
      <w:pPr>
        <w:spacing w:line="360" w:lineRule="auto"/>
        <w:rPr>
          <w:rFonts w:ascii="Garamond" w:hAnsi="Garamond"/>
        </w:rPr>
      </w:pPr>
    </w:p>
    <w:p w14:paraId="721B19A0" w14:textId="77777777" w:rsidR="00A721D6" w:rsidRPr="003037D2" w:rsidRDefault="00A721D6" w:rsidP="00162224">
      <w:pPr>
        <w:spacing w:line="360" w:lineRule="auto"/>
        <w:rPr>
          <w:rFonts w:ascii="Garamond" w:hAnsi="Garamond"/>
        </w:rPr>
      </w:pPr>
    </w:p>
    <w:p w14:paraId="245512C7" w14:textId="77777777" w:rsidR="00162224" w:rsidRPr="003037D2" w:rsidRDefault="00162224" w:rsidP="00162224">
      <w:pPr>
        <w:pStyle w:val="Heading4"/>
        <w:numPr>
          <w:ilvl w:val="0"/>
          <w:numId w:val="35"/>
        </w:numPr>
        <w:spacing w:line="360" w:lineRule="auto"/>
        <w:rPr>
          <w:rFonts w:ascii="Garamond" w:hAnsi="Garamond"/>
          <w:i w:val="0"/>
          <w:iCs w:val="0"/>
          <w:color w:val="auto"/>
          <w:sz w:val="24"/>
          <w:szCs w:val="24"/>
        </w:rPr>
      </w:pPr>
      <w:r w:rsidRPr="003037D2">
        <w:rPr>
          <w:rFonts w:ascii="Garamond" w:hAnsi="Garamond"/>
          <w:i w:val="0"/>
          <w:iCs w:val="0"/>
          <w:color w:val="auto"/>
          <w:sz w:val="24"/>
          <w:szCs w:val="24"/>
        </w:rPr>
        <w:t xml:space="preserve">Joseph Hall  </w:t>
      </w:r>
    </w:p>
    <w:p w14:paraId="6EBE2678" w14:textId="77777777" w:rsidR="00162224" w:rsidRPr="003037D2" w:rsidRDefault="00162224" w:rsidP="00162224">
      <w:pPr>
        <w:spacing w:line="360" w:lineRule="auto"/>
        <w:rPr>
          <w:rFonts w:ascii="Garamond" w:hAnsi="Garamond"/>
          <w:lang w:eastAsia="zh-CN"/>
        </w:rPr>
      </w:pPr>
    </w:p>
    <w:p w14:paraId="0FD6C30E" w14:textId="10AC713C" w:rsidR="00162224" w:rsidRPr="003037D2" w:rsidRDefault="00162224" w:rsidP="00162224">
      <w:pPr>
        <w:spacing w:line="360" w:lineRule="auto"/>
        <w:rPr>
          <w:rFonts w:ascii="Garamond" w:hAnsi="Garamond"/>
        </w:rPr>
      </w:pPr>
      <w:r w:rsidRPr="003037D2">
        <w:rPr>
          <w:rFonts w:ascii="Garamond" w:hAnsi="Garamond"/>
        </w:rPr>
        <w:tab/>
        <w:t xml:space="preserve">Donne and Hall were in fact friends, probably meeting at </w:t>
      </w:r>
      <w:proofErr w:type="spellStart"/>
      <w:r w:rsidRPr="003037D2">
        <w:rPr>
          <w:rFonts w:ascii="Garamond" w:hAnsi="Garamond"/>
        </w:rPr>
        <w:t>Hawstead</w:t>
      </w:r>
      <w:proofErr w:type="spellEnd"/>
      <w:r w:rsidRPr="003037D2">
        <w:rPr>
          <w:rFonts w:ascii="Garamond" w:hAnsi="Garamond"/>
        </w:rPr>
        <w:t xml:space="preserve"> in Suffolk whilst </w:t>
      </w:r>
      <w:r w:rsidR="001F1F6B" w:rsidRPr="003037D2">
        <w:rPr>
          <w:rFonts w:ascii="Garamond" w:hAnsi="Garamond"/>
        </w:rPr>
        <w:t xml:space="preserve">both </w:t>
      </w:r>
      <w:r w:rsidRPr="003037D2">
        <w:rPr>
          <w:rFonts w:ascii="Garamond" w:hAnsi="Garamond"/>
        </w:rPr>
        <w:t>working</w:t>
      </w:r>
      <w:r w:rsidR="001F1F6B" w:rsidRPr="003037D2">
        <w:rPr>
          <w:rFonts w:ascii="Garamond" w:hAnsi="Garamond"/>
        </w:rPr>
        <w:t xml:space="preserve"> </w:t>
      </w:r>
      <w:r w:rsidRPr="003037D2">
        <w:rPr>
          <w:rFonts w:ascii="Garamond" w:hAnsi="Garamond"/>
        </w:rPr>
        <w:t xml:space="preserve">for the Drury family. Hall contributed prefatory works to Donne’s </w:t>
      </w:r>
      <w:proofErr w:type="spellStart"/>
      <w:r w:rsidRPr="003037D2">
        <w:rPr>
          <w:rFonts w:ascii="Garamond" w:hAnsi="Garamond"/>
          <w:i/>
        </w:rPr>
        <w:t>Anatomie</w:t>
      </w:r>
      <w:proofErr w:type="spellEnd"/>
      <w:r w:rsidRPr="003037D2">
        <w:rPr>
          <w:rFonts w:ascii="Garamond" w:hAnsi="Garamond"/>
          <w:i/>
        </w:rPr>
        <w:t xml:space="preserve"> of the World </w:t>
      </w:r>
      <w:r w:rsidRPr="003037D2">
        <w:rPr>
          <w:rFonts w:ascii="Garamond" w:hAnsi="Garamond"/>
        </w:rPr>
        <w:t xml:space="preserve">(1611) and </w:t>
      </w:r>
      <w:r w:rsidRPr="003037D2">
        <w:rPr>
          <w:rFonts w:ascii="Garamond" w:hAnsi="Garamond"/>
          <w:i/>
        </w:rPr>
        <w:t xml:space="preserve">The Second Anniversary </w:t>
      </w:r>
      <w:r w:rsidRPr="003037D2">
        <w:rPr>
          <w:rFonts w:ascii="Garamond" w:hAnsi="Garamond"/>
        </w:rPr>
        <w:t>(1612)</w:t>
      </w:r>
      <w:r w:rsidRPr="003037D2">
        <w:rPr>
          <w:rFonts w:ascii="Garamond" w:hAnsi="Garamond"/>
          <w:i/>
        </w:rPr>
        <w:t xml:space="preserve">, </w:t>
      </w:r>
      <w:r w:rsidRPr="003037D2">
        <w:rPr>
          <w:rFonts w:ascii="Garamond" w:hAnsi="Garamond"/>
        </w:rPr>
        <w:t>which was written to commemorate the death of Elizabeth Drury, the daughter of Hall’s one-time patron.</w:t>
      </w:r>
      <w:r w:rsidRPr="003037D2">
        <w:rPr>
          <w:rStyle w:val="FootnoteReference"/>
          <w:rFonts w:ascii="Garamond" w:hAnsi="Garamond"/>
        </w:rPr>
        <w:footnoteReference w:id="706"/>
      </w:r>
      <w:r w:rsidRPr="003037D2">
        <w:rPr>
          <w:rFonts w:ascii="Garamond" w:hAnsi="Garamond"/>
        </w:rPr>
        <w:t xml:space="preserve"> Hall was born in 1574 to a family of meagre means. Due to his intellectual promise relatives and acquaintances helped him fund his studies at Emmanuel College, Cambridge. He was praised throughout his career for his literary innovation, dubbed ‘the English Seneca’, however he himself said that the most important </w:t>
      </w:r>
      <w:proofErr w:type="spellStart"/>
      <w:r w:rsidRPr="003037D2">
        <w:rPr>
          <w:rFonts w:ascii="Garamond" w:hAnsi="Garamond"/>
        </w:rPr>
        <w:t>asepct</w:t>
      </w:r>
      <w:proofErr w:type="spellEnd"/>
      <w:r w:rsidRPr="003037D2">
        <w:rPr>
          <w:rFonts w:ascii="Garamond" w:hAnsi="Garamond"/>
        </w:rPr>
        <w:t xml:space="preserve"> of his career was promoting Christian ethics. Hall was ordained in 1600, and held a series of provincial posts, although whilst employed by Sir Robert Drury he complained over the </w:t>
      </w:r>
      <w:proofErr w:type="spellStart"/>
      <w:r w:rsidRPr="003037D2">
        <w:rPr>
          <w:rFonts w:ascii="Garamond" w:hAnsi="Garamond"/>
        </w:rPr>
        <w:t>meagreness</w:t>
      </w:r>
      <w:proofErr w:type="spellEnd"/>
      <w:r w:rsidRPr="003037D2">
        <w:rPr>
          <w:rFonts w:ascii="Garamond" w:hAnsi="Garamond"/>
        </w:rPr>
        <w:t xml:space="preserve"> of his stipend, stating that he was ‘forced to write books to buy books’.</w:t>
      </w:r>
      <w:r w:rsidRPr="003037D2">
        <w:rPr>
          <w:rStyle w:val="FootnoteReference"/>
          <w:rFonts w:ascii="Garamond" w:hAnsi="Garamond"/>
        </w:rPr>
        <w:footnoteReference w:id="707"/>
      </w:r>
      <w:r w:rsidRPr="003037D2">
        <w:rPr>
          <w:rFonts w:ascii="Garamond" w:hAnsi="Garamond"/>
        </w:rPr>
        <w:t xml:space="preserve"> Subsequently, he became a chaplain in the court of Prince Henry, and began preaching high profile sermons with his first at </w:t>
      </w:r>
      <w:proofErr w:type="spellStart"/>
      <w:r w:rsidRPr="003037D2">
        <w:rPr>
          <w:rFonts w:ascii="Garamond" w:hAnsi="Garamond"/>
        </w:rPr>
        <w:t>Pauls</w:t>
      </w:r>
      <w:proofErr w:type="spellEnd"/>
      <w:r w:rsidRPr="003037D2">
        <w:rPr>
          <w:rFonts w:ascii="Garamond" w:hAnsi="Garamond"/>
        </w:rPr>
        <w:t xml:space="preserve"> Cross in 1608. He eventually rose to become Bishop of Exeter. McCabe describes him as one of ‘the most noted, and imitated, preachers of the century’, with his 46 extant sermons but a small fraction of his works. Although Hall’s name is known by few now, his reputation remained high for two centuries following his death, with three editions of his complete works being issued during the nineteenth century and Laurence Sterne naming him one of his </w:t>
      </w:r>
      <w:proofErr w:type="spellStart"/>
      <w:r w:rsidRPr="003037D2">
        <w:rPr>
          <w:rFonts w:ascii="Garamond" w:hAnsi="Garamond"/>
        </w:rPr>
        <w:t>favourite</w:t>
      </w:r>
      <w:proofErr w:type="spellEnd"/>
      <w:r w:rsidRPr="003037D2">
        <w:rPr>
          <w:rFonts w:ascii="Garamond" w:hAnsi="Garamond"/>
        </w:rPr>
        <w:t xml:space="preserve"> authors.</w:t>
      </w:r>
      <w:r w:rsidRPr="003037D2">
        <w:rPr>
          <w:rStyle w:val="FootnoteReference"/>
          <w:rFonts w:ascii="Garamond" w:hAnsi="Garamond"/>
        </w:rPr>
        <w:footnoteReference w:id="708"/>
      </w:r>
      <w:r w:rsidRPr="003037D2">
        <w:rPr>
          <w:rFonts w:ascii="Garamond" w:hAnsi="Garamond"/>
        </w:rPr>
        <w:t xml:space="preserve"> </w:t>
      </w:r>
    </w:p>
    <w:p w14:paraId="4280D4C1" w14:textId="77777777" w:rsidR="001117A3" w:rsidRPr="003037D2" w:rsidRDefault="001117A3" w:rsidP="00162224">
      <w:pPr>
        <w:spacing w:line="360" w:lineRule="auto"/>
        <w:rPr>
          <w:rFonts w:ascii="Garamond" w:hAnsi="Garamond"/>
        </w:rPr>
      </w:pPr>
    </w:p>
    <w:p w14:paraId="3D05B47F" w14:textId="77777777" w:rsidR="00162224" w:rsidRPr="003037D2" w:rsidRDefault="00162224" w:rsidP="00162224">
      <w:pPr>
        <w:spacing w:line="360" w:lineRule="auto"/>
        <w:ind w:firstLine="720"/>
        <w:rPr>
          <w:rFonts w:ascii="Garamond" w:hAnsi="Garamond"/>
        </w:rPr>
      </w:pPr>
      <w:r w:rsidRPr="003037D2">
        <w:rPr>
          <w:rFonts w:ascii="Garamond" w:hAnsi="Garamond"/>
        </w:rPr>
        <w:t xml:space="preserve">The foreword to Hall’s </w:t>
      </w:r>
      <w:r w:rsidRPr="003037D2">
        <w:rPr>
          <w:rFonts w:ascii="Garamond" w:hAnsi="Garamond"/>
          <w:i/>
          <w:iCs/>
        </w:rPr>
        <w:t xml:space="preserve">A sermon preached at the happily-restored and reedified </w:t>
      </w:r>
      <w:proofErr w:type="spellStart"/>
      <w:r w:rsidRPr="003037D2">
        <w:rPr>
          <w:rFonts w:ascii="Garamond" w:hAnsi="Garamond"/>
          <w:i/>
          <w:iCs/>
        </w:rPr>
        <w:t>chappell</w:t>
      </w:r>
      <w:proofErr w:type="spellEnd"/>
      <w:r w:rsidRPr="003037D2">
        <w:rPr>
          <w:rFonts w:ascii="Garamond" w:hAnsi="Garamond"/>
          <w:i/>
          <w:iCs/>
        </w:rPr>
        <w:t xml:space="preserve"> of the Right Honorable the Earle of </w:t>
      </w:r>
      <w:proofErr w:type="spellStart"/>
      <w:r w:rsidRPr="003037D2">
        <w:rPr>
          <w:rFonts w:ascii="Garamond" w:hAnsi="Garamond"/>
          <w:i/>
          <w:iCs/>
        </w:rPr>
        <w:t>Exceter</w:t>
      </w:r>
      <w:proofErr w:type="spellEnd"/>
      <w:r w:rsidRPr="003037D2">
        <w:rPr>
          <w:rFonts w:ascii="Garamond" w:hAnsi="Garamond"/>
          <w:i/>
          <w:iCs/>
        </w:rPr>
        <w:t xml:space="preserve"> in his house</w:t>
      </w:r>
      <w:r w:rsidRPr="003037D2">
        <w:rPr>
          <w:rFonts w:ascii="Garamond" w:hAnsi="Garamond"/>
        </w:rPr>
        <w:t xml:space="preserve">, </w:t>
      </w:r>
      <w:r w:rsidRPr="003037D2">
        <w:rPr>
          <w:rFonts w:ascii="Garamond" w:hAnsi="Garamond"/>
          <w:i/>
          <w:iCs/>
        </w:rPr>
        <w:t xml:space="preserve">of St </w:t>
      </w:r>
      <w:proofErr w:type="spellStart"/>
      <w:r w:rsidRPr="003037D2">
        <w:rPr>
          <w:rFonts w:ascii="Garamond" w:hAnsi="Garamond"/>
          <w:i/>
          <w:iCs/>
        </w:rPr>
        <w:t>Iohns</w:t>
      </w:r>
      <w:proofErr w:type="spellEnd"/>
      <w:r w:rsidRPr="003037D2">
        <w:rPr>
          <w:rFonts w:ascii="Garamond" w:hAnsi="Garamond"/>
          <w:i/>
          <w:iCs/>
        </w:rPr>
        <w:t xml:space="preserve"> On Saint Stephens day. 1623, </w:t>
      </w:r>
      <w:r w:rsidRPr="003037D2">
        <w:rPr>
          <w:rFonts w:ascii="Garamond" w:hAnsi="Garamond"/>
        </w:rPr>
        <w:t xml:space="preserve">makes use of the metaphor of building to examine the relationship between the printed and spoken sermon: </w:t>
      </w:r>
    </w:p>
    <w:p w14:paraId="1EEA3FC2" w14:textId="142925B4" w:rsidR="00162224" w:rsidRDefault="00162224" w:rsidP="00162224">
      <w:pPr>
        <w:ind w:left="737" w:right="737"/>
        <w:jc w:val="both"/>
        <w:rPr>
          <w:rFonts w:ascii="Garamond" w:hAnsi="Garamond"/>
        </w:rPr>
      </w:pPr>
      <w:r w:rsidRPr="003037D2">
        <w:rPr>
          <w:rFonts w:ascii="Garamond" w:hAnsi="Garamond"/>
        </w:rPr>
        <w:t xml:space="preserve">this Sermon, I know, is at the Presse before you expected: But I thought (as this glorious Chappell occasioned it,) so it might minister occasion of </w:t>
      </w:r>
      <w:proofErr w:type="spellStart"/>
      <w:r w:rsidRPr="003037D2">
        <w:rPr>
          <w:rFonts w:ascii="Garamond" w:hAnsi="Garamond"/>
        </w:rPr>
        <w:lastRenderedPageBreak/>
        <w:t>perpetuall</w:t>
      </w:r>
      <w:proofErr w:type="spellEnd"/>
      <w:r w:rsidRPr="003037D2">
        <w:rPr>
          <w:rFonts w:ascii="Garamond" w:hAnsi="Garamond"/>
        </w:rPr>
        <w:t xml:space="preserve"> </w:t>
      </w:r>
      <w:proofErr w:type="spellStart"/>
      <w:r w:rsidRPr="003037D2">
        <w:rPr>
          <w:rFonts w:ascii="Garamond" w:hAnsi="Garamond"/>
        </w:rPr>
        <w:t>rememberance</w:t>
      </w:r>
      <w:proofErr w:type="spellEnd"/>
      <w:r w:rsidRPr="003037D2">
        <w:rPr>
          <w:rFonts w:ascii="Garamond" w:hAnsi="Garamond"/>
        </w:rPr>
        <w:t xml:space="preserve"> of the Chappell, by remaining its first Monument. And </w:t>
      </w:r>
      <w:proofErr w:type="spellStart"/>
      <w:r w:rsidRPr="003037D2">
        <w:rPr>
          <w:rFonts w:ascii="Garamond" w:hAnsi="Garamond"/>
        </w:rPr>
        <w:t>altho</w:t>
      </w:r>
      <w:proofErr w:type="spellEnd"/>
      <w:r w:rsidRPr="003037D2">
        <w:rPr>
          <w:rFonts w:ascii="Garamond" w:hAnsi="Garamond"/>
        </w:rPr>
        <w:t xml:space="preserve"> both these were confined to the private; the Chappell for the Family of my Right </w:t>
      </w:r>
      <w:proofErr w:type="spellStart"/>
      <w:r w:rsidRPr="003037D2">
        <w:rPr>
          <w:rFonts w:ascii="Garamond" w:hAnsi="Garamond"/>
        </w:rPr>
        <w:t>Honourable</w:t>
      </w:r>
      <w:proofErr w:type="spellEnd"/>
      <w:r w:rsidRPr="003037D2">
        <w:rPr>
          <w:rFonts w:ascii="Garamond" w:hAnsi="Garamond"/>
        </w:rPr>
        <w:t xml:space="preserve"> Lord, the Earle of </w:t>
      </w:r>
      <w:proofErr w:type="spellStart"/>
      <w:r w:rsidRPr="003037D2">
        <w:rPr>
          <w:rFonts w:ascii="Garamond" w:hAnsi="Garamond"/>
        </w:rPr>
        <w:t>Exceter</w:t>
      </w:r>
      <w:proofErr w:type="spellEnd"/>
      <w:r w:rsidRPr="003037D2">
        <w:rPr>
          <w:rFonts w:ascii="Garamond" w:hAnsi="Garamond"/>
        </w:rPr>
        <w:t xml:space="preserve">, who hath given the </w:t>
      </w:r>
      <w:proofErr w:type="spellStart"/>
      <w:r w:rsidRPr="003037D2">
        <w:rPr>
          <w:rFonts w:ascii="Garamond" w:hAnsi="Garamond"/>
        </w:rPr>
        <w:t>materiall</w:t>
      </w:r>
      <w:proofErr w:type="spellEnd"/>
      <w:r w:rsidRPr="003037D2">
        <w:rPr>
          <w:rFonts w:ascii="Garamond" w:hAnsi="Garamond"/>
        </w:rPr>
        <w:t xml:space="preserve"> thereof sufficient luster: and the </w:t>
      </w:r>
      <w:proofErr w:type="spellStart"/>
      <w:r w:rsidRPr="003037D2">
        <w:rPr>
          <w:rFonts w:ascii="Garamond" w:hAnsi="Garamond"/>
        </w:rPr>
        <w:t>Copie</w:t>
      </w:r>
      <w:proofErr w:type="spellEnd"/>
      <w:r w:rsidRPr="003037D2">
        <w:rPr>
          <w:rFonts w:ascii="Garamond" w:hAnsi="Garamond"/>
        </w:rPr>
        <w:t xml:space="preserve"> of the Sermon to the Cabinet of my truly Noble, and </w:t>
      </w:r>
      <w:proofErr w:type="spellStart"/>
      <w:r w:rsidRPr="003037D2">
        <w:rPr>
          <w:rFonts w:ascii="Garamond" w:hAnsi="Garamond"/>
        </w:rPr>
        <w:t>vertuous</w:t>
      </w:r>
      <w:proofErr w:type="spellEnd"/>
      <w:r w:rsidRPr="003037D2">
        <w:rPr>
          <w:rFonts w:ascii="Garamond" w:hAnsi="Garamond"/>
        </w:rPr>
        <w:t xml:space="preserve"> Lady, his </w:t>
      </w:r>
      <w:proofErr w:type="spellStart"/>
      <w:r w:rsidRPr="003037D2">
        <w:rPr>
          <w:rFonts w:ascii="Garamond" w:hAnsi="Garamond"/>
        </w:rPr>
        <w:t>Countesse</w:t>
      </w:r>
      <w:proofErr w:type="spellEnd"/>
      <w:r w:rsidRPr="003037D2">
        <w:rPr>
          <w:rFonts w:ascii="Garamond" w:hAnsi="Garamond"/>
        </w:rPr>
        <w:t xml:space="preserve">; yet both these are much and oft required to the </w:t>
      </w:r>
      <w:proofErr w:type="spellStart"/>
      <w:r w:rsidRPr="003037D2">
        <w:rPr>
          <w:rFonts w:ascii="Garamond" w:hAnsi="Garamond"/>
        </w:rPr>
        <w:t>publike</w:t>
      </w:r>
      <w:proofErr w:type="spellEnd"/>
      <w:r w:rsidRPr="003037D2">
        <w:rPr>
          <w:rFonts w:ascii="Garamond" w:hAnsi="Garamond"/>
        </w:rPr>
        <w:t xml:space="preserve">; the Sermon to be an instruction, and so it is; the Chappell, to </w:t>
      </w:r>
      <w:proofErr w:type="spellStart"/>
      <w:r w:rsidRPr="003037D2">
        <w:rPr>
          <w:rFonts w:ascii="Garamond" w:hAnsi="Garamond"/>
        </w:rPr>
        <w:t>bee</w:t>
      </w:r>
      <w:proofErr w:type="spellEnd"/>
      <w:r w:rsidRPr="003037D2">
        <w:rPr>
          <w:rFonts w:ascii="Garamond" w:hAnsi="Garamond"/>
        </w:rPr>
        <w:t xml:space="preserve"> an example, and so it may be.</w:t>
      </w:r>
      <w:r w:rsidRPr="003037D2">
        <w:rPr>
          <w:rFonts w:ascii="Garamond" w:hAnsi="Garamond"/>
          <w:b/>
          <w:bCs/>
        </w:rPr>
        <w:t xml:space="preserve"> </w:t>
      </w:r>
      <w:r w:rsidRPr="003037D2">
        <w:rPr>
          <w:rFonts w:ascii="Garamond" w:hAnsi="Garamond"/>
        </w:rPr>
        <w:t xml:space="preserve">The Sermon to teach all, to be all glorious in their </w:t>
      </w:r>
      <w:proofErr w:type="spellStart"/>
      <w:r w:rsidRPr="003037D2">
        <w:rPr>
          <w:rFonts w:ascii="Garamond" w:hAnsi="Garamond"/>
        </w:rPr>
        <w:t>soules</w:t>
      </w:r>
      <w:proofErr w:type="spellEnd"/>
      <w:r w:rsidRPr="003037D2">
        <w:rPr>
          <w:rFonts w:ascii="Garamond" w:hAnsi="Garamond"/>
        </w:rPr>
        <w:t xml:space="preserve">. The Chappell to teach some, who build houses for their </w:t>
      </w:r>
      <w:proofErr w:type="spellStart"/>
      <w:r w:rsidRPr="003037D2">
        <w:rPr>
          <w:rFonts w:ascii="Garamond" w:hAnsi="Garamond"/>
        </w:rPr>
        <w:t>owne</w:t>
      </w:r>
      <w:proofErr w:type="spellEnd"/>
      <w:r w:rsidRPr="003037D2">
        <w:rPr>
          <w:rFonts w:ascii="Garamond" w:hAnsi="Garamond"/>
        </w:rPr>
        <w:t xml:space="preserve"> habitation, to set up another for Gods Religion.</w:t>
      </w:r>
      <w:r w:rsidRPr="003037D2">
        <w:rPr>
          <w:rStyle w:val="FootnoteReference"/>
          <w:rFonts w:ascii="Garamond" w:hAnsi="Garamond"/>
        </w:rPr>
        <w:footnoteReference w:id="709"/>
      </w:r>
    </w:p>
    <w:p w14:paraId="09982E48" w14:textId="77777777" w:rsidR="00667CD5" w:rsidRPr="003037D2" w:rsidRDefault="00667CD5" w:rsidP="00162224">
      <w:pPr>
        <w:ind w:left="737" w:right="737"/>
        <w:jc w:val="both"/>
        <w:rPr>
          <w:rFonts w:ascii="Garamond" w:hAnsi="Garamond"/>
        </w:rPr>
      </w:pPr>
    </w:p>
    <w:p w14:paraId="1B9CC43B" w14:textId="77777777" w:rsidR="00162224" w:rsidRPr="003037D2" w:rsidRDefault="00162224" w:rsidP="00162224">
      <w:pPr>
        <w:spacing w:line="360" w:lineRule="auto"/>
        <w:rPr>
          <w:rFonts w:ascii="Garamond" w:hAnsi="Garamond"/>
        </w:rPr>
      </w:pPr>
      <w:r w:rsidRPr="003037D2">
        <w:rPr>
          <w:rFonts w:ascii="Garamond" w:hAnsi="Garamond"/>
        </w:rPr>
        <w:t xml:space="preserve">Hall creates a striking architectural conceit, contrasting the private space of his Lady’s cabinet in which the copied sermon was kept to the chapel itself, whilst the printed sermon becomes a public monument. The motif of the lady’s cabinet as a space to both contain and disclose a sermon is also seen in a letter Donne sent to the Countess of </w:t>
      </w:r>
      <w:proofErr w:type="spellStart"/>
      <w:r w:rsidRPr="003037D2">
        <w:rPr>
          <w:rFonts w:ascii="Garamond" w:hAnsi="Garamond"/>
        </w:rPr>
        <w:t>Montogomery</w:t>
      </w:r>
      <w:proofErr w:type="spellEnd"/>
      <w:r w:rsidRPr="003037D2">
        <w:rPr>
          <w:rFonts w:ascii="Garamond" w:hAnsi="Garamond"/>
        </w:rPr>
        <w:t xml:space="preserve"> with a sermon, where he declares, ‘in writing this sermon… I </w:t>
      </w:r>
      <w:proofErr w:type="spellStart"/>
      <w:r w:rsidRPr="003037D2">
        <w:rPr>
          <w:rFonts w:ascii="Garamond" w:hAnsi="Garamond"/>
        </w:rPr>
        <w:t>confesse</w:t>
      </w:r>
      <w:proofErr w:type="spellEnd"/>
      <w:r w:rsidRPr="003037D2">
        <w:rPr>
          <w:rFonts w:ascii="Garamond" w:hAnsi="Garamond"/>
        </w:rPr>
        <w:t xml:space="preserve"> I </w:t>
      </w:r>
      <w:proofErr w:type="spellStart"/>
      <w:r w:rsidRPr="003037D2">
        <w:rPr>
          <w:rFonts w:ascii="Garamond" w:hAnsi="Garamond"/>
        </w:rPr>
        <w:t>satisfie</w:t>
      </w:r>
      <w:proofErr w:type="spellEnd"/>
      <w:r w:rsidRPr="003037D2">
        <w:rPr>
          <w:rFonts w:ascii="Garamond" w:hAnsi="Garamond"/>
        </w:rPr>
        <w:t xml:space="preserve"> an ambition of mine own, … of leaving my name in the memory, or in the Cabinet... I know what dead </w:t>
      </w:r>
      <w:proofErr w:type="spellStart"/>
      <w:r w:rsidRPr="003037D2">
        <w:rPr>
          <w:rFonts w:ascii="Garamond" w:hAnsi="Garamond"/>
        </w:rPr>
        <w:t>carkasses</w:t>
      </w:r>
      <w:proofErr w:type="spellEnd"/>
      <w:r w:rsidRPr="003037D2">
        <w:rPr>
          <w:rFonts w:ascii="Garamond" w:hAnsi="Garamond"/>
        </w:rPr>
        <w:t xml:space="preserve"> things written are, in respect of things spoken’.</w:t>
      </w:r>
      <w:r w:rsidRPr="003037D2">
        <w:rPr>
          <w:rStyle w:val="FootnoteReference"/>
          <w:rFonts w:ascii="Garamond" w:hAnsi="Garamond"/>
        </w:rPr>
        <w:footnoteReference w:id="710"/>
      </w:r>
      <w:r w:rsidRPr="003037D2">
        <w:rPr>
          <w:rFonts w:ascii="Garamond" w:hAnsi="Garamond"/>
        </w:rPr>
        <w:t> The cabinet is both a space in which the letter and sermon can be held close and revealed, yet it has none of the vivacity of the spoken word. Hall’s apologia almost constitutes a rebuttal of the building of the chapel as it is only accessible to ‘some’ rather than ‘teach[</w:t>
      </w:r>
      <w:proofErr w:type="spellStart"/>
      <w:r w:rsidRPr="003037D2">
        <w:rPr>
          <w:rFonts w:ascii="Garamond" w:hAnsi="Garamond"/>
        </w:rPr>
        <w:t>ing</w:t>
      </w:r>
      <w:proofErr w:type="spellEnd"/>
      <w:r w:rsidRPr="003037D2">
        <w:rPr>
          <w:rFonts w:ascii="Garamond" w:hAnsi="Garamond"/>
        </w:rPr>
        <w:t xml:space="preserve">] all, to be all glorious in their </w:t>
      </w:r>
      <w:proofErr w:type="spellStart"/>
      <w:r w:rsidRPr="003037D2">
        <w:rPr>
          <w:rFonts w:ascii="Garamond" w:hAnsi="Garamond"/>
        </w:rPr>
        <w:t>soules</w:t>
      </w:r>
      <w:proofErr w:type="spellEnd"/>
      <w:r w:rsidRPr="003037D2">
        <w:rPr>
          <w:rFonts w:ascii="Garamond" w:hAnsi="Garamond"/>
        </w:rPr>
        <w:t xml:space="preserve">’. This refutation prefigures that of the sermon itself, on Haggai 2.9, ‘The glory of the latter house, shall be greater than of the former, saith the Lord of hosts, and in this </w:t>
      </w:r>
      <w:proofErr w:type="gramStart"/>
      <w:r w:rsidRPr="003037D2">
        <w:rPr>
          <w:rFonts w:ascii="Garamond" w:hAnsi="Garamond"/>
        </w:rPr>
        <w:t>place</w:t>
      </w:r>
      <w:proofErr w:type="gramEnd"/>
      <w:r w:rsidRPr="003037D2">
        <w:rPr>
          <w:rFonts w:ascii="Garamond" w:hAnsi="Garamond"/>
        </w:rPr>
        <w:t xml:space="preserve"> I will give peace, saith the Lord of Hosts’. Hall repeatedly asserts how inconsequential the physical appearance of the chapel is, beginning with God’s words to David, ‘</w:t>
      </w:r>
      <w:r w:rsidRPr="003037D2">
        <w:rPr>
          <w:rFonts w:ascii="Garamond" w:hAnsi="Garamond"/>
          <w:i/>
        </w:rPr>
        <w:t>He dwells not in Temples made with hands’.</w:t>
      </w:r>
      <w:r w:rsidRPr="003037D2">
        <w:rPr>
          <w:rStyle w:val="FootnoteReference"/>
          <w:rFonts w:ascii="Garamond" w:hAnsi="Garamond"/>
          <w:i/>
        </w:rPr>
        <w:footnoteReference w:id="711"/>
      </w:r>
      <w:r w:rsidRPr="003037D2">
        <w:rPr>
          <w:rFonts w:ascii="Garamond" w:hAnsi="Garamond"/>
          <w:i/>
        </w:rPr>
        <w:t xml:space="preserve"> </w:t>
      </w:r>
      <w:r w:rsidRPr="003037D2">
        <w:rPr>
          <w:rFonts w:ascii="Garamond" w:hAnsi="Garamond"/>
        </w:rPr>
        <w:t xml:space="preserve">He then draws on the examples of ‘that </w:t>
      </w:r>
      <w:proofErr w:type="spellStart"/>
      <w:r w:rsidRPr="003037D2">
        <w:rPr>
          <w:rFonts w:ascii="Garamond" w:hAnsi="Garamond"/>
        </w:rPr>
        <w:t>longst</w:t>
      </w:r>
      <w:proofErr w:type="spellEnd"/>
      <w:r w:rsidRPr="003037D2">
        <w:rPr>
          <w:rFonts w:ascii="Garamond" w:hAnsi="Garamond"/>
        </w:rPr>
        <w:t>-lived Temple of Solomon’ and ‘the Jewish Temple, white Marble without, lined with Gold within, Brazen pillars’.</w:t>
      </w:r>
      <w:r w:rsidRPr="003037D2">
        <w:rPr>
          <w:rStyle w:val="FootnoteReference"/>
          <w:rFonts w:ascii="Garamond" w:hAnsi="Garamond"/>
        </w:rPr>
        <w:footnoteReference w:id="712"/>
      </w:r>
      <w:r w:rsidRPr="003037D2">
        <w:rPr>
          <w:rFonts w:ascii="Garamond" w:hAnsi="Garamond"/>
        </w:rPr>
        <w:t xml:space="preserve"> He sets up a clear comparison with the setting for his sermon, asking ‘</w:t>
      </w:r>
      <w:proofErr w:type="spellStart"/>
      <w:r w:rsidRPr="003037D2">
        <w:rPr>
          <w:rFonts w:ascii="Garamond" w:hAnsi="Garamond"/>
        </w:rPr>
        <w:t>yee</w:t>
      </w:r>
      <w:proofErr w:type="spellEnd"/>
      <w:r w:rsidRPr="003037D2">
        <w:rPr>
          <w:rFonts w:ascii="Garamond" w:hAnsi="Garamond"/>
        </w:rPr>
        <w:t xml:space="preserve"> shall now give me leave (Right </w:t>
      </w:r>
      <w:proofErr w:type="spellStart"/>
      <w:r w:rsidRPr="003037D2">
        <w:rPr>
          <w:rFonts w:ascii="Garamond" w:hAnsi="Garamond"/>
        </w:rPr>
        <w:t>Honourable</w:t>
      </w:r>
      <w:proofErr w:type="spellEnd"/>
      <w:r w:rsidRPr="003037D2">
        <w:rPr>
          <w:rFonts w:ascii="Garamond" w:hAnsi="Garamond"/>
        </w:rPr>
        <w:t xml:space="preserve">) to </w:t>
      </w:r>
      <w:proofErr w:type="spellStart"/>
      <w:r w:rsidRPr="003037D2">
        <w:rPr>
          <w:rFonts w:ascii="Garamond" w:hAnsi="Garamond"/>
        </w:rPr>
        <w:t>carrie</w:t>
      </w:r>
      <w:proofErr w:type="spellEnd"/>
      <w:r w:rsidRPr="003037D2">
        <w:rPr>
          <w:rFonts w:ascii="Garamond" w:hAnsi="Garamond"/>
        </w:rPr>
        <w:t xml:space="preserve"> these words in a meet </w:t>
      </w:r>
      <w:proofErr w:type="spellStart"/>
      <w:r w:rsidRPr="003037D2">
        <w:rPr>
          <w:rFonts w:ascii="Garamond" w:hAnsi="Garamond"/>
        </w:rPr>
        <w:t>analogie</w:t>
      </w:r>
      <w:proofErr w:type="spellEnd"/>
      <w:r w:rsidRPr="003037D2">
        <w:rPr>
          <w:rFonts w:ascii="Garamond" w:hAnsi="Garamond"/>
        </w:rPr>
        <w:t xml:space="preserve"> to the present occasion’:</w:t>
      </w:r>
      <w:r w:rsidRPr="003037D2">
        <w:rPr>
          <w:rStyle w:val="FootnoteReference"/>
          <w:rFonts w:ascii="Garamond" w:hAnsi="Garamond"/>
        </w:rPr>
        <w:footnoteReference w:id="713"/>
      </w:r>
    </w:p>
    <w:p w14:paraId="6820BB3C" w14:textId="787D523A" w:rsidR="00162224" w:rsidRDefault="00162224" w:rsidP="00162224">
      <w:pPr>
        <w:ind w:left="737" w:right="737"/>
        <w:rPr>
          <w:rFonts w:ascii="Garamond" w:hAnsi="Garamond"/>
        </w:rPr>
      </w:pPr>
      <w:r w:rsidRPr="003037D2">
        <w:rPr>
          <w:rFonts w:ascii="Garamond" w:hAnsi="Garamond"/>
        </w:rPr>
        <w:t xml:space="preserve">Imagine the Altar never so gay, the </w:t>
      </w:r>
      <w:proofErr w:type="spellStart"/>
      <w:r w:rsidRPr="003037D2">
        <w:rPr>
          <w:rFonts w:ascii="Garamond" w:hAnsi="Garamond"/>
        </w:rPr>
        <w:t>Imagerie</w:t>
      </w:r>
      <w:proofErr w:type="spellEnd"/>
      <w:r w:rsidRPr="003037D2">
        <w:rPr>
          <w:rFonts w:ascii="Garamond" w:hAnsi="Garamond"/>
        </w:rPr>
        <w:t xml:space="preserve"> never so curious; the Vestments never so rich; the Pillars, Walls, </w:t>
      </w:r>
      <w:proofErr w:type="spellStart"/>
      <w:r w:rsidRPr="003037D2">
        <w:rPr>
          <w:rFonts w:ascii="Garamond" w:hAnsi="Garamond"/>
        </w:rPr>
        <w:t>Windowes</w:t>
      </w:r>
      <w:proofErr w:type="spellEnd"/>
      <w:r w:rsidRPr="003037D2">
        <w:rPr>
          <w:rFonts w:ascii="Garamond" w:hAnsi="Garamond"/>
        </w:rPr>
        <w:t xml:space="preserve">, Pavement, never so exquisite; yet I dare boldly say, this present glory of this House in this comely </w:t>
      </w:r>
      <w:proofErr w:type="spellStart"/>
      <w:r w:rsidRPr="003037D2">
        <w:rPr>
          <w:rFonts w:ascii="Garamond" w:hAnsi="Garamond"/>
        </w:rPr>
        <w:t>whitenesse</w:t>
      </w:r>
      <w:proofErr w:type="spellEnd"/>
      <w:r w:rsidRPr="003037D2">
        <w:rPr>
          <w:rFonts w:ascii="Garamond" w:hAnsi="Garamond"/>
        </w:rPr>
        <w:t xml:space="preserve">, and well contrived coarctation, is greater than </w:t>
      </w:r>
      <w:r w:rsidRPr="003037D2">
        <w:rPr>
          <w:rFonts w:ascii="Garamond" w:hAnsi="Garamond"/>
        </w:rPr>
        <w:lastRenderedPageBreak/>
        <w:t xml:space="preserve">the former. What care I? nay, </w:t>
      </w:r>
      <w:proofErr w:type="gramStart"/>
      <w:r w:rsidRPr="003037D2">
        <w:rPr>
          <w:rFonts w:ascii="Garamond" w:hAnsi="Garamond"/>
        </w:rPr>
        <w:t>What</w:t>
      </w:r>
      <w:proofErr w:type="gramEnd"/>
      <w:r w:rsidRPr="003037D2">
        <w:rPr>
          <w:rFonts w:ascii="Garamond" w:hAnsi="Garamond"/>
        </w:rPr>
        <w:t xml:space="preserve"> doth God care for the </w:t>
      </w:r>
      <w:proofErr w:type="spellStart"/>
      <w:r w:rsidRPr="003037D2">
        <w:rPr>
          <w:rFonts w:ascii="Garamond" w:hAnsi="Garamond"/>
        </w:rPr>
        <w:t>worke</w:t>
      </w:r>
      <w:proofErr w:type="spellEnd"/>
      <w:r w:rsidRPr="003037D2">
        <w:rPr>
          <w:rFonts w:ascii="Garamond" w:hAnsi="Garamond"/>
        </w:rPr>
        <w:t xml:space="preserve"> of a Lapidary, or Painter, or Mason? One zealous Prayer, one </w:t>
      </w:r>
      <w:proofErr w:type="spellStart"/>
      <w:r w:rsidRPr="003037D2">
        <w:rPr>
          <w:rFonts w:ascii="Garamond" w:hAnsi="Garamond"/>
        </w:rPr>
        <w:t>Orthodoxe</w:t>
      </w:r>
      <w:proofErr w:type="spellEnd"/>
      <w:r w:rsidRPr="003037D2">
        <w:rPr>
          <w:rFonts w:ascii="Garamond" w:hAnsi="Garamond"/>
        </w:rPr>
        <w:t xml:space="preserve"> Sermon is a more glorious furniture, then all the precious rarities of </w:t>
      </w:r>
      <w:proofErr w:type="spellStart"/>
      <w:r w:rsidRPr="003037D2">
        <w:rPr>
          <w:rFonts w:ascii="Garamond" w:hAnsi="Garamond"/>
        </w:rPr>
        <w:t>mechanique</w:t>
      </w:r>
      <w:proofErr w:type="spellEnd"/>
      <w:r w:rsidRPr="003037D2">
        <w:rPr>
          <w:rFonts w:ascii="Garamond" w:hAnsi="Garamond"/>
        </w:rPr>
        <w:t xml:space="preserve"> excellencies.</w:t>
      </w:r>
      <w:r w:rsidRPr="003037D2">
        <w:rPr>
          <w:rStyle w:val="FootnoteReference"/>
          <w:rFonts w:ascii="Garamond" w:hAnsi="Garamond"/>
        </w:rPr>
        <w:footnoteReference w:id="714"/>
      </w:r>
    </w:p>
    <w:p w14:paraId="7AC87BB8" w14:textId="77777777" w:rsidR="00667CD5" w:rsidRPr="003037D2" w:rsidRDefault="00667CD5" w:rsidP="00162224">
      <w:pPr>
        <w:ind w:left="737" w:right="737"/>
        <w:rPr>
          <w:rFonts w:ascii="Garamond" w:hAnsi="Garamond"/>
        </w:rPr>
      </w:pPr>
    </w:p>
    <w:p w14:paraId="4ABBE8A7" w14:textId="77777777" w:rsidR="00162224" w:rsidRPr="003037D2" w:rsidRDefault="00162224" w:rsidP="00162224">
      <w:pPr>
        <w:spacing w:line="360" w:lineRule="auto"/>
        <w:rPr>
          <w:rFonts w:ascii="Garamond" w:hAnsi="Garamond"/>
        </w:rPr>
      </w:pPr>
      <w:r w:rsidRPr="003037D2">
        <w:rPr>
          <w:rFonts w:ascii="Garamond" w:hAnsi="Garamond"/>
        </w:rPr>
        <w:t>Here, Hall specifically refers to the physical space in which he is speaking, drawing the eye to the architecture of the chapel only to dismiss it, in what might like seem a contrary move.</w:t>
      </w:r>
    </w:p>
    <w:p w14:paraId="25D9322D" w14:textId="77777777" w:rsidR="00162224" w:rsidRPr="003037D2" w:rsidRDefault="00162224" w:rsidP="00162224">
      <w:pPr>
        <w:spacing w:line="360" w:lineRule="auto"/>
        <w:rPr>
          <w:rFonts w:ascii="Garamond" w:hAnsi="Garamond"/>
        </w:rPr>
      </w:pPr>
    </w:p>
    <w:p w14:paraId="1866A438" w14:textId="77777777" w:rsidR="00162224" w:rsidRPr="003037D2" w:rsidRDefault="00162224" w:rsidP="00162224">
      <w:pPr>
        <w:spacing w:line="360" w:lineRule="auto"/>
        <w:ind w:firstLine="720"/>
        <w:rPr>
          <w:rFonts w:ascii="Garamond" w:hAnsi="Garamond"/>
        </w:rPr>
      </w:pPr>
      <w:r w:rsidRPr="003037D2">
        <w:rPr>
          <w:rFonts w:ascii="Garamond" w:hAnsi="Garamond"/>
        </w:rPr>
        <w:t xml:space="preserve">The occasion of the sermon is given as the ‘re-edification’ of the chapel, a slightly unusual term. Fincham and </w:t>
      </w:r>
      <w:proofErr w:type="spellStart"/>
      <w:r w:rsidRPr="003037D2">
        <w:rPr>
          <w:rFonts w:ascii="Garamond" w:hAnsi="Garamond"/>
        </w:rPr>
        <w:t>Tyacke</w:t>
      </w:r>
      <w:proofErr w:type="spellEnd"/>
      <w:r w:rsidRPr="003037D2">
        <w:rPr>
          <w:rFonts w:ascii="Garamond" w:hAnsi="Garamond"/>
        </w:rPr>
        <w:t xml:space="preserve"> suggest that the chapel may have been part of the former priory of the Order of St. John of Jerusalem.</w:t>
      </w:r>
      <w:r w:rsidRPr="003037D2">
        <w:rPr>
          <w:rStyle w:val="FootnoteReference"/>
          <w:rFonts w:ascii="Garamond" w:hAnsi="Garamond"/>
        </w:rPr>
        <w:footnoteReference w:id="715"/>
      </w:r>
      <w:r w:rsidRPr="003037D2">
        <w:rPr>
          <w:rFonts w:ascii="Garamond" w:hAnsi="Garamond"/>
        </w:rPr>
        <w:t xml:space="preserve"> Hall uses the term ‘re-edification’ elsewhere, in his 1633 </w:t>
      </w:r>
      <w:r w:rsidRPr="003037D2">
        <w:rPr>
          <w:rFonts w:ascii="Garamond" w:hAnsi="Garamond"/>
          <w:i/>
          <w:iCs/>
        </w:rPr>
        <w:t xml:space="preserve">A </w:t>
      </w:r>
      <w:proofErr w:type="spellStart"/>
      <w:r w:rsidRPr="003037D2">
        <w:rPr>
          <w:rFonts w:ascii="Garamond" w:hAnsi="Garamond"/>
          <w:i/>
          <w:iCs/>
        </w:rPr>
        <w:t>Plaine</w:t>
      </w:r>
      <w:proofErr w:type="spellEnd"/>
      <w:r w:rsidRPr="003037D2">
        <w:rPr>
          <w:rFonts w:ascii="Garamond" w:hAnsi="Garamond"/>
          <w:i/>
          <w:iCs/>
        </w:rPr>
        <w:t xml:space="preserve"> and familiar explication (by way of Paraphrase) of all the hard texts of the whole divine Scripture of the Old and New Testament. </w:t>
      </w:r>
      <w:r w:rsidRPr="003037D2">
        <w:rPr>
          <w:rFonts w:ascii="Garamond" w:hAnsi="Garamond"/>
        </w:rPr>
        <w:t xml:space="preserve"> For Obadiah 1.17, ‘But unto mount Zion shall be deliverance, and there shall be holiness, and the house of Jacob shall </w:t>
      </w:r>
      <w:proofErr w:type="spellStart"/>
      <w:r w:rsidRPr="003037D2">
        <w:rPr>
          <w:rFonts w:ascii="Garamond" w:hAnsi="Garamond"/>
        </w:rPr>
        <w:t>possesse</w:t>
      </w:r>
      <w:proofErr w:type="spellEnd"/>
      <w:r w:rsidRPr="003037D2">
        <w:rPr>
          <w:rFonts w:ascii="Garamond" w:hAnsi="Garamond"/>
        </w:rPr>
        <w:t xml:space="preserve"> their possessions’, Hall offers the paraphrase, </w:t>
      </w:r>
    </w:p>
    <w:p w14:paraId="34B6B0D7" w14:textId="2A138669" w:rsidR="00162224" w:rsidRDefault="00162224" w:rsidP="00162224">
      <w:pPr>
        <w:ind w:left="737" w:right="737"/>
        <w:rPr>
          <w:rFonts w:ascii="Garamond" w:hAnsi="Garamond"/>
        </w:rPr>
      </w:pPr>
      <w:r w:rsidRPr="003037D2">
        <w:rPr>
          <w:rFonts w:ascii="Garamond" w:hAnsi="Garamond"/>
        </w:rPr>
        <w:t xml:space="preserve">But, in the end, upon mount Zion shall be a happy restauration of my people, there shall be holy service performed in my name, in the re-edified Temple; and the </w:t>
      </w:r>
      <w:proofErr w:type="spellStart"/>
      <w:r w:rsidRPr="003037D2">
        <w:rPr>
          <w:rFonts w:ascii="Garamond" w:hAnsi="Garamond"/>
        </w:rPr>
        <w:t>sonnes</w:t>
      </w:r>
      <w:proofErr w:type="spellEnd"/>
      <w:r w:rsidRPr="003037D2">
        <w:rPr>
          <w:rFonts w:ascii="Garamond" w:hAnsi="Garamond"/>
        </w:rPr>
        <w:t xml:space="preserve"> of Jacob shall be restored to their old possessions.</w:t>
      </w:r>
      <w:r w:rsidRPr="003037D2">
        <w:rPr>
          <w:rStyle w:val="FootnoteReference"/>
          <w:rFonts w:ascii="Garamond" w:hAnsi="Garamond"/>
        </w:rPr>
        <w:footnoteReference w:id="716"/>
      </w:r>
      <w:r w:rsidRPr="003037D2">
        <w:rPr>
          <w:rFonts w:ascii="Garamond" w:hAnsi="Garamond"/>
        </w:rPr>
        <w:t xml:space="preserve"> </w:t>
      </w:r>
    </w:p>
    <w:p w14:paraId="4A1836DF" w14:textId="77777777" w:rsidR="00667CD5" w:rsidRPr="003037D2" w:rsidRDefault="00667CD5" w:rsidP="00162224">
      <w:pPr>
        <w:ind w:left="737" w:right="737"/>
        <w:rPr>
          <w:rFonts w:ascii="Garamond" w:hAnsi="Garamond"/>
        </w:rPr>
      </w:pPr>
    </w:p>
    <w:p w14:paraId="5FAB004B" w14:textId="77777777" w:rsidR="00162224" w:rsidRPr="003037D2" w:rsidRDefault="00162224" w:rsidP="00162224">
      <w:pPr>
        <w:spacing w:line="360" w:lineRule="auto"/>
        <w:rPr>
          <w:rFonts w:ascii="Garamond" w:hAnsi="Garamond"/>
        </w:rPr>
      </w:pPr>
      <w:r w:rsidRPr="003037D2">
        <w:rPr>
          <w:rFonts w:ascii="Garamond" w:hAnsi="Garamond"/>
        </w:rPr>
        <w:t>This notion of the ‘re-edified Temple’ is inserted by Hall: it is he who has made the link between ‘holiness’ and the ‘re-edifying’ of a temple. Obadiah, the shortest book of the Bible, is entirely concerned with the destruction of Edom following its persecution of Israel. Edom was a mountain nation, and Obadiah suggests that it was this lofty dwelling place that led to the country becoming prideful and attacking Israel. In seventeenth-century Protestant writing, the Edomites were often associated with Catholicism.</w:t>
      </w:r>
      <w:r w:rsidRPr="003037D2">
        <w:rPr>
          <w:rStyle w:val="FootnoteReference"/>
          <w:rFonts w:ascii="Garamond" w:hAnsi="Garamond"/>
        </w:rPr>
        <w:footnoteReference w:id="717"/>
      </w:r>
      <w:r w:rsidRPr="003037D2">
        <w:rPr>
          <w:rFonts w:ascii="Garamond" w:hAnsi="Garamond"/>
        </w:rPr>
        <w:t xml:space="preserve"> In Hall’s paraphrase of Obadiah 1.3-4, he explains:</w:t>
      </w:r>
    </w:p>
    <w:p w14:paraId="3E37356E" w14:textId="77777777" w:rsidR="00162224" w:rsidRPr="003037D2" w:rsidRDefault="00162224" w:rsidP="00162224">
      <w:pPr>
        <w:ind w:left="737" w:right="737"/>
        <w:rPr>
          <w:rFonts w:ascii="Garamond" w:hAnsi="Garamond"/>
        </w:rPr>
      </w:pPr>
      <w:r w:rsidRPr="003037D2">
        <w:rPr>
          <w:rFonts w:ascii="Garamond" w:hAnsi="Garamond"/>
        </w:rPr>
        <w:t xml:space="preserve">Thou are foolishly </w:t>
      </w:r>
      <w:proofErr w:type="gramStart"/>
      <w:r w:rsidRPr="003037D2">
        <w:rPr>
          <w:rFonts w:ascii="Garamond" w:hAnsi="Garamond"/>
        </w:rPr>
        <w:t>lifted up</w:t>
      </w:r>
      <w:proofErr w:type="gramEnd"/>
      <w:r w:rsidRPr="003037D2">
        <w:rPr>
          <w:rFonts w:ascii="Garamond" w:hAnsi="Garamond"/>
        </w:rPr>
        <w:t xml:space="preserve"> in the pride of thine </w:t>
      </w:r>
      <w:proofErr w:type="spellStart"/>
      <w:r w:rsidRPr="003037D2">
        <w:rPr>
          <w:rFonts w:ascii="Garamond" w:hAnsi="Garamond"/>
        </w:rPr>
        <w:t>owne</w:t>
      </w:r>
      <w:proofErr w:type="spellEnd"/>
      <w:r w:rsidRPr="003037D2">
        <w:rPr>
          <w:rFonts w:ascii="Garamond" w:hAnsi="Garamond"/>
        </w:rPr>
        <w:t xml:space="preserve"> </w:t>
      </w:r>
      <w:proofErr w:type="spellStart"/>
      <w:r w:rsidRPr="003037D2">
        <w:rPr>
          <w:rFonts w:ascii="Garamond" w:hAnsi="Garamond"/>
        </w:rPr>
        <w:t>hert</w:t>
      </w:r>
      <w:proofErr w:type="spellEnd"/>
      <w:r w:rsidRPr="003037D2">
        <w:rPr>
          <w:rFonts w:ascii="Garamond" w:hAnsi="Garamond"/>
        </w:rPr>
        <w:t xml:space="preserve">… thou dwellest aloft in the clefts of the rocks which thou </w:t>
      </w:r>
      <w:proofErr w:type="spellStart"/>
      <w:r w:rsidRPr="003037D2">
        <w:rPr>
          <w:rFonts w:ascii="Garamond" w:hAnsi="Garamond"/>
        </w:rPr>
        <w:t>thinkest</w:t>
      </w:r>
      <w:proofErr w:type="spellEnd"/>
      <w:r w:rsidRPr="003037D2">
        <w:rPr>
          <w:rFonts w:ascii="Garamond" w:hAnsi="Garamond"/>
        </w:rPr>
        <w:t xml:space="preserve"> inaccessible, and </w:t>
      </w:r>
      <w:proofErr w:type="spellStart"/>
      <w:r w:rsidRPr="003037D2">
        <w:rPr>
          <w:rFonts w:ascii="Garamond" w:hAnsi="Garamond"/>
        </w:rPr>
        <w:t>sayst</w:t>
      </w:r>
      <w:proofErr w:type="spellEnd"/>
      <w:r w:rsidRPr="003037D2">
        <w:rPr>
          <w:rFonts w:ascii="Garamond" w:hAnsi="Garamond"/>
        </w:rPr>
        <w:t xml:space="preserve"> in thine heart, who shall </w:t>
      </w:r>
      <w:proofErr w:type="spellStart"/>
      <w:r w:rsidRPr="003037D2">
        <w:rPr>
          <w:rFonts w:ascii="Garamond" w:hAnsi="Garamond"/>
        </w:rPr>
        <w:t>bee</w:t>
      </w:r>
      <w:proofErr w:type="spellEnd"/>
      <w:r w:rsidRPr="003037D2">
        <w:rPr>
          <w:rFonts w:ascii="Garamond" w:hAnsi="Garamond"/>
        </w:rPr>
        <w:t xml:space="preserve"> able to bring me </w:t>
      </w:r>
      <w:proofErr w:type="spellStart"/>
      <w:r w:rsidRPr="003037D2">
        <w:rPr>
          <w:rFonts w:ascii="Garamond" w:hAnsi="Garamond"/>
        </w:rPr>
        <w:t>downe</w:t>
      </w:r>
      <w:proofErr w:type="spellEnd"/>
      <w:r w:rsidRPr="003037D2">
        <w:rPr>
          <w:rFonts w:ascii="Garamond" w:hAnsi="Garamond"/>
        </w:rPr>
        <w:t xml:space="preserve">? But know, that though thy forts, and castles were as high, as the Eagle can build her nest, or </w:t>
      </w:r>
      <w:proofErr w:type="spellStart"/>
      <w:r w:rsidRPr="003037D2">
        <w:rPr>
          <w:rFonts w:ascii="Garamond" w:hAnsi="Garamond"/>
        </w:rPr>
        <w:t>flie</w:t>
      </w:r>
      <w:proofErr w:type="spellEnd"/>
      <w:r w:rsidRPr="003037D2">
        <w:rPr>
          <w:rFonts w:ascii="Garamond" w:hAnsi="Garamond"/>
        </w:rPr>
        <w:t xml:space="preserve">…. Thence I will fetch thee </w:t>
      </w:r>
      <w:proofErr w:type="spellStart"/>
      <w:r w:rsidRPr="003037D2">
        <w:rPr>
          <w:rFonts w:ascii="Garamond" w:hAnsi="Garamond"/>
        </w:rPr>
        <w:t>downe</w:t>
      </w:r>
      <w:proofErr w:type="spellEnd"/>
      <w:r w:rsidRPr="003037D2">
        <w:rPr>
          <w:rFonts w:ascii="Garamond" w:hAnsi="Garamond"/>
        </w:rPr>
        <w:t xml:space="preserve">, saith the Lord </w:t>
      </w:r>
      <w:r w:rsidRPr="003037D2">
        <w:rPr>
          <w:rStyle w:val="FootnoteReference"/>
          <w:rFonts w:ascii="Garamond" w:hAnsi="Garamond"/>
        </w:rPr>
        <w:footnoteReference w:id="718"/>
      </w:r>
    </w:p>
    <w:p w14:paraId="6709A449" w14:textId="77777777" w:rsidR="00162224" w:rsidRPr="003037D2" w:rsidRDefault="00162224" w:rsidP="00162224">
      <w:pPr>
        <w:ind w:left="737" w:right="737"/>
        <w:rPr>
          <w:rFonts w:ascii="Garamond" w:hAnsi="Garamond"/>
        </w:rPr>
      </w:pPr>
    </w:p>
    <w:p w14:paraId="77F070DD" w14:textId="77777777" w:rsidR="00162224" w:rsidRPr="003037D2" w:rsidRDefault="00162224" w:rsidP="00162224">
      <w:pPr>
        <w:spacing w:line="360" w:lineRule="auto"/>
        <w:rPr>
          <w:rFonts w:ascii="Garamond" w:hAnsi="Garamond"/>
        </w:rPr>
      </w:pPr>
      <w:r w:rsidRPr="003037D2">
        <w:rPr>
          <w:rFonts w:ascii="Garamond" w:hAnsi="Garamond"/>
        </w:rPr>
        <w:t xml:space="preserve">There is an odd tension here: though Hall’s paraphrase makes clear that Edom should not value the location of their cities and how they were built, he also explicitly links the temple with godliness. Hall also uses ‘reedifying’ in his paraphrase of Haggai 1.1, ‘The people make excuses for their neglect and say, the time is not yet come for the building up of the temple; </w:t>
      </w:r>
      <w:proofErr w:type="spellStart"/>
      <w:r w:rsidRPr="003037D2">
        <w:rPr>
          <w:rFonts w:ascii="Garamond" w:hAnsi="Garamond"/>
        </w:rPr>
        <w:t>faine</w:t>
      </w:r>
      <w:proofErr w:type="spellEnd"/>
      <w:r w:rsidRPr="003037D2">
        <w:rPr>
          <w:rFonts w:ascii="Garamond" w:hAnsi="Garamond"/>
        </w:rPr>
        <w:t xml:space="preserve"> would we be reedifying it, but we see opposition made by our envious </w:t>
      </w:r>
      <w:proofErr w:type="spellStart"/>
      <w:r w:rsidRPr="003037D2">
        <w:rPr>
          <w:rFonts w:ascii="Garamond" w:hAnsi="Garamond"/>
        </w:rPr>
        <w:t>neighbours</w:t>
      </w:r>
      <w:proofErr w:type="spellEnd"/>
      <w:r w:rsidRPr="003037D2">
        <w:rPr>
          <w:rFonts w:ascii="Garamond" w:hAnsi="Garamond"/>
        </w:rPr>
        <w:t>…’</w:t>
      </w:r>
      <w:r w:rsidRPr="003037D2">
        <w:rPr>
          <w:rStyle w:val="FootnoteReference"/>
          <w:rFonts w:ascii="Garamond" w:hAnsi="Garamond"/>
        </w:rPr>
        <w:footnoteReference w:id="719"/>
      </w:r>
      <w:r w:rsidRPr="003037D2">
        <w:rPr>
          <w:rFonts w:ascii="Garamond" w:hAnsi="Garamond"/>
        </w:rPr>
        <w:t xml:space="preserve"> It was not universally accepted that churches were sacred places. Richard Hooker had ‘rehabilitated the theology of consecration’ in 1597, however debate continued regarding whether the doctrine of Divine Omnipresence was undermined by an insistence on the sacred nature of the church. Some saw this belief in churches as sites for the divine as a superstitious belief.</w:t>
      </w:r>
      <w:r w:rsidRPr="003037D2">
        <w:rPr>
          <w:rStyle w:val="FootnoteReference"/>
          <w:rFonts w:ascii="Garamond" w:hAnsi="Garamond"/>
        </w:rPr>
        <w:footnoteReference w:id="720"/>
      </w:r>
      <w:r w:rsidRPr="003037D2">
        <w:rPr>
          <w:rFonts w:ascii="Garamond" w:hAnsi="Garamond"/>
        </w:rPr>
        <w:t xml:space="preserve"> The homilies gave the moderate argument that churches were hallowed ‘because God’s people resorting thereunto are holy, and exercise themselves in holy and heavenly things’, but that God could not ‘be enclosed in temples or houses </w:t>
      </w:r>
      <w:r w:rsidRPr="003037D2">
        <w:rPr>
          <w:rFonts w:ascii="Garamond" w:hAnsi="Garamond"/>
          <w:i/>
        </w:rPr>
        <w:t xml:space="preserve">made with </w:t>
      </w:r>
      <w:r w:rsidRPr="003037D2">
        <w:rPr>
          <w:rFonts w:ascii="Garamond" w:hAnsi="Garamond"/>
        </w:rPr>
        <w:t xml:space="preserve">man’s </w:t>
      </w:r>
      <w:r w:rsidRPr="003037D2">
        <w:rPr>
          <w:rFonts w:ascii="Garamond" w:hAnsi="Garamond"/>
          <w:i/>
        </w:rPr>
        <w:t>hand’.</w:t>
      </w:r>
      <w:r w:rsidRPr="003037D2">
        <w:rPr>
          <w:rStyle w:val="FootnoteReference"/>
          <w:rFonts w:ascii="Garamond" w:hAnsi="Garamond"/>
        </w:rPr>
        <w:footnoteReference w:id="721"/>
      </w:r>
      <w:r w:rsidRPr="003037D2">
        <w:rPr>
          <w:rFonts w:ascii="Garamond" w:hAnsi="Garamond"/>
          <w:i/>
        </w:rPr>
        <w:t xml:space="preserve"> </w:t>
      </w:r>
      <w:r w:rsidRPr="003037D2">
        <w:rPr>
          <w:rFonts w:ascii="Garamond" w:hAnsi="Garamond"/>
        </w:rPr>
        <w:t>Hall attributes the holiness of the chapel not to the consecration ceremony itself but ‘by testification of presence’, as seen in Matthew 18.20.</w:t>
      </w:r>
      <w:r w:rsidRPr="003037D2">
        <w:rPr>
          <w:rStyle w:val="FootnoteReference"/>
          <w:rFonts w:ascii="Garamond" w:hAnsi="Garamond"/>
        </w:rPr>
        <w:footnoteReference w:id="722"/>
      </w:r>
    </w:p>
    <w:p w14:paraId="5E26C126" w14:textId="77777777" w:rsidR="00162224" w:rsidRPr="003037D2" w:rsidRDefault="00162224" w:rsidP="00162224">
      <w:pPr>
        <w:spacing w:line="360" w:lineRule="auto"/>
        <w:rPr>
          <w:rFonts w:ascii="Garamond" w:hAnsi="Garamond"/>
        </w:rPr>
      </w:pPr>
    </w:p>
    <w:p w14:paraId="0FCCBA2E" w14:textId="77777777" w:rsidR="00162224" w:rsidRPr="003037D2" w:rsidRDefault="00162224" w:rsidP="00162224">
      <w:pPr>
        <w:spacing w:line="360" w:lineRule="auto"/>
        <w:ind w:firstLine="720"/>
        <w:rPr>
          <w:rFonts w:ascii="Garamond" w:hAnsi="Garamond"/>
        </w:rPr>
      </w:pPr>
      <w:r w:rsidRPr="003037D2">
        <w:rPr>
          <w:rFonts w:ascii="Garamond" w:hAnsi="Garamond"/>
        </w:rPr>
        <w:t xml:space="preserve">Fincham and </w:t>
      </w:r>
      <w:proofErr w:type="spellStart"/>
      <w:r w:rsidRPr="003037D2">
        <w:rPr>
          <w:rFonts w:ascii="Garamond" w:hAnsi="Garamond"/>
        </w:rPr>
        <w:t>Tyacke</w:t>
      </w:r>
      <w:proofErr w:type="spellEnd"/>
      <w:r w:rsidRPr="003037D2">
        <w:rPr>
          <w:rFonts w:ascii="Garamond" w:hAnsi="Garamond"/>
        </w:rPr>
        <w:t xml:space="preserve"> suggest that Hall was resistant to some of the proto-</w:t>
      </w:r>
      <w:proofErr w:type="spellStart"/>
      <w:r w:rsidRPr="003037D2">
        <w:rPr>
          <w:rFonts w:ascii="Garamond" w:hAnsi="Garamond"/>
        </w:rPr>
        <w:t>Laudian</w:t>
      </w:r>
      <w:proofErr w:type="spellEnd"/>
      <w:r w:rsidRPr="003037D2">
        <w:rPr>
          <w:rFonts w:ascii="Garamond" w:hAnsi="Garamond"/>
        </w:rPr>
        <w:t xml:space="preserve"> aspects of church decoration and was an advocate for utilitarian furnishings.</w:t>
      </w:r>
      <w:r w:rsidRPr="003037D2">
        <w:rPr>
          <w:rStyle w:val="FootnoteReference"/>
          <w:rFonts w:ascii="Garamond" w:hAnsi="Garamond"/>
        </w:rPr>
        <w:footnoteReference w:id="723"/>
      </w:r>
      <w:r w:rsidRPr="003037D2">
        <w:rPr>
          <w:rFonts w:ascii="Garamond" w:hAnsi="Garamond"/>
        </w:rPr>
        <w:t xml:space="preserve"> As Bishop of Exeter, he did not press individual incumbents to follow </w:t>
      </w:r>
      <w:proofErr w:type="spellStart"/>
      <w:r w:rsidRPr="003037D2">
        <w:rPr>
          <w:rFonts w:ascii="Garamond" w:hAnsi="Garamond"/>
        </w:rPr>
        <w:t>Laudian</w:t>
      </w:r>
      <w:proofErr w:type="spellEnd"/>
      <w:r w:rsidRPr="003037D2">
        <w:rPr>
          <w:rFonts w:ascii="Garamond" w:hAnsi="Garamond"/>
        </w:rPr>
        <w:t xml:space="preserve"> directions, such as the enforcement of the railed altar. He also did not prevent them from erecting altars in their own churches, although his notes on Benjamin Cox moving the communion table to ‘an </w:t>
      </w:r>
      <w:proofErr w:type="spellStart"/>
      <w:r w:rsidRPr="003037D2">
        <w:rPr>
          <w:rFonts w:ascii="Garamond" w:hAnsi="Garamond"/>
        </w:rPr>
        <w:t>altarly</w:t>
      </w:r>
      <w:proofErr w:type="spellEnd"/>
      <w:r w:rsidRPr="003037D2">
        <w:rPr>
          <w:rFonts w:ascii="Garamond" w:hAnsi="Garamond"/>
        </w:rPr>
        <w:t xml:space="preserve"> situation’ suggest that he was somewhat uncomfortable with the idea of a Protestant altar.</w:t>
      </w:r>
      <w:r w:rsidRPr="003037D2">
        <w:rPr>
          <w:rStyle w:val="FootnoteReference"/>
          <w:rFonts w:ascii="Garamond" w:hAnsi="Garamond"/>
        </w:rPr>
        <w:footnoteReference w:id="724"/>
      </w:r>
      <w:r w:rsidRPr="003037D2">
        <w:rPr>
          <w:rFonts w:ascii="Garamond" w:hAnsi="Garamond"/>
        </w:rPr>
        <w:t xml:space="preserve"> When he inspected churches in 1636-7, he focused on ‘fabric and fitting’, rather than issues such as uniform pews or </w:t>
      </w:r>
      <w:proofErr w:type="spellStart"/>
      <w:r w:rsidRPr="003037D2">
        <w:rPr>
          <w:rFonts w:ascii="Garamond" w:hAnsi="Garamond"/>
        </w:rPr>
        <w:t>remodelling</w:t>
      </w:r>
      <w:proofErr w:type="spellEnd"/>
      <w:r w:rsidRPr="003037D2">
        <w:rPr>
          <w:rFonts w:ascii="Garamond" w:hAnsi="Garamond"/>
        </w:rPr>
        <w:t xml:space="preserve">. The repairs and changes that he suggested could appeal to moderate </w:t>
      </w:r>
      <w:r w:rsidRPr="003037D2">
        <w:rPr>
          <w:rFonts w:ascii="Garamond" w:hAnsi="Garamond"/>
        </w:rPr>
        <w:lastRenderedPageBreak/>
        <w:t>conformists and puritans alike’.</w:t>
      </w:r>
      <w:r w:rsidRPr="003037D2">
        <w:rPr>
          <w:rStyle w:val="FootnoteReference"/>
          <w:rFonts w:ascii="Garamond" w:hAnsi="Garamond"/>
        </w:rPr>
        <w:footnoteReference w:id="725"/>
      </w:r>
      <w:r w:rsidRPr="003037D2">
        <w:rPr>
          <w:rFonts w:ascii="Garamond" w:hAnsi="Garamond"/>
        </w:rPr>
        <w:t xml:space="preserve"> This middle way would become dangerous. In the 1640s Hall was repeatedly attacked by Puritan ministers and anti-Bishop mobs and sent to the Tower of London for petitioning the King for protection. Once he was released, the revenues from his properties were confiscated and both the cathedral and his chapel were attacked by iconoclasts. Hall himself attempted to save the decorations of the cathedral, suggesting that the heads of saints could be removed from the stained glass to make it more palatable to the puritan protestors. He wrote in dismay of the destruction of the cathedral: </w:t>
      </w:r>
    </w:p>
    <w:p w14:paraId="3C0F355A" w14:textId="551CAC8A" w:rsidR="00162224" w:rsidRDefault="00162224" w:rsidP="00162224">
      <w:pPr>
        <w:ind w:left="737" w:right="737"/>
        <w:rPr>
          <w:rFonts w:ascii="Garamond" w:hAnsi="Garamond"/>
        </w:rPr>
      </w:pPr>
      <w:r w:rsidRPr="003037D2">
        <w:rPr>
          <w:rFonts w:ascii="Garamond" w:hAnsi="Garamond"/>
        </w:rPr>
        <w:t xml:space="preserve">In a kind of Sacrilegious and profane procession, all the Organ pipes, Vestments, both Copes and Surplices, together with the leaden </w:t>
      </w:r>
      <w:proofErr w:type="spellStart"/>
      <w:r w:rsidRPr="003037D2">
        <w:rPr>
          <w:rFonts w:ascii="Garamond" w:hAnsi="Garamond"/>
        </w:rPr>
        <w:t>crosse</w:t>
      </w:r>
      <w:proofErr w:type="spellEnd"/>
      <w:r w:rsidRPr="003037D2">
        <w:rPr>
          <w:rFonts w:ascii="Garamond" w:hAnsi="Garamond"/>
        </w:rPr>
        <w:t xml:space="preserve">, which had been newly </w:t>
      </w:r>
      <w:proofErr w:type="spellStart"/>
      <w:r w:rsidRPr="003037D2">
        <w:rPr>
          <w:rFonts w:ascii="Garamond" w:hAnsi="Garamond"/>
        </w:rPr>
        <w:t>sawne</w:t>
      </w:r>
      <w:proofErr w:type="spellEnd"/>
      <w:r w:rsidRPr="003037D2">
        <w:rPr>
          <w:rFonts w:ascii="Garamond" w:hAnsi="Garamond"/>
        </w:rPr>
        <w:t xml:space="preserve"> down from over the Green-Yard Pulpit, and the Service books and singing books that could be had, were carried to the fire in the </w:t>
      </w:r>
      <w:proofErr w:type="spellStart"/>
      <w:r w:rsidRPr="003037D2">
        <w:rPr>
          <w:rFonts w:ascii="Garamond" w:hAnsi="Garamond"/>
        </w:rPr>
        <w:t>publick</w:t>
      </w:r>
      <w:proofErr w:type="spellEnd"/>
      <w:r w:rsidRPr="003037D2">
        <w:rPr>
          <w:rFonts w:ascii="Garamond" w:hAnsi="Garamond"/>
        </w:rPr>
        <w:t xml:space="preserve"> Market place; a </w:t>
      </w:r>
      <w:proofErr w:type="spellStart"/>
      <w:r w:rsidRPr="003037D2">
        <w:rPr>
          <w:rFonts w:ascii="Garamond" w:hAnsi="Garamond"/>
        </w:rPr>
        <w:t>leud</w:t>
      </w:r>
      <w:proofErr w:type="spellEnd"/>
      <w:r w:rsidRPr="003037D2">
        <w:rPr>
          <w:rFonts w:ascii="Garamond" w:hAnsi="Garamond"/>
        </w:rPr>
        <w:t xml:space="preserve"> wretch walking before the Train, in his Cope trailing in the dirt, with a Service book in his hand imitating in an impious </w:t>
      </w:r>
      <w:proofErr w:type="spellStart"/>
      <w:r w:rsidRPr="003037D2">
        <w:rPr>
          <w:rFonts w:ascii="Garamond" w:hAnsi="Garamond"/>
        </w:rPr>
        <w:t>scorne</w:t>
      </w:r>
      <w:proofErr w:type="spellEnd"/>
      <w:r w:rsidRPr="003037D2">
        <w:rPr>
          <w:rFonts w:ascii="Garamond" w:hAnsi="Garamond"/>
        </w:rPr>
        <w:t xml:space="preserve"> the tune, and usurping the words of the Litany used formerly in the Church.</w:t>
      </w:r>
      <w:r w:rsidRPr="003037D2">
        <w:rPr>
          <w:rStyle w:val="FootnoteReference"/>
          <w:rFonts w:ascii="Garamond" w:hAnsi="Garamond"/>
        </w:rPr>
        <w:footnoteReference w:id="726"/>
      </w:r>
    </w:p>
    <w:p w14:paraId="48141282" w14:textId="77777777" w:rsidR="00667CD5" w:rsidRPr="003037D2" w:rsidRDefault="00667CD5" w:rsidP="00162224">
      <w:pPr>
        <w:ind w:left="737" w:right="737"/>
        <w:rPr>
          <w:rFonts w:ascii="Garamond" w:hAnsi="Garamond"/>
        </w:rPr>
      </w:pPr>
    </w:p>
    <w:p w14:paraId="2E7E91D7" w14:textId="03D08499" w:rsidR="00162224" w:rsidRPr="003037D2" w:rsidRDefault="00162224" w:rsidP="00470D01">
      <w:pPr>
        <w:spacing w:line="360" w:lineRule="auto"/>
        <w:rPr>
          <w:rFonts w:ascii="Garamond" w:hAnsi="Garamond"/>
        </w:rPr>
      </w:pPr>
      <w:proofErr w:type="gramStart"/>
      <w:r w:rsidRPr="003037D2">
        <w:rPr>
          <w:rFonts w:ascii="Garamond" w:hAnsi="Garamond"/>
        </w:rPr>
        <w:t>So</w:t>
      </w:r>
      <w:proofErr w:type="gramEnd"/>
      <w:r w:rsidRPr="003037D2">
        <w:rPr>
          <w:rFonts w:ascii="Garamond" w:hAnsi="Garamond"/>
        </w:rPr>
        <w:t xml:space="preserve"> Hall was not ideologically opposed to the decoration of the church, he simply took the opportunity of the consecration of a new chapel to remind his congregation to not place too much importance upon these outward trappings. Towards the end of the consecration sermon Hall turns to the promise </w:t>
      </w:r>
      <w:proofErr w:type="spellStart"/>
      <w:r w:rsidRPr="003037D2">
        <w:rPr>
          <w:rFonts w:ascii="Garamond" w:hAnsi="Garamond"/>
          <w:i/>
        </w:rPr>
        <w:t>Dabo</w:t>
      </w:r>
      <w:proofErr w:type="spellEnd"/>
      <w:r w:rsidRPr="003037D2">
        <w:rPr>
          <w:rFonts w:ascii="Garamond" w:hAnsi="Garamond"/>
          <w:i/>
        </w:rPr>
        <w:t xml:space="preserve"> </w:t>
      </w:r>
      <w:proofErr w:type="spellStart"/>
      <w:r w:rsidRPr="003037D2">
        <w:rPr>
          <w:rFonts w:ascii="Garamond" w:hAnsi="Garamond"/>
          <w:i/>
        </w:rPr>
        <w:t>Pacem</w:t>
      </w:r>
      <w:proofErr w:type="spellEnd"/>
      <w:r w:rsidRPr="003037D2">
        <w:rPr>
          <w:rFonts w:ascii="Garamond" w:hAnsi="Garamond"/>
          <w:i/>
        </w:rPr>
        <w:t xml:space="preserve">, </w:t>
      </w:r>
      <w:r w:rsidRPr="003037D2">
        <w:rPr>
          <w:rFonts w:ascii="Garamond" w:hAnsi="Garamond"/>
        </w:rPr>
        <w:t>‘I will give peace’, stating ‘in this place will I give peace. If ever we have it, we must have it from the blessed ordinances of God, his Word and Sacraments, which this place can afford us’</w:t>
      </w:r>
      <w:r w:rsidR="00470D01">
        <w:rPr>
          <w:rFonts w:ascii="Garamond" w:hAnsi="Garamond"/>
        </w:rPr>
        <w:t>.</w:t>
      </w:r>
      <w:r w:rsidRPr="003037D2">
        <w:rPr>
          <w:rFonts w:ascii="Garamond" w:hAnsi="Garamond"/>
        </w:rPr>
        <w:t xml:space="preserve"> Whilst the decoration of the chapel is unimportant, Hall still contrasts it to secular spaces, ‘in </w:t>
      </w:r>
      <w:proofErr w:type="spellStart"/>
      <w:r w:rsidRPr="003037D2">
        <w:rPr>
          <w:rFonts w:ascii="Garamond" w:hAnsi="Garamond"/>
        </w:rPr>
        <w:t>vaine</w:t>
      </w:r>
      <w:proofErr w:type="spellEnd"/>
      <w:r w:rsidRPr="003037D2">
        <w:rPr>
          <w:rFonts w:ascii="Garamond" w:hAnsi="Garamond"/>
        </w:rPr>
        <w:t xml:space="preserve"> shall ye seek for […peace] in a licentious </w:t>
      </w:r>
      <w:proofErr w:type="spellStart"/>
      <w:r w:rsidRPr="003037D2">
        <w:rPr>
          <w:rFonts w:ascii="Garamond" w:hAnsi="Garamond"/>
        </w:rPr>
        <w:t>Taverne</w:t>
      </w:r>
      <w:proofErr w:type="spellEnd"/>
      <w:r w:rsidRPr="003037D2">
        <w:rPr>
          <w:rFonts w:ascii="Garamond" w:hAnsi="Garamond"/>
        </w:rPr>
        <w:t>, in a rich Counting-house, in Chambers of dalliance, in full Tables, in Pompous Courts’.</w:t>
      </w:r>
      <w:r w:rsidRPr="003037D2">
        <w:rPr>
          <w:rStyle w:val="FootnoteReference"/>
          <w:rFonts w:ascii="Garamond" w:hAnsi="Garamond"/>
        </w:rPr>
        <w:footnoteReference w:id="727"/>
      </w:r>
      <w:r w:rsidRPr="003037D2">
        <w:rPr>
          <w:rFonts w:ascii="Garamond" w:hAnsi="Garamond"/>
        </w:rPr>
        <w:t xml:space="preserve"> The space of the chapel or church is important because it will house sacred activities: the ‘zealous Prayer’ and ‘orthodox Sermon’.</w:t>
      </w:r>
      <w:r w:rsidRPr="003037D2">
        <w:rPr>
          <w:rStyle w:val="FootnoteReference"/>
          <w:rFonts w:ascii="Garamond" w:hAnsi="Garamond"/>
        </w:rPr>
        <w:footnoteReference w:id="728"/>
      </w:r>
      <w:r w:rsidRPr="003037D2">
        <w:rPr>
          <w:rFonts w:ascii="Garamond" w:hAnsi="Garamond"/>
        </w:rPr>
        <w:t xml:space="preserve"> In this example, Hall seems to demonstrate exactly the same attentiveness to occasion and location that we have come to associate with Donne. </w:t>
      </w:r>
    </w:p>
    <w:p w14:paraId="48ADBE45" w14:textId="77777777" w:rsidR="00162224" w:rsidRPr="003037D2" w:rsidRDefault="00162224" w:rsidP="00162224">
      <w:pPr>
        <w:spacing w:line="360" w:lineRule="auto"/>
        <w:rPr>
          <w:rFonts w:ascii="Garamond" w:hAnsi="Garamond"/>
        </w:rPr>
      </w:pPr>
    </w:p>
    <w:p w14:paraId="4C693CC0" w14:textId="77777777" w:rsidR="00162224" w:rsidRPr="003037D2" w:rsidRDefault="00162224" w:rsidP="00162224">
      <w:pPr>
        <w:spacing w:line="360" w:lineRule="auto"/>
        <w:ind w:firstLine="720"/>
        <w:rPr>
          <w:rFonts w:ascii="Garamond" w:hAnsi="Garamond" w:cs="Times New Roman"/>
        </w:rPr>
      </w:pPr>
      <w:r w:rsidRPr="003037D2">
        <w:rPr>
          <w:rFonts w:ascii="Garamond" w:hAnsi="Garamond"/>
        </w:rPr>
        <w:t xml:space="preserve">This is not to say however, that we should ignore how Donne fits his sermon rhetoric to his preaching space. Rather, the evidence from the title pages suggests that this specificity was a desired feature of sermons in general. </w:t>
      </w:r>
      <w:r w:rsidRPr="003037D2">
        <w:rPr>
          <w:rFonts w:ascii="Garamond" w:hAnsi="Garamond" w:cs="Times New Roman"/>
        </w:rPr>
        <w:t xml:space="preserve">Discussing how the role of the author locates a work of art in time, Nagel and Wood write, ‘the authorial </w:t>
      </w:r>
      <w:r w:rsidRPr="003037D2">
        <w:rPr>
          <w:rFonts w:ascii="Garamond" w:hAnsi="Garamond" w:cs="Times New Roman"/>
        </w:rPr>
        <w:lastRenderedPageBreak/>
        <w:t>performance cuts time into before and after’ by creating something new.</w:t>
      </w:r>
      <w:r w:rsidRPr="003037D2">
        <w:rPr>
          <w:rStyle w:val="FootnoteReference"/>
          <w:rFonts w:ascii="Garamond" w:hAnsi="Garamond" w:cs="Times New Roman"/>
        </w:rPr>
        <w:footnoteReference w:id="729"/>
      </w:r>
      <w:r w:rsidRPr="003037D2">
        <w:rPr>
          <w:rFonts w:ascii="Garamond" w:hAnsi="Garamond" w:cs="Times New Roman"/>
        </w:rPr>
        <w:t xml:space="preserve"> However, as Ecclesiastes 1.9 says, ‘there is nothing new under the sun’. Nagel and Wood draw attention to the fact that any artistic work is steeped in the customs and context from which it emerges, creating ‘an impression of novelty’ whilst drawing on ‘</w:t>
      </w:r>
      <w:proofErr w:type="spellStart"/>
      <w:r w:rsidRPr="003037D2">
        <w:rPr>
          <w:rFonts w:ascii="Garamond" w:hAnsi="Garamond" w:cs="Times New Roman"/>
        </w:rPr>
        <w:t>supraindividual</w:t>
      </w:r>
      <w:proofErr w:type="spellEnd"/>
      <w:r w:rsidRPr="003037D2">
        <w:rPr>
          <w:rFonts w:ascii="Garamond" w:hAnsi="Garamond" w:cs="Times New Roman"/>
        </w:rPr>
        <w:t xml:space="preserve">, collective norms’: </w:t>
      </w:r>
    </w:p>
    <w:p w14:paraId="7C4C69DD" w14:textId="287772F1" w:rsidR="00162224" w:rsidRDefault="00162224" w:rsidP="00162224">
      <w:pPr>
        <w:ind w:left="737" w:right="737"/>
        <w:rPr>
          <w:rFonts w:ascii="Garamond" w:hAnsi="Garamond"/>
        </w:rPr>
      </w:pPr>
      <w:r w:rsidRPr="003037D2">
        <w:rPr>
          <w:rFonts w:ascii="Garamond" w:hAnsi="Garamond"/>
        </w:rPr>
        <w:t>To describe the authored work as a performance is to emphasize its punctual, time-sensitive quality. But performance involves an interaction between the individual and custom… In the performative work, the past is therefore doubly present: first in the conventions that the artist must conform to, and second in the idea of the past, perhaps even of the meaning conferring origin itself, formed in the artist’s own imagination.</w:t>
      </w:r>
      <w:r w:rsidRPr="003037D2">
        <w:rPr>
          <w:rStyle w:val="FootnoteReference"/>
          <w:rFonts w:ascii="Garamond" w:hAnsi="Garamond"/>
        </w:rPr>
        <w:footnoteReference w:id="730"/>
      </w:r>
    </w:p>
    <w:p w14:paraId="0981485E" w14:textId="77777777" w:rsidR="00667CD5" w:rsidRPr="003037D2" w:rsidRDefault="00667CD5" w:rsidP="00162224">
      <w:pPr>
        <w:ind w:left="737" w:right="737"/>
        <w:rPr>
          <w:rFonts w:ascii="Garamond" w:hAnsi="Garamond"/>
        </w:rPr>
      </w:pPr>
    </w:p>
    <w:p w14:paraId="1A863481" w14:textId="77777777" w:rsidR="00162224" w:rsidRPr="003037D2" w:rsidRDefault="00162224" w:rsidP="00162224">
      <w:pPr>
        <w:spacing w:line="360" w:lineRule="auto"/>
        <w:rPr>
          <w:rFonts w:ascii="Garamond" w:hAnsi="Garamond"/>
        </w:rPr>
      </w:pPr>
      <w:r w:rsidRPr="003037D2">
        <w:rPr>
          <w:rFonts w:ascii="Garamond" w:hAnsi="Garamond"/>
        </w:rPr>
        <w:t xml:space="preserve">Sermons are the performance of an authored work, written for a </w:t>
      </w:r>
      <w:proofErr w:type="gramStart"/>
      <w:r w:rsidRPr="003037D2">
        <w:rPr>
          <w:rFonts w:ascii="Garamond" w:hAnsi="Garamond"/>
        </w:rPr>
        <w:t>particular time</w:t>
      </w:r>
      <w:proofErr w:type="gramEnd"/>
      <w:r w:rsidRPr="003037D2">
        <w:rPr>
          <w:rFonts w:ascii="Garamond" w:hAnsi="Garamond"/>
        </w:rPr>
        <w:t xml:space="preserve"> and space. The printed sermon reaches back to a moment of performance that </w:t>
      </w:r>
      <w:proofErr w:type="gramStart"/>
      <w:r w:rsidRPr="003037D2">
        <w:rPr>
          <w:rFonts w:ascii="Garamond" w:hAnsi="Garamond"/>
        </w:rPr>
        <w:t>in itself had</w:t>
      </w:r>
      <w:proofErr w:type="gramEnd"/>
      <w:r w:rsidRPr="003037D2">
        <w:rPr>
          <w:rFonts w:ascii="Garamond" w:hAnsi="Garamond"/>
        </w:rPr>
        <w:t xml:space="preserve"> already doubled time. A sermon book gives the reader an opportunity to either recall or recreate this performance, potentially even reusing and repurposing the preacher’s words for their own ends. </w:t>
      </w:r>
      <w:r w:rsidRPr="003037D2">
        <w:rPr>
          <w:rFonts w:ascii="Garamond" w:hAnsi="Garamond" w:cs="Times New Roman"/>
        </w:rPr>
        <w:t xml:space="preserve">Sermons which can definitively demonstrate their precise origins hold the promise of a truthful rendition, allowing readers to recapture what was </w:t>
      </w:r>
      <w:proofErr w:type="gramStart"/>
      <w:r w:rsidRPr="003037D2">
        <w:rPr>
          <w:rFonts w:ascii="Garamond" w:hAnsi="Garamond" w:cs="Times New Roman"/>
        </w:rPr>
        <w:t>actually said</w:t>
      </w:r>
      <w:proofErr w:type="gramEnd"/>
      <w:r w:rsidRPr="003037D2">
        <w:rPr>
          <w:rFonts w:ascii="Garamond" w:hAnsi="Garamond" w:cs="Times New Roman"/>
        </w:rPr>
        <w:t xml:space="preserve">. As work on the Oxford Donne edition continues, editors are similarly attempting to recreate Donne’s words as performed, </w:t>
      </w:r>
      <w:proofErr w:type="gramStart"/>
      <w:r w:rsidRPr="003037D2">
        <w:rPr>
          <w:rFonts w:ascii="Garamond" w:hAnsi="Garamond" w:cs="Times New Roman"/>
        </w:rPr>
        <w:t>despite the fact that</w:t>
      </w:r>
      <w:proofErr w:type="gramEnd"/>
      <w:r w:rsidRPr="003037D2">
        <w:rPr>
          <w:rFonts w:ascii="Garamond" w:hAnsi="Garamond" w:cs="Times New Roman"/>
        </w:rPr>
        <w:t xml:space="preserve"> this may be an unachievable goal. In the foreword to a 1613 </w:t>
      </w:r>
      <w:proofErr w:type="spellStart"/>
      <w:r w:rsidRPr="003037D2">
        <w:rPr>
          <w:rFonts w:ascii="Garamond" w:hAnsi="Garamond" w:cs="Times New Roman"/>
        </w:rPr>
        <w:t>Pauls</w:t>
      </w:r>
      <w:proofErr w:type="spellEnd"/>
      <w:r w:rsidRPr="003037D2">
        <w:rPr>
          <w:rFonts w:ascii="Garamond" w:hAnsi="Garamond" w:cs="Times New Roman"/>
        </w:rPr>
        <w:t xml:space="preserve"> Cross sermon, Hall warned his readers that there might be some difference between his text as performed and his text in print: </w:t>
      </w:r>
    </w:p>
    <w:p w14:paraId="2998FE06" w14:textId="5A0BB0AD" w:rsidR="00162224" w:rsidRDefault="00162224" w:rsidP="00162224">
      <w:pPr>
        <w:ind w:left="737" w:right="737"/>
        <w:rPr>
          <w:rFonts w:ascii="Garamond" w:hAnsi="Garamond" w:cs="Times New Roman"/>
        </w:rPr>
      </w:pPr>
      <w:r w:rsidRPr="003037D2">
        <w:rPr>
          <w:rFonts w:ascii="Garamond" w:hAnsi="Garamond" w:cs="Times New Roman"/>
        </w:rPr>
        <w:t xml:space="preserve">I have caused my thoughts, so </w:t>
      </w:r>
      <w:proofErr w:type="spellStart"/>
      <w:r w:rsidRPr="003037D2">
        <w:rPr>
          <w:rFonts w:ascii="Garamond" w:hAnsi="Garamond" w:cs="Times New Roman"/>
        </w:rPr>
        <w:t>neere</w:t>
      </w:r>
      <w:proofErr w:type="spellEnd"/>
      <w:r w:rsidRPr="003037D2">
        <w:rPr>
          <w:rFonts w:ascii="Garamond" w:hAnsi="Garamond" w:cs="Times New Roman"/>
        </w:rPr>
        <w:t xml:space="preserve"> as I could to </w:t>
      </w:r>
      <w:proofErr w:type="spellStart"/>
      <w:r w:rsidRPr="003037D2">
        <w:rPr>
          <w:rFonts w:ascii="Garamond" w:hAnsi="Garamond" w:cs="Times New Roman"/>
        </w:rPr>
        <w:t>goe</w:t>
      </w:r>
      <w:proofErr w:type="spellEnd"/>
      <w:r w:rsidRPr="003037D2">
        <w:rPr>
          <w:rFonts w:ascii="Garamond" w:hAnsi="Garamond" w:cs="Times New Roman"/>
        </w:rPr>
        <w:t xml:space="preserve"> back to the </w:t>
      </w:r>
      <w:proofErr w:type="spellStart"/>
      <w:r w:rsidRPr="003037D2">
        <w:rPr>
          <w:rFonts w:ascii="Garamond" w:hAnsi="Garamond" w:cs="Times New Roman"/>
        </w:rPr>
        <w:t>verie</w:t>
      </w:r>
      <w:proofErr w:type="spellEnd"/>
      <w:r w:rsidRPr="003037D2">
        <w:rPr>
          <w:rFonts w:ascii="Garamond" w:hAnsi="Garamond" w:cs="Times New Roman"/>
        </w:rPr>
        <w:t xml:space="preserve"> </w:t>
      </w:r>
      <w:proofErr w:type="spellStart"/>
      <w:r w:rsidRPr="003037D2">
        <w:rPr>
          <w:rFonts w:ascii="Garamond" w:hAnsi="Garamond" w:cs="Times New Roman"/>
        </w:rPr>
        <w:t>tearmes</w:t>
      </w:r>
      <w:proofErr w:type="spellEnd"/>
      <w:r w:rsidRPr="003037D2">
        <w:rPr>
          <w:rFonts w:ascii="Garamond" w:hAnsi="Garamond" w:cs="Times New Roman"/>
        </w:rPr>
        <w:t xml:space="preserve"> wherein I expressed them, as thinking it better to fetch those words I have let fall, then to follow those I must take up.</w:t>
      </w:r>
      <w:r w:rsidRPr="003037D2">
        <w:rPr>
          <w:rStyle w:val="FootnoteReference"/>
          <w:rFonts w:ascii="Garamond" w:hAnsi="Garamond" w:cs="Times New Roman"/>
        </w:rPr>
        <w:footnoteReference w:id="731"/>
      </w:r>
      <w:r w:rsidRPr="003037D2">
        <w:rPr>
          <w:rFonts w:ascii="Garamond" w:hAnsi="Garamond" w:cs="Times New Roman"/>
        </w:rPr>
        <w:t xml:space="preserve"> </w:t>
      </w:r>
    </w:p>
    <w:p w14:paraId="0D85D569" w14:textId="77777777" w:rsidR="00667CD5" w:rsidRPr="003037D2" w:rsidRDefault="00667CD5" w:rsidP="00162224">
      <w:pPr>
        <w:ind w:left="737" w:right="737"/>
        <w:rPr>
          <w:rFonts w:ascii="Garamond" w:hAnsi="Garamond" w:cs="Times New Roman"/>
        </w:rPr>
      </w:pPr>
    </w:p>
    <w:p w14:paraId="6D55F8C1" w14:textId="77777777" w:rsidR="00162224" w:rsidRPr="003037D2" w:rsidRDefault="00162224" w:rsidP="00162224">
      <w:pPr>
        <w:spacing w:line="360" w:lineRule="auto"/>
        <w:ind w:right="737"/>
        <w:rPr>
          <w:rFonts w:ascii="Garamond" w:hAnsi="Garamond" w:cs="Times New Roman"/>
        </w:rPr>
      </w:pPr>
      <w:r w:rsidRPr="003037D2">
        <w:rPr>
          <w:rFonts w:ascii="Garamond" w:hAnsi="Garamond" w:cs="Times New Roman"/>
        </w:rPr>
        <w:t xml:space="preserve">The rewriting of the text is described as the retracing of a previous journey, tracking backwards in time to collect scattered objects.  </w:t>
      </w:r>
    </w:p>
    <w:p w14:paraId="1634F662" w14:textId="77777777" w:rsidR="00162224" w:rsidRPr="003037D2" w:rsidRDefault="00162224" w:rsidP="00162224">
      <w:pPr>
        <w:spacing w:line="360" w:lineRule="auto"/>
        <w:ind w:left="737" w:right="737"/>
        <w:rPr>
          <w:rFonts w:ascii="Garamond" w:hAnsi="Garamond" w:cs="Times New Roman"/>
        </w:rPr>
      </w:pPr>
    </w:p>
    <w:p w14:paraId="08DCC13B" w14:textId="23570C88" w:rsidR="00162224" w:rsidRDefault="00162224" w:rsidP="00162224">
      <w:pPr>
        <w:spacing w:line="360" w:lineRule="auto"/>
        <w:ind w:left="737" w:right="737"/>
        <w:rPr>
          <w:rFonts w:ascii="Garamond" w:hAnsi="Garamond" w:cs="Times New Roman"/>
        </w:rPr>
      </w:pPr>
    </w:p>
    <w:p w14:paraId="5D887886" w14:textId="77777777" w:rsidR="00667CD5" w:rsidRPr="003037D2" w:rsidRDefault="00667CD5" w:rsidP="00162224">
      <w:pPr>
        <w:spacing w:line="360" w:lineRule="auto"/>
        <w:ind w:left="737" w:right="737"/>
        <w:rPr>
          <w:rFonts w:ascii="Garamond" w:hAnsi="Garamond" w:cs="Times New Roman"/>
        </w:rPr>
      </w:pPr>
    </w:p>
    <w:p w14:paraId="17EDADAE" w14:textId="77777777" w:rsidR="00162224" w:rsidRPr="003037D2" w:rsidRDefault="00162224" w:rsidP="00162224">
      <w:pPr>
        <w:pStyle w:val="Heading2"/>
        <w:numPr>
          <w:ilvl w:val="0"/>
          <w:numId w:val="19"/>
        </w:numPr>
        <w:rPr>
          <w:i w:val="0"/>
          <w:iCs/>
          <w:sz w:val="28"/>
          <w:szCs w:val="28"/>
        </w:rPr>
      </w:pPr>
      <w:bookmarkStart w:id="88" w:name="_Toc3967193"/>
      <w:r w:rsidRPr="003037D2">
        <w:rPr>
          <w:i w:val="0"/>
          <w:iCs/>
          <w:sz w:val="28"/>
          <w:szCs w:val="28"/>
        </w:rPr>
        <w:lastRenderedPageBreak/>
        <w:t xml:space="preserve">John Donne and Time: ‘There was never heard quarter clock to strike, never seen minute glass to </w:t>
      </w:r>
      <w:proofErr w:type="spellStart"/>
      <w:r w:rsidRPr="003037D2">
        <w:rPr>
          <w:i w:val="0"/>
          <w:iCs/>
          <w:sz w:val="28"/>
          <w:szCs w:val="28"/>
        </w:rPr>
        <w:t>turne</w:t>
      </w:r>
      <w:proofErr w:type="spellEnd"/>
      <w:r w:rsidRPr="003037D2">
        <w:rPr>
          <w:i w:val="0"/>
          <w:iCs/>
          <w:sz w:val="28"/>
          <w:szCs w:val="28"/>
        </w:rPr>
        <w:t>’ (VII.139)</w:t>
      </w:r>
      <w:bookmarkEnd w:id="88"/>
      <w:r w:rsidRPr="003037D2">
        <w:rPr>
          <w:i w:val="0"/>
          <w:iCs/>
          <w:sz w:val="28"/>
          <w:szCs w:val="28"/>
        </w:rPr>
        <w:t xml:space="preserve"> </w:t>
      </w:r>
    </w:p>
    <w:p w14:paraId="142CBD5C" w14:textId="77777777" w:rsidR="00162224" w:rsidRPr="003037D2" w:rsidRDefault="00162224" w:rsidP="00162224">
      <w:pPr>
        <w:spacing w:after="200" w:line="360" w:lineRule="auto"/>
        <w:ind w:firstLine="720"/>
        <w:rPr>
          <w:rFonts w:ascii="Garamond" w:hAnsi="Garamond"/>
        </w:rPr>
      </w:pPr>
    </w:p>
    <w:p w14:paraId="13694166" w14:textId="64B19B7F" w:rsidR="00162224" w:rsidRPr="003037D2" w:rsidRDefault="00162224" w:rsidP="00162224">
      <w:pPr>
        <w:spacing w:line="360" w:lineRule="auto"/>
        <w:ind w:firstLine="720"/>
        <w:rPr>
          <w:rFonts w:ascii="Garamond" w:hAnsi="Garamond"/>
        </w:rPr>
      </w:pPr>
      <w:r w:rsidRPr="003037D2">
        <w:rPr>
          <w:rFonts w:ascii="Garamond" w:hAnsi="Garamond"/>
        </w:rPr>
        <w:t xml:space="preserve"> The data from the sermon title pages and this brief study of Hall and Day’s sermons demonstrates that an investment in occasionality in sermons extended beyond Donne’s works. However, the vividness of Donne’s prose and his insistence upon dramatics makes him a particularly compelling case study. As T.S. Eliot wrote (more in censure than in praise) ‘he is a little of the religious spellbinder, the Reverend Billy Sunday of his time, the flesh-creeper, the sorcerer of emotional orgy’.</w:t>
      </w:r>
      <w:r w:rsidRPr="003037D2">
        <w:rPr>
          <w:rStyle w:val="FootnoteReference"/>
          <w:rFonts w:ascii="Garamond" w:hAnsi="Garamond"/>
        </w:rPr>
        <w:footnoteReference w:id="732"/>
      </w:r>
      <w:r w:rsidRPr="003037D2">
        <w:rPr>
          <w:rFonts w:ascii="Garamond" w:hAnsi="Garamond"/>
        </w:rPr>
        <w:t xml:space="preserve"> Donne is known </w:t>
      </w:r>
      <w:r w:rsidR="001117A3" w:rsidRPr="003037D2">
        <w:rPr>
          <w:rFonts w:ascii="Garamond" w:hAnsi="Garamond"/>
        </w:rPr>
        <w:t xml:space="preserve">for </w:t>
      </w:r>
      <w:r w:rsidRPr="003037D2">
        <w:rPr>
          <w:rFonts w:ascii="Garamond" w:hAnsi="Garamond"/>
        </w:rPr>
        <w:t xml:space="preserve">having made dramatic use of the </w:t>
      </w:r>
      <w:proofErr w:type="spellStart"/>
      <w:r w:rsidRPr="003037D2">
        <w:rPr>
          <w:rFonts w:ascii="Garamond" w:hAnsi="Garamond"/>
        </w:rPr>
        <w:t>sombre</w:t>
      </w:r>
      <w:proofErr w:type="spellEnd"/>
      <w:r w:rsidRPr="003037D2">
        <w:rPr>
          <w:rFonts w:ascii="Garamond" w:hAnsi="Garamond"/>
        </w:rPr>
        <w:t xml:space="preserve"> hourglass that stood by his side in the pulpit, drawing his congregation’s attention to the passing of time. At the end of his 1627 Lent sermon, he declared, ‘we are now in the work of an </w:t>
      </w:r>
      <w:proofErr w:type="spellStart"/>
      <w:r w:rsidRPr="003037D2">
        <w:rPr>
          <w:rFonts w:ascii="Garamond" w:hAnsi="Garamond"/>
        </w:rPr>
        <w:t>houre</w:t>
      </w:r>
      <w:proofErr w:type="spellEnd"/>
      <w:r w:rsidRPr="003037D2">
        <w:rPr>
          <w:rFonts w:ascii="Garamond" w:hAnsi="Garamond"/>
        </w:rPr>
        <w:t xml:space="preserve">, and no more. If there be a minute of sand left, (There is not) If there be a minute of patience left, </w:t>
      </w:r>
      <w:proofErr w:type="spellStart"/>
      <w:r w:rsidRPr="003037D2">
        <w:rPr>
          <w:rFonts w:ascii="Garamond" w:hAnsi="Garamond"/>
        </w:rPr>
        <w:t>heare</w:t>
      </w:r>
      <w:proofErr w:type="spellEnd"/>
      <w:r w:rsidRPr="003037D2">
        <w:rPr>
          <w:rFonts w:ascii="Garamond" w:hAnsi="Garamond"/>
        </w:rPr>
        <w:t xml:space="preserve"> me say, This minute that is left, is th</w:t>
      </w:r>
      <w:r w:rsidR="00470D01">
        <w:rPr>
          <w:rFonts w:ascii="Garamond" w:hAnsi="Garamond"/>
        </w:rPr>
        <w:t xml:space="preserve">at </w:t>
      </w:r>
      <w:proofErr w:type="spellStart"/>
      <w:r w:rsidR="00470D01">
        <w:rPr>
          <w:rFonts w:ascii="Garamond" w:hAnsi="Garamond"/>
        </w:rPr>
        <w:t>eternitie</w:t>
      </w:r>
      <w:proofErr w:type="spellEnd"/>
      <w:r w:rsidR="00470D01">
        <w:rPr>
          <w:rFonts w:ascii="Garamond" w:hAnsi="Garamond"/>
        </w:rPr>
        <w:t xml:space="preserve"> which we </w:t>
      </w:r>
      <w:proofErr w:type="spellStart"/>
      <w:r w:rsidR="00470D01">
        <w:rPr>
          <w:rFonts w:ascii="Garamond" w:hAnsi="Garamond"/>
        </w:rPr>
        <w:t>speake</w:t>
      </w:r>
      <w:proofErr w:type="spellEnd"/>
      <w:r w:rsidR="00470D01">
        <w:rPr>
          <w:rFonts w:ascii="Garamond" w:hAnsi="Garamond"/>
        </w:rPr>
        <w:t xml:space="preserve"> of</w:t>
      </w:r>
      <w:r w:rsidRPr="003037D2">
        <w:rPr>
          <w:rFonts w:ascii="Garamond" w:hAnsi="Garamond"/>
        </w:rPr>
        <w:t>’</w:t>
      </w:r>
      <w:r w:rsidR="00470D01">
        <w:rPr>
          <w:rFonts w:ascii="Garamond" w:hAnsi="Garamond"/>
        </w:rPr>
        <w:t>.</w:t>
      </w:r>
      <w:r w:rsidRPr="003037D2">
        <w:rPr>
          <w:rStyle w:val="FootnoteReference"/>
          <w:rFonts w:ascii="Garamond" w:hAnsi="Garamond"/>
        </w:rPr>
        <w:footnoteReference w:id="733"/>
      </w:r>
      <w:r w:rsidRPr="003037D2">
        <w:rPr>
          <w:rFonts w:ascii="Garamond" w:hAnsi="Garamond"/>
        </w:rPr>
        <w:t xml:space="preserve"> Donne must have been an extremely exacting performer to make this rhetorical turn effective. DiPasquale has presented evidence that Donne was also one of the few poets of this period who owned a watch, speaking further to his interest in the passing of time.</w:t>
      </w:r>
      <w:r w:rsidRPr="003037D2">
        <w:rPr>
          <w:rStyle w:val="FootnoteReference"/>
          <w:rFonts w:ascii="Garamond" w:hAnsi="Garamond"/>
        </w:rPr>
        <w:footnoteReference w:id="734"/>
      </w:r>
      <w:r w:rsidRPr="003037D2">
        <w:rPr>
          <w:rFonts w:ascii="Garamond" w:hAnsi="Garamond"/>
        </w:rPr>
        <w:t xml:space="preserve">  </w:t>
      </w:r>
      <w:r w:rsidRPr="003037D2">
        <w:rPr>
          <w:rFonts w:ascii="Garamond" w:eastAsia="Calibri" w:hAnsi="Garamond" w:cs="Times New Roman"/>
        </w:rPr>
        <w:t xml:space="preserve">Much has been made of Donne’s declaration that ‘the art of </w:t>
      </w:r>
      <w:r w:rsidRPr="003037D2">
        <w:rPr>
          <w:rFonts w:ascii="Garamond" w:eastAsia="Calibri" w:hAnsi="Garamond" w:cs="Times New Roman"/>
          <w:i/>
        </w:rPr>
        <w:t>salvation</w:t>
      </w:r>
      <w:r w:rsidRPr="003037D2">
        <w:rPr>
          <w:rFonts w:ascii="Garamond" w:eastAsia="Calibri" w:hAnsi="Garamond" w:cs="Times New Roman"/>
        </w:rPr>
        <w:t xml:space="preserve">, is but the art of </w:t>
      </w:r>
      <w:r w:rsidRPr="003037D2">
        <w:rPr>
          <w:rFonts w:ascii="Garamond" w:eastAsia="Calibri" w:hAnsi="Garamond" w:cs="Times New Roman"/>
          <w:i/>
        </w:rPr>
        <w:t>memory</w:t>
      </w:r>
      <w:r w:rsidRPr="003037D2">
        <w:rPr>
          <w:rFonts w:ascii="Garamond" w:eastAsia="Calibri" w:hAnsi="Garamond" w:cs="Times New Roman"/>
        </w:rPr>
        <w:t>’, in a sermon preached at Lincoln’s Inn in 1618. ‘Remembering’ is presented as a duty to God, in response to His acts of mercy throughout history: ‘When God gave his people the Law he proposes nothing to them, but by that way, to their memory; I am the Lord your God, which brought you out of the land of Egypt, Remember but that’.  Indeed, God’s care for mankind is explicitly linked to his memory as Donne says, ‘When we express Gods mercy to us, we attribute but that faculty to God that he remembers us’.</w:t>
      </w:r>
      <w:r w:rsidRPr="003037D2">
        <w:rPr>
          <w:rStyle w:val="FootnoteReference"/>
          <w:rFonts w:ascii="Garamond" w:eastAsia="Calibri" w:hAnsi="Garamond" w:cs="Times New Roman"/>
        </w:rPr>
        <w:footnoteReference w:id="735"/>
      </w:r>
      <w:r w:rsidRPr="003037D2">
        <w:rPr>
          <w:rFonts w:ascii="Garamond" w:eastAsia="Calibri" w:hAnsi="Garamond" w:cs="Times New Roman"/>
        </w:rPr>
        <w:t xml:space="preserve"> </w:t>
      </w:r>
      <w:proofErr w:type="spellStart"/>
      <w:r w:rsidRPr="003037D2">
        <w:rPr>
          <w:rFonts w:ascii="Garamond" w:eastAsia="Calibri" w:hAnsi="Garamond" w:cs="Times New Roman"/>
        </w:rPr>
        <w:t>Achsah</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Guibbory</w:t>
      </w:r>
      <w:proofErr w:type="spellEnd"/>
      <w:r w:rsidRPr="003037D2">
        <w:rPr>
          <w:rFonts w:ascii="Garamond" w:eastAsia="Calibri" w:hAnsi="Garamond" w:cs="Times New Roman"/>
        </w:rPr>
        <w:t xml:space="preserve"> has argued that Donne follows Augustine’s vision of the tripartite soul – divided into the three faculties of understanding, will, and memory.</w:t>
      </w:r>
      <w:r w:rsidRPr="003037D2">
        <w:rPr>
          <w:rFonts w:ascii="Garamond" w:eastAsia="Calibri" w:hAnsi="Garamond" w:cs="Times New Roman"/>
          <w:vertAlign w:val="superscript"/>
        </w:rPr>
        <w:footnoteReference w:id="736"/>
      </w:r>
      <w:r w:rsidRPr="003037D2">
        <w:rPr>
          <w:rFonts w:ascii="Garamond" w:eastAsia="Calibri" w:hAnsi="Garamond" w:cs="Times New Roman"/>
        </w:rPr>
        <w:t xml:space="preserve"> However, she suggests Donne adds his own inflection to Augustine; giving memory primacy above all else, and presenting it as the attribute least affected by the fall. More recently, Andrew Hiscock has explored how Donne draws upon the Platonic </w:t>
      </w:r>
      <w:r w:rsidRPr="003037D2">
        <w:rPr>
          <w:rFonts w:ascii="Garamond" w:eastAsia="Calibri" w:hAnsi="Garamond" w:cs="Times New Roman"/>
        </w:rPr>
        <w:lastRenderedPageBreak/>
        <w:t>model of memory as wisdom gained in a previously experienced realm of existence and Aristotelian materialism, filtered through his readings of St</w:t>
      </w:r>
      <w:r w:rsidR="00667CD5">
        <w:rPr>
          <w:rFonts w:ascii="Garamond" w:eastAsia="Calibri" w:hAnsi="Garamond" w:cs="Times New Roman"/>
        </w:rPr>
        <w:t>.</w:t>
      </w:r>
      <w:r w:rsidRPr="003037D2">
        <w:rPr>
          <w:rFonts w:ascii="Garamond" w:eastAsia="Calibri" w:hAnsi="Garamond" w:cs="Times New Roman"/>
        </w:rPr>
        <w:t xml:space="preserve"> Augustine and Thomas of Aquinas.</w:t>
      </w:r>
      <w:r w:rsidRPr="003037D2">
        <w:rPr>
          <w:rFonts w:ascii="Garamond" w:eastAsia="Calibri" w:hAnsi="Garamond" w:cs="Times New Roman"/>
          <w:vertAlign w:val="superscript"/>
        </w:rPr>
        <w:footnoteReference w:id="737"/>
      </w:r>
      <w:r w:rsidRPr="003037D2">
        <w:rPr>
          <w:rFonts w:ascii="Garamond" w:eastAsia="Calibri" w:hAnsi="Garamond" w:cs="Times New Roman"/>
        </w:rPr>
        <w:t xml:space="preserve"> </w:t>
      </w:r>
    </w:p>
    <w:p w14:paraId="47FEAAC4" w14:textId="77777777" w:rsidR="00162224" w:rsidRPr="003037D2" w:rsidRDefault="00162224" w:rsidP="00162224">
      <w:pPr>
        <w:spacing w:after="200" w:line="360" w:lineRule="auto"/>
        <w:ind w:firstLine="720"/>
        <w:rPr>
          <w:rFonts w:ascii="Garamond" w:eastAsia="Calibri" w:hAnsi="Garamond" w:cs="Times New Roman"/>
        </w:rPr>
      </w:pPr>
    </w:p>
    <w:p w14:paraId="0FE9EA56" w14:textId="437E50CC" w:rsidR="00162224" w:rsidRPr="003037D2" w:rsidRDefault="00162224" w:rsidP="00162224">
      <w:pPr>
        <w:spacing w:after="200" w:line="360" w:lineRule="auto"/>
        <w:ind w:firstLine="720"/>
        <w:rPr>
          <w:rFonts w:ascii="Garamond" w:eastAsia="Calibri" w:hAnsi="Garamond" w:cs="Times New Roman"/>
        </w:rPr>
      </w:pPr>
      <w:r w:rsidRPr="003037D2">
        <w:rPr>
          <w:rFonts w:ascii="Garamond" w:eastAsia="Calibri" w:hAnsi="Garamond" w:cs="Times New Roman"/>
        </w:rPr>
        <w:t xml:space="preserve">In this section, rather than trying to identify which </w:t>
      </w:r>
      <w:proofErr w:type="gramStart"/>
      <w:r w:rsidRPr="003037D2">
        <w:rPr>
          <w:rFonts w:ascii="Garamond" w:eastAsia="Calibri" w:hAnsi="Garamond" w:cs="Times New Roman"/>
        </w:rPr>
        <w:t>particular theories</w:t>
      </w:r>
      <w:proofErr w:type="gramEnd"/>
      <w:r w:rsidRPr="003037D2">
        <w:rPr>
          <w:rFonts w:ascii="Garamond" w:eastAsia="Calibri" w:hAnsi="Garamond" w:cs="Times New Roman"/>
        </w:rPr>
        <w:t xml:space="preserve"> of memory Donne is engaging with, I will discuss how Donne draws on the language of echoes and genealogy to explain memory to his congregation in practical terms. To remember something is at once an attempt to fix it in time and to bring it into the present moment. Exhortations to remember are at once concerned with the destructive, damaging powers of time, and hopeful that it can be overcome. I will first consider how Donne engaged with the common rhetorical techniques of </w:t>
      </w:r>
      <w:r w:rsidRPr="003037D2">
        <w:rPr>
          <w:rFonts w:ascii="Garamond" w:eastAsia="Calibri" w:hAnsi="Garamond" w:cs="Times New Roman"/>
          <w:i/>
        </w:rPr>
        <w:t>loci</w:t>
      </w:r>
      <w:r w:rsidRPr="003037D2">
        <w:rPr>
          <w:rFonts w:ascii="Garamond" w:eastAsia="Calibri" w:hAnsi="Garamond" w:cs="Times New Roman"/>
        </w:rPr>
        <w:t xml:space="preserve">, and how effective this was as part of sermon making. I will then consider how he expands his metaphors of memory, to encompass the senses and bodies of his congregation, </w:t>
      </w:r>
      <w:proofErr w:type="spellStart"/>
      <w:r w:rsidRPr="003037D2">
        <w:rPr>
          <w:rFonts w:ascii="Garamond" w:eastAsia="Calibri" w:hAnsi="Garamond" w:cs="Times New Roman"/>
        </w:rPr>
        <w:t>focussing</w:t>
      </w:r>
      <w:proofErr w:type="spellEnd"/>
      <w:r w:rsidRPr="003037D2">
        <w:rPr>
          <w:rFonts w:ascii="Garamond" w:eastAsia="Calibri" w:hAnsi="Garamond" w:cs="Times New Roman"/>
        </w:rPr>
        <w:t xml:space="preserve"> mainly on two sermons preached in the aristocratic environment of Whitehall on 24</w:t>
      </w:r>
      <w:r w:rsidRPr="003037D2">
        <w:rPr>
          <w:rFonts w:ascii="Garamond" w:eastAsia="Calibri" w:hAnsi="Garamond" w:cs="Times New Roman"/>
          <w:vertAlign w:val="superscript"/>
        </w:rPr>
        <w:t>th</w:t>
      </w:r>
      <w:r w:rsidRPr="003037D2">
        <w:rPr>
          <w:rFonts w:ascii="Garamond" w:eastAsia="Calibri" w:hAnsi="Garamond" w:cs="Times New Roman"/>
        </w:rPr>
        <w:t xml:space="preserve"> March 1624 and 1</w:t>
      </w:r>
      <w:r w:rsidRPr="003037D2">
        <w:rPr>
          <w:rFonts w:ascii="Garamond" w:eastAsia="Calibri" w:hAnsi="Garamond" w:cs="Times New Roman"/>
          <w:vertAlign w:val="superscript"/>
        </w:rPr>
        <w:t>st</w:t>
      </w:r>
      <w:r w:rsidRPr="003037D2">
        <w:rPr>
          <w:rFonts w:ascii="Garamond" w:eastAsia="Calibri" w:hAnsi="Garamond" w:cs="Times New Roman"/>
        </w:rPr>
        <w:t xml:space="preserve"> April 1627. By examining the ways in which Donne speaks about memory, I will throw light on how he constructs the relationship between remembered time and the present. I next discuss two earlier sermons delivered in 1619 to explore how Donne constructs memory in the present moment, drawing on David Cram’s notion of ‘shelf time’ to explore the momentary ‘now’. Whilst ‘now’ is often spatially configured as an ‘infinitesimally small point’,</w:t>
      </w:r>
      <w:r w:rsidRPr="003037D2">
        <w:rPr>
          <w:rStyle w:val="FootnoteReference"/>
          <w:rFonts w:ascii="Garamond" w:eastAsia="Calibri" w:hAnsi="Garamond" w:cs="Times New Roman"/>
        </w:rPr>
        <w:footnoteReference w:id="738"/>
      </w:r>
      <w:r w:rsidRPr="003037D2">
        <w:rPr>
          <w:rFonts w:ascii="Garamond" w:eastAsia="Calibri" w:hAnsi="Garamond" w:cs="Times New Roman"/>
        </w:rPr>
        <w:t xml:space="preserve"> can be expanded to the ‘extensive’ ‘encompassing’, most ‘embracing word in all religion’ that Donne claims it is.</w:t>
      </w:r>
      <w:r w:rsidRPr="003037D2">
        <w:rPr>
          <w:rStyle w:val="FootnoteReference"/>
          <w:rFonts w:ascii="Garamond" w:eastAsia="Calibri" w:hAnsi="Garamond" w:cs="Times New Roman"/>
        </w:rPr>
        <w:footnoteReference w:id="739"/>
      </w:r>
      <w:r w:rsidRPr="003037D2">
        <w:rPr>
          <w:rFonts w:ascii="Garamond" w:eastAsia="Calibri" w:hAnsi="Garamond" w:cs="Times New Roman"/>
        </w:rPr>
        <w:t xml:space="preserve">  </w:t>
      </w:r>
    </w:p>
    <w:p w14:paraId="07C089E5" w14:textId="77777777" w:rsidR="00162224" w:rsidRPr="003037D2" w:rsidRDefault="00162224" w:rsidP="00162224">
      <w:pPr>
        <w:spacing w:line="360" w:lineRule="auto"/>
        <w:rPr>
          <w:rFonts w:ascii="Garamond" w:hAnsi="Garamond"/>
        </w:rPr>
      </w:pPr>
    </w:p>
    <w:p w14:paraId="48BB2A0E" w14:textId="77777777" w:rsidR="00162224" w:rsidRPr="003037D2" w:rsidRDefault="00162224" w:rsidP="00162224">
      <w:pPr>
        <w:pStyle w:val="Heading3"/>
        <w:numPr>
          <w:ilvl w:val="0"/>
          <w:numId w:val="22"/>
        </w:numPr>
        <w:spacing w:line="360" w:lineRule="auto"/>
        <w:rPr>
          <w:rFonts w:ascii="Garamond" w:hAnsi="Garamond"/>
          <w:color w:val="auto"/>
        </w:rPr>
      </w:pPr>
      <w:bookmarkStart w:id="89" w:name="_Toc3967194"/>
      <w:r w:rsidRPr="003037D2">
        <w:rPr>
          <w:rFonts w:ascii="Garamond" w:hAnsi="Garamond"/>
          <w:color w:val="auto"/>
        </w:rPr>
        <w:t>Donne’s spaces of memory</w:t>
      </w:r>
      <w:bookmarkEnd w:id="89"/>
      <w:r w:rsidRPr="003037D2">
        <w:rPr>
          <w:rFonts w:ascii="Garamond" w:hAnsi="Garamond"/>
          <w:color w:val="auto"/>
        </w:rPr>
        <w:t xml:space="preserve"> </w:t>
      </w:r>
    </w:p>
    <w:p w14:paraId="4F49257D" w14:textId="77777777" w:rsidR="00162224" w:rsidRPr="003037D2" w:rsidRDefault="00162224" w:rsidP="00162224">
      <w:pPr>
        <w:spacing w:after="200" w:line="360" w:lineRule="auto"/>
        <w:ind w:firstLine="720"/>
        <w:rPr>
          <w:rFonts w:ascii="Garamond" w:hAnsi="Garamond"/>
        </w:rPr>
      </w:pPr>
    </w:p>
    <w:p w14:paraId="44301469" w14:textId="77777777" w:rsidR="00162224" w:rsidRPr="003037D2" w:rsidRDefault="00162224" w:rsidP="00162224">
      <w:pPr>
        <w:spacing w:after="200" w:line="360" w:lineRule="auto"/>
        <w:ind w:firstLine="720"/>
        <w:rPr>
          <w:rFonts w:ascii="Garamond" w:eastAsia="Calibri" w:hAnsi="Garamond" w:cs="Times New Roman"/>
        </w:rPr>
      </w:pPr>
      <w:r w:rsidRPr="003037D2">
        <w:rPr>
          <w:rFonts w:ascii="Garamond" w:eastAsia="Calibri" w:hAnsi="Garamond" w:cs="Times New Roman"/>
        </w:rPr>
        <w:t xml:space="preserve">Throughout his preaching career, Donne draws on familiar rhetorical memory techniques. The method of </w:t>
      </w:r>
      <w:r w:rsidRPr="003037D2">
        <w:rPr>
          <w:rFonts w:ascii="Garamond" w:eastAsia="Calibri" w:hAnsi="Garamond" w:cs="Times New Roman"/>
          <w:i/>
        </w:rPr>
        <w:t xml:space="preserve">loci </w:t>
      </w:r>
      <w:r w:rsidRPr="003037D2">
        <w:rPr>
          <w:rFonts w:ascii="Garamond" w:eastAsia="Calibri" w:hAnsi="Garamond" w:cs="Times New Roman"/>
        </w:rPr>
        <w:t xml:space="preserve">was immensely popular in the early modern period, with Cicero’s </w:t>
      </w:r>
      <w:r w:rsidRPr="003037D2">
        <w:rPr>
          <w:rFonts w:ascii="Garamond" w:eastAsia="Calibri" w:hAnsi="Garamond" w:cs="Times New Roman"/>
          <w:i/>
        </w:rPr>
        <w:t xml:space="preserve">De </w:t>
      </w:r>
      <w:proofErr w:type="spellStart"/>
      <w:r w:rsidRPr="003037D2">
        <w:rPr>
          <w:rFonts w:ascii="Garamond" w:eastAsia="Calibri" w:hAnsi="Garamond" w:cs="Times New Roman"/>
          <w:i/>
        </w:rPr>
        <w:t>Oratore</w:t>
      </w:r>
      <w:proofErr w:type="spellEnd"/>
      <w:r w:rsidRPr="003037D2">
        <w:rPr>
          <w:rFonts w:ascii="Garamond" w:eastAsia="Calibri" w:hAnsi="Garamond" w:cs="Times New Roman"/>
          <w:i/>
        </w:rPr>
        <w:t xml:space="preserve"> </w:t>
      </w:r>
      <w:r w:rsidRPr="003037D2">
        <w:rPr>
          <w:rFonts w:ascii="Garamond" w:eastAsia="Calibri" w:hAnsi="Garamond" w:cs="Times New Roman"/>
        </w:rPr>
        <w:t xml:space="preserve">and </w:t>
      </w:r>
      <w:proofErr w:type="spellStart"/>
      <w:r w:rsidRPr="003037D2">
        <w:rPr>
          <w:rFonts w:ascii="Garamond" w:eastAsia="Calibri" w:hAnsi="Garamond" w:cs="Times New Roman"/>
        </w:rPr>
        <w:t>Quintillian’s</w:t>
      </w:r>
      <w:proofErr w:type="spellEnd"/>
      <w:r w:rsidRPr="003037D2">
        <w:rPr>
          <w:rFonts w:ascii="Garamond" w:eastAsia="Calibri" w:hAnsi="Garamond" w:cs="Times New Roman"/>
        </w:rPr>
        <w:t xml:space="preserve"> </w:t>
      </w:r>
      <w:r w:rsidRPr="003037D2">
        <w:rPr>
          <w:rFonts w:ascii="Garamond" w:eastAsia="Calibri" w:hAnsi="Garamond" w:cs="Times New Roman"/>
          <w:i/>
        </w:rPr>
        <w:t xml:space="preserve">Institute </w:t>
      </w:r>
      <w:proofErr w:type="spellStart"/>
      <w:r w:rsidRPr="003037D2">
        <w:rPr>
          <w:rFonts w:ascii="Garamond" w:eastAsia="Calibri" w:hAnsi="Garamond" w:cs="Times New Roman"/>
          <w:i/>
        </w:rPr>
        <w:t>Oratoria</w:t>
      </w:r>
      <w:proofErr w:type="spellEnd"/>
      <w:r w:rsidRPr="003037D2">
        <w:rPr>
          <w:rFonts w:ascii="Garamond" w:eastAsia="Calibri" w:hAnsi="Garamond" w:cs="Times New Roman"/>
          <w:i/>
        </w:rPr>
        <w:t xml:space="preserve"> </w:t>
      </w:r>
      <w:r w:rsidRPr="003037D2">
        <w:rPr>
          <w:rFonts w:ascii="Garamond" w:eastAsia="Calibri" w:hAnsi="Garamond" w:cs="Times New Roman"/>
        </w:rPr>
        <w:t xml:space="preserve">both staples of humanist education, as discussed with reference to the practice of commonplacing in Chapter </w:t>
      </w:r>
      <w:proofErr w:type="gramStart"/>
      <w:r w:rsidRPr="003037D2">
        <w:rPr>
          <w:rFonts w:ascii="Garamond" w:eastAsia="Calibri" w:hAnsi="Garamond" w:cs="Times New Roman"/>
        </w:rPr>
        <w:lastRenderedPageBreak/>
        <w:t>3.II.</w:t>
      </w:r>
      <w:proofErr w:type="gramEnd"/>
      <w:r w:rsidRPr="003037D2">
        <w:rPr>
          <w:rFonts w:ascii="Garamond" w:eastAsia="Calibri" w:hAnsi="Garamond" w:cs="Times New Roman"/>
          <w:i/>
        </w:rPr>
        <w:t xml:space="preserve"> </w:t>
      </w:r>
      <w:r w:rsidRPr="003037D2">
        <w:rPr>
          <w:rFonts w:ascii="Garamond" w:eastAsia="Calibri" w:hAnsi="Garamond" w:cs="Times New Roman"/>
        </w:rPr>
        <w:t xml:space="preserve">In the 1624 Whitehall sermon, Donne explains the relevance of his chosen text, explaining that his audience should: </w:t>
      </w:r>
    </w:p>
    <w:p w14:paraId="038BDE7C" w14:textId="77777777" w:rsidR="00162224" w:rsidRPr="003037D2" w:rsidRDefault="00162224" w:rsidP="00162224">
      <w:pPr>
        <w:spacing w:after="200"/>
        <w:ind w:left="737" w:right="737"/>
        <w:rPr>
          <w:rFonts w:ascii="Garamond" w:eastAsia="Calibri" w:hAnsi="Garamond" w:cs="Times New Roman"/>
        </w:rPr>
      </w:pPr>
      <w:r w:rsidRPr="003037D2">
        <w:rPr>
          <w:rFonts w:ascii="Garamond" w:eastAsia="Calibri" w:hAnsi="Garamond" w:cs="Times New Roman"/>
        </w:rPr>
        <w:t>consider the text, the context, and the pretext: not as three equal parts of the building; but the context, as the situation and prospect of the house, the pretext, as the access and entrance to the house, and then the text itself, as the house itself, as the body of the house.</w:t>
      </w:r>
      <w:r w:rsidRPr="003037D2">
        <w:rPr>
          <w:rStyle w:val="FootnoteReference"/>
          <w:rFonts w:ascii="Garamond" w:eastAsia="Calibri" w:hAnsi="Garamond" w:cs="Times New Roman"/>
        </w:rPr>
        <w:footnoteReference w:id="740"/>
      </w:r>
      <w:r w:rsidRPr="003037D2">
        <w:rPr>
          <w:rFonts w:ascii="Garamond" w:eastAsia="Calibri" w:hAnsi="Garamond" w:cs="Times New Roman"/>
        </w:rPr>
        <w:t xml:space="preserve"> </w:t>
      </w:r>
    </w:p>
    <w:p w14:paraId="27E2E276" w14:textId="77777777" w:rsidR="00162224" w:rsidRPr="003037D2" w:rsidRDefault="00162224" w:rsidP="00162224">
      <w:pPr>
        <w:spacing w:after="200" w:line="360" w:lineRule="auto"/>
        <w:rPr>
          <w:rFonts w:ascii="Garamond" w:eastAsia="Calibri" w:hAnsi="Garamond" w:cs="Times New Roman"/>
        </w:rPr>
      </w:pPr>
      <w:r w:rsidRPr="003037D2">
        <w:rPr>
          <w:rFonts w:ascii="Garamond" w:eastAsia="Calibri" w:hAnsi="Garamond" w:cs="Times New Roman"/>
        </w:rPr>
        <w:t>This metaphor is continued throughout the sermon. Donne walks his auditors through this space, asking them to look upon various aspects of the house and verse: ‘We begin with the context; the situation, the prospect; how it stands, how it is butted, how it is bounded’.</w:t>
      </w:r>
      <w:r w:rsidRPr="003037D2">
        <w:rPr>
          <w:rStyle w:val="FootnoteReference"/>
          <w:rFonts w:ascii="Garamond" w:eastAsia="Calibri" w:hAnsi="Garamond" w:cs="Times New Roman"/>
        </w:rPr>
        <w:footnoteReference w:id="741"/>
      </w:r>
      <w:r w:rsidRPr="003037D2">
        <w:rPr>
          <w:rFonts w:ascii="Garamond" w:eastAsia="Calibri" w:hAnsi="Garamond" w:cs="Times New Roman"/>
        </w:rPr>
        <w:t xml:space="preserve">  Towards the close of the sermon, he gestures towards the different aspects of the house considered in order to recap the ground covered and turning his congregation’s minds to the inner workings of the text:</w:t>
      </w:r>
    </w:p>
    <w:p w14:paraId="5FF6E5F2" w14:textId="09ED4EFF" w:rsidR="00667CD5" w:rsidRDefault="00162224" w:rsidP="00667CD5">
      <w:pPr>
        <w:spacing w:after="120"/>
        <w:ind w:left="737" w:right="737"/>
        <w:rPr>
          <w:rFonts w:ascii="Garamond" w:eastAsia="Calibri" w:hAnsi="Garamond" w:cs="Times New Roman"/>
        </w:rPr>
      </w:pPr>
      <w:r w:rsidRPr="003037D2">
        <w:rPr>
          <w:rFonts w:ascii="Garamond" w:eastAsia="Calibri" w:hAnsi="Garamond" w:cs="Times New Roman"/>
        </w:rPr>
        <w:t xml:space="preserve">having already seen… the situation and prospect of the house, that is, the coherence and occasion of the words, and in the second, (the pretext) the access and entrance to the house, that is, the </w:t>
      </w:r>
      <w:proofErr w:type="spellStart"/>
      <w:r w:rsidRPr="003037D2">
        <w:rPr>
          <w:rFonts w:ascii="Garamond" w:eastAsia="Calibri" w:hAnsi="Garamond" w:cs="Times New Roman"/>
        </w:rPr>
        <w:t>pretence</w:t>
      </w:r>
      <w:proofErr w:type="spellEnd"/>
      <w:r w:rsidRPr="003037D2">
        <w:rPr>
          <w:rFonts w:ascii="Garamond" w:eastAsia="Calibri" w:hAnsi="Garamond" w:cs="Times New Roman"/>
        </w:rPr>
        <w:t xml:space="preserve"> and purpose of him that occasioned the words, you may now be pleased to look further into the house itself, and to see how that is built; that is, by what method Christ builds up, and edifies this new disciple of his.</w:t>
      </w:r>
      <w:r w:rsidRPr="003037D2">
        <w:rPr>
          <w:rStyle w:val="FootnoteReference"/>
          <w:rFonts w:ascii="Garamond" w:eastAsia="Calibri" w:hAnsi="Garamond" w:cs="Times New Roman"/>
        </w:rPr>
        <w:footnoteReference w:id="742"/>
      </w:r>
      <w:r w:rsidRPr="003037D2">
        <w:rPr>
          <w:rFonts w:ascii="Garamond" w:eastAsia="Calibri" w:hAnsi="Garamond" w:cs="Times New Roman"/>
        </w:rPr>
        <w:t xml:space="preserve"> </w:t>
      </w:r>
    </w:p>
    <w:p w14:paraId="6ACC29B0" w14:textId="77777777" w:rsidR="00162224" w:rsidRPr="003037D2" w:rsidRDefault="00162224" w:rsidP="00162224">
      <w:pPr>
        <w:spacing w:after="200" w:line="360" w:lineRule="auto"/>
        <w:rPr>
          <w:rFonts w:ascii="Garamond" w:eastAsia="Calibri" w:hAnsi="Garamond" w:cs="Times New Roman"/>
        </w:rPr>
      </w:pPr>
      <w:r w:rsidRPr="003037D2">
        <w:rPr>
          <w:rFonts w:ascii="Garamond" w:eastAsia="Calibri" w:hAnsi="Garamond" w:cs="Times New Roman"/>
        </w:rPr>
        <w:t xml:space="preserve">The </w:t>
      </w:r>
      <w:proofErr w:type="spellStart"/>
      <w:r w:rsidRPr="003037D2">
        <w:rPr>
          <w:rFonts w:ascii="Garamond" w:eastAsia="Calibri" w:hAnsi="Garamond" w:cs="Times New Roman"/>
        </w:rPr>
        <w:t>organising</w:t>
      </w:r>
      <w:proofErr w:type="spellEnd"/>
      <w:r w:rsidRPr="003037D2">
        <w:rPr>
          <w:rFonts w:ascii="Garamond" w:eastAsia="Calibri" w:hAnsi="Garamond" w:cs="Times New Roman"/>
        </w:rPr>
        <w:t xml:space="preserve"> principle of the house seems to have been expected to guide the ear of the congregation, helping them track the progress through both the sermon and the </w:t>
      </w:r>
      <w:proofErr w:type="spellStart"/>
      <w:r w:rsidRPr="003037D2">
        <w:rPr>
          <w:rFonts w:ascii="Garamond" w:eastAsia="Calibri" w:hAnsi="Garamond" w:cs="Times New Roman"/>
        </w:rPr>
        <w:t>break down</w:t>
      </w:r>
      <w:proofErr w:type="spellEnd"/>
      <w:r w:rsidRPr="003037D2">
        <w:rPr>
          <w:rFonts w:ascii="Garamond" w:eastAsia="Calibri" w:hAnsi="Garamond" w:cs="Times New Roman"/>
        </w:rPr>
        <w:t xml:space="preserve"> of the text. </w:t>
      </w:r>
    </w:p>
    <w:p w14:paraId="35682393" w14:textId="77777777" w:rsidR="00162224" w:rsidRPr="003037D2" w:rsidRDefault="00162224" w:rsidP="00162224">
      <w:pPr>
        <w:spacing w:after="200" w:line="360" w:lineRule="auto"/>
        <w:rPr>
          <w:rFonts w:ascii="Garamond" w:eastAsia="Calibri" w:hAnsi="Garamond" w:cs="Times New Roman"/>
        </w:rPr>
      </w:pPr>
    </w:p>
    <w:p w14:paraId="772981C3" w14:textId="6FB97A3B" w:rsidR="00162224" w:rsidRPr="003037D2" w:rsidRDefault="00162224" w:rsidP="00162224">
      <w:pPr>
        <w:spacing w:after="200" w:line="360" w:lineRule="auto"/>
        <w:ind w:firstLine="567"/>
        <w:rPr>
          <w:rFonts w:ascii="Garamond" w:eastAsia="Calibri" w:hAnsi="Garamond" w:cs="Times New Roman"/>
        </w:rPr>
      </w:pPr>
      <w:r w:rsidRPr="003037D2">
        <w:rPr>
          <w:rFonts w:ascii="Garamond" w:eastAsia="Calibri" w:hAnsi="Garamond" w:cs="Times New Roman"/>
        </w:rPr>
        <w:t xml:space="preserve">It is debatable whether the congregation actually found these structures </w:t>
      </w:r>
      <w:proofErr w:type="gramStart"/>
      <w:r w:rsidRPr="003037D2">
        <w:rPr>
          <w:rFonts w:ascii="Garamond" w:eastAsia="Calibri" w:hAnsi="Garamond" w:cs="Times New Roman"/>
        </w:rPr>
        <w:t>helpful, and</w:t>
      </w:r>
      <w:proofErr w:type="gramEnd"/>
      <w:r w:rsidRPr="003037D2">
        <w:rPr>
          <w:rFonts w:ascii="Garamond" w:eastAsia="Calibri" w:hAnsi="Garamond" w:cs="Times New Roman"/>
        </w:rPr>
        <w:t xml:space="preserve"> were able to retain the sermon within their memory. Robert Patterson, who kept a manuscript notebook of the ‘Sermons of Covenanters’ he heard in Edinburgh, wrote on the fly-leaf, ‘these are the gleanings of Saturdays and </w:t>
      </w:r>
      <w:proofErr w:type="spellStart"/>
      <w:r w:rsidRPr="003037D2">
        <w:rPr>
          <w:rFonts w:ascii="Garamond" w:eastAsia="Calibri" w:hAnsi="Garamond" w:cs="Times New Roman"/>
        </w:rPr>
        <w:t>Moondays</w:t>
      </w:r>
      <w:proofErr w:type="spellEnd"/>
      <w:r w:rsidRPr="003037D2">
        <w:rPr>
          <w:rFonts w:ascii="Garamond" w:eastAsia="Calibri" w:hAnsi="Garamond" w:cs="Times New Roman"/>
        </w:rPr>
        <w:t xml:space="preserve"> sermons </w:t>
      </w:r>
      <w:proofErr w:type="spellStart"/>
      <w:r w:rsidRPr="003037D2">
        <w:rPr>
          <w:rFonts w:ascii="Garamond" w:eastAsia="Calibri" w:hAnsi="Garamond" w:cs="Times New Roman"/>
        </w:rPr>
        <w:t>indirectlie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wrytten</w:t>
      </w:r>
      <w:proofErr w:type="spellEnd"/>
      <w:r w:rsidRPr="003037D2">
        <w:rPr>
          <w:rFonts w:ascii="Garamond" w:eastAsia="Calibri" w:hAnsi="Garamond" w:cs="Times New Roman"/>
        </w:rPr>
        <w:t xml:space="preserve"> &amp; what is </w:t>
      </w:r>
      <w:proofErr w:type="spellStart"/>
      <w:r w:rsidRPr="003037D2">
        <w:rPr>
          <w:rFonts w:ascii="Garamond" w:eastAsia="Calibri" w:hAnsi="Garamond" w:cs="Times New Roman"/>
        </w:rPr>
        <w:t>amisse</w:t>
      </w:r>
      <w:proofErr w:type="spellEnd"/>
      <w:r w:rsidRPr="003037D2">
        <w:rPr>
          <w:rFonts w:ascii="Garamond" w:eastAsia="Calibri" w:hAnsi="Garamond" w:cs="Times New Roman"/>
        </w:rPr>
        <w:t xml:space="preserve"> Reader help if thou canst for my pen was slow &amp; my </w:t>
      </w:r>
      <w:proofErr w:type="spellStart"/>
      <w:r w:rsidRPr="003037D2">
        <w:rPr>
          <w:rFonts w:ascii="Garamond" w:eastAsia="Calibri" w:hAnsi="Garamond" w:cs="Times New Roman"/>
        </w:rPr>
        <w:t>memorie</w:t>
      </w:r>
      <w:proofErr w:type="spellEnd"/>
      <w:r w:rsidRPr="003037D2">
        <w:rPr>
          <w:rFonts w:ascii="Garamond" w:eastAsia="Calibri" w:hAnsi="Garamond" w:cs="Times New Roman"/>
        </w:rPr>
        <w:t xml:space="preserve"> worse’.</w:t>
      </w:r>
      <w:r w:rsidRPr="003037D2">
        <w:rPr>
          <w:rStyle w:val="FootnoteReference"/>
          <w:rFonts w:ascii="Garamond" w:eastAsia="Calibri" w:hAnsi="Garamond" w:cs="Times New Roman"/>
        </w:rPr>
        <w:footnoteReference w:id="743"/>
      </w:r>
      <w:r w:rsidRPr="003037D2">
        <w:rPr>
          <w:rFonts w:ascii="Garamond" w:eastAsia="Calibri" w:hAnsi="Garamond" w:cs="Times New Roman"/>
        </w:rPr>
        <w:t xml:space="preserve"> Patterson made fair copies of his own auditor’s notes from a series of sermons over two years, but here indicates the failure of both his body and mind in attempting to truly capture the performance. In a funeral sermon for the Countess of Suffolk, Susan Howard, Edward </w:t>
      </w:r>
      <w:proofErr w:type="spellStart"/>
      <w:r w:rsidRPr="003037D2">
        <w:rPr>
          <w:rFonts w:ascii="Garamond" w:eastAsia="Calibri" w:hAnsi="Garamond" w:cs="Times New Roman"/>
        </w:rPr>
        <w:t>Rainbowe</w:t>
      </w:r>
      <w:proofErr w:type="spellEnd"/>
      <w:r w:rsidRPr="003037D2">
        <w:rPr>
          <w:rFonts w:ascii="Garamond" w:eastAsia="Calibri" w:hAnsi="Garamond" w:cs="Times New Roman"/>
        </w:rPr>
        <w:t xml:space="preserve"> praised her unusually powerful memory. He exclaimed, ‘she hath sometimes the day after the Lords Day, locked up </w:t>
      </w:r>
      <w:proofErr w:type="spellStart"/>
      <w:r w:rsidRPr="003037D2">
        <w:rPr>
          <w:rFonts w:ascii="Garamond" w:eastAsia="Calibri" w:hAnsi="Garamond" w:cs="Times New Roman"/>
        </w:rPr>
        <w:t>her self</w:t>
      </w:r>
      <w:proofErr w:type="spellEnd"/>
      <w:r w:rsidRPr="003037D2">
        <w:rPr>
          <w:rFonts w:ascii="Garamond" w:eastAsia="Calibri" w:hAnsi="Garamond" w:cs="Times New Roman"/>
        </w:rPr>
        <w:t xml:space="preserve"> in </w:t>
      </w:r>
      <w:r w:rsidRPr="003037D2">
        <w:rPr>
          <w:rFonts w:ascii="Garamond" w:eastAsia="Calibri" w:hAnsi="Garamond" w:cs="Times New Roman"/>
        </w:rPr>
        <w:lastRenderedPageBreak/>
        <w:t xml:space="preserve">private and from her </w:t>
      </w:r>
      <w:r w:rsidRPr="003037D2">
        <w:rPr>
          <w:rFonts w:ascii="Garamond" w:eastAsia="Calibri" w:hAnsi="Garamond" w:cs="Times New Roman"/>
          <w:i/>
        </w:rPr>
        <w:t xml:space="preserve">Memory </w:t>
      </w:r>
      <w:r w:rsidRPr="003037D2">
        <w:rPr>
          <w:rFonts w:ascii="Garamond" w:eastAsia="Calibri" w:hAnsi="Garamond" w:cs="Times New Roman"/>
        </w:rPr>
        <w:t>committed to writing a Sermon, which she had heard the Day before, so perfectly that little was wanting in the very words wherein it was delivered’.</w:t>
      </w:r>
      <w:r w:rsidRPr="003037D2">
        <w:rPr>
          <w:rStyle w:val="FootnoteReference"/>
          <w:rFonts w:ascii="Garamond" w:eastAsia="Calibri" w:hAnsi="Garamond" w:cs="Times New Roman"/>
        </w:rPr>
        <w:footnoteReference w:id="744"/>
      </w:r>
      <w:r w:rsidRPr="003037D2">
        <w:rPr>
          <w:rFonts w:ascii="Garamond" w:eastAsia="Calibri" w:hAnsi="Garamond" w:cs="Times New Roman"/>
        </w:rPr>
        <w:t xml:space="preserve"> Howard’s command of the word of the preacher is surely an anomaly. </w:t>
      </w:r>
      <w:proofErr w:type="spellStart"/>
      <w:r w:rsidRPr="003037D2">
        <w:rPr>
          <w:rFonts w:ascii="Garamond" w:eastAsia="Calibri" w:hAnsi="Garamond" w:cs="Times New Roman"/>
        </w:rPr>
        <w:t>Sebastiaan</w:t>
      </w:r>
      <w:proofErr w:type="spellEnd"/>
      <w:r w:rsidRPr="003037D2">
        <w:rPr>
          <w:rFonts w:ascii="Garamond" w:eastAsia="Calibri" w:hAnsi="Garamond" w:cs="Times New Roman"/>
        </w:rPr>
        <w:t xml:space="preserve"> Verweij has examined the notebooks of Francis Russell, the fourth Earl of Bedford, who took down notes on </w:t>
      </w:r>
      <w:proofErr w:type="gramStart"/>
      <w:r w:rsidRPr="003037D2">
        <w:rPr>
          <w:rFonts w:ascii="Garamond" w:eastAsia="Calibri" w:hAnsi="Garamond" w:cs="Times New Roman"/>
        </w:rPr>
        <w:t>a number of</w:t>
      </w:r>
      <w:proofErr w:type="gramEnd"/>
      <w:r w:rsidRPr="003037D2">
        <w:rPr>
          <w:rFonts w:ascii="Garamond" w:eastAsia="Calibri" w:hAnsi="Garamond" w:cs="Times New Roman"/>
        </w:rPr>
        <w:t xml:space="preserve"> Donne’s sermons. He demonstrates that in Russell’s notes from this very sermon in Whitehall, Russell entirely ignores the </w:t>
      </w:r>
      <w:proofErr w:type="spellStart"/>
      <w:r w:rsidRPr="003037D2">
        <w:rPr>
          <w:rFonts w:ascii="Garamond" w:eastAsia="Calibri" w:hAnsi="Garamond" w:cs="Times New Roman"/>
        </w:rPr>
        <w:t>organising</w:t>
      </w:r>
      <w:proofErr w:type="spellEnd"/>
      <w:r w:rsidRPr="003037D2">
        <w:rPr>
          <w:rFonts w:ascii="Garamond" w:eastAsia="Calibri" w:hAnsi="Garamond" w:cs="Times New Roman"/>
        </w:rPr>
        <w:t xml:space="preserve"> principle of the house. Instead (in Verweij’s words) ‘his eye or ear was mostly drawn towards quotable </w:t>
      </w:r>
      <w:proofErr w:type="spellStart"/>
      <w:r w:rsidRPr="003037D2">
        <w:rPr>
          <w:rFonts w:ascii="Garamond" w:eastAsia="Calibri" w:hAnsi="Garamond" w:cs="Times New Roman"/>
        </w:rPr>
        <w:t>moralisms</w:t>
      </w:r>
      <w:proofErr w:type="spellEnd"/>
      <w:r w:rsidRPr="003037D2">
        <w:rPr>
          <w:rFonts w:ascii="Garamond" w:eastAsia="Calibri" w:hAnsi="Garamond" w:cs="Times New Roman"/>
        </w:rPr>
        <w:t xml:space="preserve"> and </w:t>
      </w:r>
      <w:r w:rsidRPr="003037D2">
        <w:rPr>
          <w:rFonts w:ascii="Garamond" w:eastAsia="Calibri" w:hAnsi="Garamond" w:cs="Times New Roman"/>
          <w:i/>
        </w:rPr>
        <w:t xml:space="preserve">sententiae, </w:t>
      </w:r>
      <w:r w:rsidRPr="003037D2">
        <w:rPr>
          <w:rFonts w:ascii="Garamond" w:eastAsia="Calibri" w:hAnsi="Garamond" w:cs="Times New Roman"/>
        </w:rPr>
        <w:t>and only rarely towards Donne’s rhetorical artifice’.</w:t>
      </w:r>
      <w:r w:rsidRPr="003037D2">
        <w:rPr>
          <w:rFonts w:ascii="Garamond" w:eastAsia="Calibri" w:hAnsi="Garamond" w:cs="Times New Roman"/>
          <w:vertAlign w:val="superscript"/>
        </w:rPr>
        <w:footnoteReference w:id="745"/>
      </w:r>
      <w:r w:rsidRPr="003037D2">
        <w:rPr>
          <w:rFonts w:ascii="Garamond" w:eastAsia="Calibri" w:hAnsi="Garamond" w:cs="Times New Roman"/>
        </w:rPr>
        <w:t xml:space="preserve"> This may be because Donne characteristically shifts the focus of his metaphor, with the imagery of house also used to make theological points about the relationship between wealth and godliness.  </w:t>
      </w:r>
    </w:p>
    <w:p w14:paraId="0E63FAFF" w14:textId="77777777" w:rsidR="00162224" w:rsidRPr="003037D2" w:rsidRDefault="00162224" w:rsidP="00162224">
      <w:pPr>
        <w:spacing w:after="200" w:line="360" w:lineRule="auto"/>
        <w:ind w:firstLine="567"/>
        <w:rPr>
          <w:rFonts w:ascii="Garamond" w:eastAsia="Calibri" w:hAnsi="Garamond" w:cs="Times New Roman"/>
        </w:rPr>
      </w:pPr>
    </w:p>
    <w:p w14:paraId="2CA0C482" w14:textId="77777777" w:rsidR="00162224" w:rsidRPr="003037D2" w:rsidRDefault="00162224" w:rsidP="00162224">
      <w:pPr>
        <w:spacing w:after="200" w:line="360" w:lineRule="auto"/>
        <w:ind w:firstLine="567"/>
        <w:rPr>
          <w:rFonts w:ascii="Garamond" w:eastAsia="Calibri" w:hAnsi="Garamond" w:cs="Times New Roman"/>
        </w:rPr>
      </w:pPr>
      <w:r w:rsidRPr="003037D2">
        <w:rPr>
          <w:rFonts w:ascii="Garamond" w:eastAsia="Calibri" w:hAnsi="Garamond" w:cs="Times New Roman"/>
        </w:rPr>
        <w:t xml:space="preserve">In the 1624 Whitehall sermon Donne riffs on the saying ‘This man had great possessions’ explaining, </w:t>
      </w:r>
    </w:p>
    <w:p w14:paraId="2E9F67B9" w14:textId="77777777" w:rsidR="00162224" w:rsidRPr="003037D2" w:rsidRDefault="00162224" w:rsidP="00162224">
      <w:pPr>
        <w:spacing w:after="200"/>
        <w:ind w:left="567" w:right="567"/>
        <w:rPr>
          <w:rFonts w:ascii="Garamond" w:eastAsia="Calibri" w:hAnsi="Garamond" w:cs="Times New Roman"/>
        </w:rPr>
      </w:pPr>
      <w:r w:rsidRPr="003037D2">
        <w:rPr>
          <w:rFonts w:ascii="Garamond" w:eastAsia="Calibri" w:hAnsi="Garamond" w:cs="Times New Roman"/>
        </w:rPr>
        <w:t xml:space="preserve">he that lies in the spitting places, and excremental corners of the streets, as well as he that sits upon carpets, in the region of perfumes, he that is ground and trod to dirt, with obloquy; and contempt, as well as he that is built up every day a story and story higher with additions of </w:t>
      </w:r>
      <w:proofErr w:type="spellStart"/>
      <w:r w:rsidRPr="003037D2">
        <w:rPr>
          <w:rFonts w:ascii="Garamond" w:eastAsia="Calibri" w:hAnsi="Garamond" w:cs="Times New Roman"/>
        </w:rPr>
        <w:t>honour</w:t>
      </w:r>
      <w:proofErr w:type="spellEnd"/>
      <w:r w:rsidRPr="003037D2">
        <w:rPr>
          <w:rFonts w:ascii="Garamond" w:eastAsia="Calibri" w:hAnsi="Garamond" w:cs="Times New Roman"/>
        </w:rPr>
        <w:t>, every man hath some such possessions as possess him… and separate him from [Christ Jesus].</w:t>
      </w:r>
      <w:r w:rsidRPr="003037D2">
        <w:rPr>
          <w:rStyle w:val="FootnoteReference"/>
          <w:rFonts w:ascii="Garamond" w:eastAsia="Calibri" w:hAnsi="Garamond" w:cs="Times New Roman"/>
        </w:rPr>
        <w:footnoteReference w:id="746"/>
      </w:r>
      <w:r w:rsidRPr="003037D2">
        <w:rPr>
          <w:rFonts w:ascii="Garamond" w:eastAsia="Calibri" w:hAnsi="Garamond" w:cs="Times New Roman"/>
        </w:rPr>
        <w:t xml:space="preserve"> </w:t>
      </w:r>
    </w:p>
    <w:p w14:paraId="345AFC66" w14:textId="77777777" w:rsidR="00162224" w:rsidRPr="003037D2" w:rsidRDefault="00162224" w:rsidP="00162224">
      <w:pPr>
        <w:spacing w:after="200" w:line="360" w:lineRule="auto"/>
        <w:rPr>
          <w:rFonts w:ascii="Garamond" w:eastAsia="Calibri" w:hAnsi="Garamond" w:cs="Times New Roman"/>
        </w:rPr>
      </w:pPr>
      <w:r w:rsidRPr="003037D2">
        <w:rPr>
          <w:rFonts w:ascii="Garamond" w:eastAsia="Calibri" w:hAnsi="Garamond" w:cs="Times New Roman"/>
        </w:rPr>
        <w:t xml:space="preserve">This pun would have been particularly pointed in the environs of Whitehall. The king and queen were literally elevated by ‘a </w:t>
      </w:r>
      <w:proofErr w:type="spellStart"/>
      <w:r w:rsidRPr="003037D2">
        <w:rPr>
          <w:rFonts w:ascii="Garamond" w:eastAsia="Calibri" w:hAnsi="Garamond" w:cs="Times New Roman"/>
        </w:rPr>
        <w:t>storey</w:t>
      </w:r>
      <w:proofErr w:type="spellEnd"/>
      <w:r w:rsidRPr="003037D2">
        <w:rPr>
          <w:rFonts w:ascii="Garamond" w:eastAsia="Calibri" w:hAnsi="Garamond" w:cs="Times New Roman"/>
        </w:rPr>
        <w:t>’, seated in enclosed galleries over the west end of the chapel, with the household officers and courtiers seated in pews below.</w:t>
      </w:r>
      <w:r w:rsidRPr="003037D2">
        <w:rPr>
          <w:rFonts w:ascii="Garamond" w:eastAsia="Calibri" w:hAnsi="Garamond" w:cs="Times New Roman"/>
          <w:vertAlign w:val="superscript"/>
        </w:rPr>
        <w:footnoteReference w:id="747"/>
      </w:r>
      <w:r w:rsidRPr="003037D2">
        <w:rPr>
          <w:rFonts w:ascii="Garamond" w:eastAsia="Calibri" w:hAnsi="Garamond" w:cs="Times New Roman"/>
        </w:rPr>
        <w:t xml:space="preserve"> The royal closets were richly decorated, exclusive spaces that only the most important of visiting dignities would be asked to enter. It was not uncommon for the monarch to open their window on to the chapel at the end of the sermon, either to </w:t>
      </w:r>
      <w:proofErr w:type="spellStart"/>
      <w:r w:rsidRPr="003037D2">
        <w:rPr>
          <w:rFonts w:ascii="Garamond" w:eastAsia="Calibri" w:hAnsi="Garamond" w:cs="Times New Roman"/>
        </w:rPr>
        <w:t>criticise</w:t>
      </w:r>
      <w:proofErr w:type="spellEnd"/>
      <w:r w:rsidRPr="003037D2">
        <w:rPr>
          <w:rFonts w:ascii="Garamond" w:eastAsia="Calibri" w:hAnsi="Garamond" w:cs="Times New Roman"/>
        </w:rPr>
        <w:t xml:space="preserve"> or praise the preacher, or in some cases interrupt them as they spoke. On Christmas 1622, the Bishop of London’s sermon clearly caused consternation. John Chamberlin reported that it ‘gave the King so little content that he grew loud, and the bishop was </w:t>
      </w:r>
      <w:r w:rsidRPr="003037D2">
        <w:rPr>
          <w:rFonts w:ascii="Garamond" w:eastAsia="Calibri" w:hAnsi="Garamond" w:cs="Times New Roman"/>
        </w:rPr>
        <w:lastRenderedPageBreak/>
        <w:t>driven to end abruptly’.</w:t>
      </w:r>
      <w:r w:rsidRPr="003037D2">
        <w:rPr>
          <w:rFonts w:ascii="Garamond" w:eastAsia="Calibri" w:hAnsi="Garamond" w:cs="Times New Roman"/>
          <w:vertAlign w:val="superscript"/>
        </w:rPr>
        <w:footnoteReference w:id="748"/>
      </w:r>
      <w:r w:rsidRPr="003037D2">
        <w:rPr>
          <w:rFonts w:ascii="Garamond" w:eastAsia="Calibri" w:hAnsi="Garamond" w:cs="Times New Roman"/>
        </w:rPr>
        <w:t xml:space="preserve">  Peter McCullough vividly describes the power dynamics at play in the layout of the chapel, as the preacher had to ‘stand alone in an elevated pulpit more on a level with the prince than anyone else in the chapel, knowing all the while that before stepping down, the sovereign would pass judgement on his performance from above’.</w:t>
      </w:r>
      <w:r w:rsidRPr="003037D2">
        <w:rPr>
          <w:rStyle w:val="FootnoteReference"/>
          <w:rFonts w:ascii="Garamond" w:eastAsia="Calibri" w:hAnsi="Garamond" w:cs="Times New Roman"/>
        </w:rPr>
        <w:footnoteReference w:id="749"/>
      </w:r>
      <w:r w:rsidRPr="003037D2">
        <w:rPr>
          <w:rFonts w:ascii="Garamond" w:eastAsia="Calibri" w:hAnsi="Garamond" w:cs="Times New Roman"/>
        </w:rPr>
        <w:t xml:space="preserve"> As the focus of the house metaphor shifted from the biblical verse to the moral state of the congregation, grounding his imagery into the surroundings would have made Donne’s rhetoric more effective and visceral. Verweij argues that Russell’s notes on the sermon suggest that this metaphor of the building may have been originally extended, as Russell noted down the phrase: ‘he that stirs in the </w:t>
      </w:r>
      <w:proofErr w:type="spellStart"/>
      <w:r w:rsidRPr="003037D2">
        <w:rPr>
          <w:rFonts w:ascii="Garamond" w:eastAsia="Calibri" w:hAnsi="Garamond" w:cs="Times New Roman"/>
        </w:rPr>
        <w:t>muer</w:t>
      </w:r>
      <w:proofErr w:type="spellEnd"/>
      <w:r w:rsidRPr="003037D2">
        <w:rPr>
          <w:rFonts w:ascii="Garamond" w:eastAsia="Calibri" w:hAnsi="Garamond" w:cs="Times New Roman"/>
        </w:rPr>
        <w:t xml:space="preserve"> [wall] of the </w:t>
      </w:r>
      <w:proofErr w:type="spellStart"/>
      <w:r w:rsidRPr="003037D2">
        <w:rPr>
          <w:rFonts w:ascii="Garamond" w:eastAsia="Calibri" w:hAnsi="Garamond" w:cs="Times New Roman"/>
        </w:rPr>
        <w:t>dungen</w:t>
      </w:r>
      <w:proofErr w:type="spellEnd"/>
      <w:r w:rsidRPr="003037D2">
        <w:rPr>
          <w:rFonts w:ascii="Garamond" w:eastAsia="Calibri" w:hAnsi="Garamond" w:cs="Times New Roman"/>
        </w:rPr>
        <w:t xml:space="preserve"> is as he that d[wells] in the Highest stories of honor’.</w:t>
      </w:r>
      <w:r w:rsidRPr="003037D2">
        <w:rPr>
          <w:rFonts w:ascii="Garamond" w:eastAsia="Calibri" w:hAnsi="Garamond" w:cs="Times New Roman"/>
          <w:vertAlign w:val="superscript"/>
        </w:rPr>
        <w:footnoteReference w:id="750"/>
      </w:r>
      <w:r w:rsidRPr="003037D2">
        <w:rPr>
          <w:rFonts w:ascii="Garamond" w:eastAsia="Calibri" w:hAnsi="Garamond" w:cs="Times New Roman"/>
        </w:rPr>
        <w:t xml:space="preserve"> Perhaps this was removed from the ‘</w:t>
      </w:r>
      <w:proofErr w:type="spellStart"/>
      <w:r w:rsidRPr="003037D2">
        <w:rPr>
          <w:rFonts w:ascii="Garamond" w:eastAsia="Calibri" w:hAnsi="Garamond" w:cs="Times New Roman"/>
        </w:rPr>
        <w:t>cribrated</w:t>
      </w:r>
      <w:proofErr w:type="spellEnd"/>
      <w:r w:rsidRPr="003037D2">
        <w:rPr>
          <w:rFonts w:ascii="Garamond" w:eastAsia="Calibri" w:hAnsi="Garamond" w:cs="Times New Roman"/>
        </w:rPr>
        <w:t xml:space="preserve">’ printed version of the sermon, as it could have been perceived as an attack on the King or too forthright in its support of any who may have been imprisoned at the time. </w:t>
      </w:r>
    </w:p>
    <w:p w14:paraId="2191A6E1" w14:textId="77777777" w:rsidR="00162224" w:rsidRPr="003037D2" w:rsidRDefault="00162224" w:rsidP="00162224">
      <w:pPr>
        <w:spacing w:after="200" w:line="360" w:lineRule="auto"/>
        <w:rPr>
          <w:rFonts w:ascii="Garamond" w:eastAsia="Calibri" w:hAnsi="Garamond" w:cs="Times New Roman"/>
        </w:rPr>
      </w:pPr>
    </w:p>
    <w:p w14:paraId="6BBBC6B3" w14:textId="62642133" w:rsidR="00162224" w:rsidRPr="003037D2" w:rsidRDefault="00162224" w:rsidP="00162224">
      <w:pPr>
        <w:spacing w:after="200" w:line="360" w:lineRule="auto"/>
        <w:ind w:firstLine="720"/>
        <w:rPr>
          <w:rFonts w:ascii="Garamond" w:eastAsia="Calibri" w:hAnsi="Garamond" w:cs="Times New Roman"/>
        </w:rPr>
      </w:pPr>
      <w:r w:rsidRPr="003037D2">
        <w:rPr>
          <w:rFonts w:ascii="Garamond" w:eastAsia="Calibri" w:hAnsi="Garamond" w:cs="Times New Roman"/>
        </w:rPr>
        <w:t xml:space="preserve"> It is particularly fitting that we have Russell’s notes on this sermon illustrating how the congregation absorbed the preacher’s words, as in </w:t>
      </w:r>
      <w:proofErr w:type="gramStart"/>
      <w:r w:rsidRPr="003037D2">
        <w:rPr>
          <w:rFonts w:ascii="Garamond" w:eastAsia="Calibri" w:hAnsi="Garamond" w:cs="Times New Roman"/>
        </w:rPr>
        <w:t>it</w:t>
      </w:r>
      <w:proofErr w:type="gramEnd"/>
      <w:r w:rsidRPr="003037D2">
        <w:rPr>
          <w:rFonts w:ascii="Garamond" w:eastAsia="Calibri" w:hAnsi="Garamond" w:cs="Times New Roman"/>
        </w:rPr>
        <w:t xml:space="preserve"> Donne invokes the language of the ‘echo’ to explain the relationship between scripture and church. He declares ‘the scriptures are Gods </w:t>
      </w:r>
      <w:proofErr w:type="spellStart"/>
      <w:r w:rsidRPr="003037D2">
        <w:rPr>
          <w:rFonts w:ascii="Garamond" w:eastAsia="Calibri" w:hAnsi="Garamond" w:cs="Times New Roman"/>
        </w:rPr>
        <w:t>voyce</w:t>
      </w:r>
      <w:proofErr w:type="spellEnd"/>
      <w:r w:rsidRPr="003037D2">
        <w:rPr>
          <w:rFonts w:ascii="Garamond" w:eastAsia="Calibri" w:hAnsi="Garamond" w:cs="Times New Roman"/>
        </w:rPr>
        <w:t xml:space="preserve">, the church his </w:t>
      </w:r>
      <w:proofErr w:type="spellStart"/>
      <w:r w:rsidRPr="003037D2">
        <w:rPr>
          <w:rFonts w:ascii="Garamond" w:eastAsia="Calibri" w:hAnsi="Garamond" w:cs="Times New Roman"/>
        </w:rPr>
        <w:t>eccho</w:t>
      </w:r>
      <w:proofErr w:type="spellEnd"/>
      <w:r w:rsidRPr="003037D2">
        <w:rPr>
          <w:rFonts w:ascii="Garamond" w:eastAsia="Calibri" w:hAnsi="Garamond" w:cs="Times New Roman"/>
        </w:rPr>
        <w:t>’.</w:t>
      </w:r>
      <w:r w:rsidRPr="003037D2">
        <w:rPr>
          <w:rStyle w:val="FootnoteReference"/>
          <w:rFonts w:ascii="Garamond" w:eastAsia="Calibri" w:hAnsi="Garamond" w:cs="Times New Roman"/>
        </w:rPr>
        <w:footnoteReference w:id="751"/>
      </w:r>
      <w:r w:rsidRPr="003037D2">
        <w:rPr>
          <w:rFonts w:ascii="Garamond" w:eastAsia="Calibri" w:hAnsi="Garamond" w:cs="Times New Roman"/>
        </w:rPr>
        <w:t xml:space="preserve"> As well as being an aural motif, the echo is a temporal one, predicated on a delay in response. Donne seems aware that the congregation’s attention might wander, and that each member might take away different memories of the sermon. Elsewhere he reassures his audience that this is not necessarily a dire moral failing. In the sermon preached on the text ‘Take heed what you hear’ (Mark 4.24) at Whitehall a few years later on the 1</w:t>
      </w:r>
      <w:r w:rsidRPr="003037D2">
        <w:rPr>
          <w:rFonts w:ascii="Garamond" w:eastAsia="Calibri" w:hAnsi="Garamond" w:cs="Times New Roman"/>
          <w:vertAlign w:val="superscript"/>
        </w:rPr>
        <w:t>st</w:t>
      </w:r>
      <w:r w:rsidRPr="003037D2">
        <w:rPr>
          <w:rFonts w:ascii="Garamond" w:eastAsia="Calibri" w:hAnsi="Garamond" w:cs="Times New Roman"/>
        </w:rPr>
        <w:t xml:space="preserve"> April 1627, Donne discusses whether this chapter of Mark was ‘</w:t>
      </w:r>
      <w:r w:rsidRPr="003037D2">
        <w:rPr>
          <w:rFonts w:ascii="Garamond" w:eastAsia="Calibri" w:hAnsi="Garamond" w:cs="Times New Roman"/>
          <w:i/>
        </w:rPr>
        <w:t xml:space="preserve">one </w:t>
      </w:r>
      <w:proofErr w:type="spellStart"/>
      <w:r w:rsidRPr="003037D2">
        <w:rPr>
          <w:rFonts w:ascii="Garamond" w:eastAsia="Calibri" w:hAnsi="Garamond" w:cs="Times New Roman"/>
          <w:i/>
        </w:rPr>
        <w:t>intire</w:t>
      </w:r>
      <w:proofErr w:type="spellEnd"/>
      <w:r w:rsidRPr="003037D2">
        <w:rPr>
          <w:rFonts w:ascii="Garamond" w:eastAsia="Calibri" w:hAnsi="Garamond" w:cs="Times New Roman"/>
          <w:i/>
        </w:rPr>
        <w:t xml:space="preserve"> Sermon </w:t>
      </w:r>
      <w:r w:rsidRPr="003037D2">
        <w:rPr>
          <w:rFonts w:ascii="Garamond" w:eastAsia="Calibri" w:hAnsi="Garamond" w:cs="Times New Roman"/>
        </w:rPr>
        <w:t xml:space="preserve">of our </w:t>
      </w:r>
      <w:proofErr w:type="spellStart"/>
      <w:r w:rsidRPr="003037D2">
        <w:rPr>
          <w:rFonts w:ascii="Garamond" w:eastAsia="Calibri" w:hAnsi="Garamond" w:cs="Times New Roman"/>
        </w:rPr>
        <w:t>Saviours</w:t>
      </w:r>
      <w:proofErr w:type="spellEnd"/>
      <w:r w:rsidRPr="003037D2">
        <w:rPr>
          <w:rFonts w:ascii="Garamond" w:eastAsia="Calibri" w:hAnsi="Garamond" w:cs="Times New Roman"/>
        </w:rPr>
        <w:t>, preached at once, or</w:t>
      </w:r>
      <w:r w:rsidRPr="003037D2">
        <w:rPr>
          <w:rFonts w:ascii="Garamond" w:eastAsia="Calibri" w:hAnsi="Garamond" w:cs="Times New Roman"/>
          <w:i/>
        </w:rPr>
        <w:t xml:space="preserve"> Notes </w:t>
      </w:r>
      <w:r w:rsidRPr="003037D2">
        <w:rPr>
          <w:rFonts w:ascii="Garamond" w:eastAsia="Calibri" w:hAnsi="Garamond" w:cs="Times New Roman"/>
        </w:rPr>
        <w:t xml:space="preserve">taken and erected from </w:t>
      </w:r>
      <w:proofErr w:type="spellStart"/>
      <w:r w:rsidRPr="003037D2">
        <w:rPr>
          <w:rFonts w:ascii="Garamond" w:eastAsia="Calibri" w:hAnsi="Garamond" w:cs="Times New Roman"/>
        </w:rPr>
        <w:t>severall</w:t>
      </w:r>
      <w:proofErr w:type="spellEnd"/>
      <w:r w:rsidRPr="003037D2">
        <w:rPr>
          <w:rFonts w:ascii="Garamond" w:eastAsia="Calibri" w:hAnsi="Garamond" w:cs="Times New Roman"/>
        </w:rPr>
        <w:t xml:space="preserve"> Sermons of his’.</w:t>
      </w:r>
      <w:r w:rsidRPr="003037D2">
        <w:rPr>
          <w:rStyle w:val="FootnoteReference"/>
          <w:rFonts w:ascii="Garamond" w:eastAsia="Calibri" w:hAnsi="Garamond" w:cs="Times New Roman"/>
        </w:rPr>
        <w:footnoteReference w:id="752"/>
      </w:r>
      <w:r w:rsidRPr="003037D2">
        <w:rPr>
          <w:rFonts w:ascii="Garamond" w:eastAsia="Calibri" w:hAnsi="Garamond" w:cs="Times New Roman"/>
        </w:rPr>
        <w:t xml:space="preserve">  If even the disciple Mark was unable to keep abreast of his sermon notes, the courtiers present could perhaps relax a little as they attempted to scribble down the parts of the </w:t>
      </w:r>
      <w:proofErr w:type="spellStart"/>
      <w:r w:rsidRPr="003037D2">
        <w:rPr>
          <w:rFonts w:ascii="Garamond" w:eastAsia="Calibri" w:hAnsi="Garamond" w:cs="Times New Roman"/>
          <w:i/>
          <w:iCs/>
        </w:rPr>
        <w:t>divisio</w:t>
      </w:r>
      <w:proofErr w:type="spellEnd"/>
      <w:r w:rsidRPr="003037D2">
        <w:rPr>
          <w:rFonts w:ascii="Garamond" w:eastAsia="Calibri" w:hAnsi="Garamond" w:cs="Times New Roman"/>
          <w:i/>
          <w:iCs/>
        </w:rPr>
        <w:t>.</w:t>
      </w:r>
      <w:r w:rsidRPr="003037D2">
        <w:rPr>
          <w:rStyle w:val="FootnoteReference"/>
          <w:rFonts w:ascii="Garamond" w:eastAsia="Calibri" w:hAnsi="Garamond" w:cs="Times New Roman"/>
          <w:i/>
          <w:iCs/>
        </w:rPr>
        <w:footnoteReference w:id="753"/>
      </w:r>
      <w:r w:rsidRPr="003037D2">
        <w:rPr>
          <w:rFonts w:ascii="Garamond" w:eastAsia="Calibri" w:hAnsi="Garamond" w:cs="Times New Roman"/>
          <w:i/>
          <w:iCs/>
        </w:rPr>
        <w:t xml:space="preserve"> </w:t>
      </w:r>
      <w:r w:rsidRPr="003037D2">
        <w:rPr>
          <w:rFonts w:ascii="Garamond" w:eastAsia="Calibri" w:hAnsi="Garamond" w:cs="Times New Roman"/>
        </w:rPr>
        <w:t xml:space="preserve">Donne declares that Christ would have used exemplary preaching techniques, preaching </w:t>
      </w:r>
      <w:r w:rsidRPr="003037D2">
        <w:rPr>
          <w:rFonts w:ascii="Garamond" w:eastAsia="Calibri" w:hAnsi="Garamond" w:cs="Times New Roman"/>
        </w:rPr>
        <w:lastRenderedPageBreak/>
        <w:t>‘methodically’ and ‘</w:t>
      </w:r>
      <w:proofErr w:type="spellStart"/>
      <w:r w:rsidRPr="003037D2">
        <w:rPr>
          <w:rFonts w:ascii="Garamond" w:eastAsia="Calibri" w:hAnsi="Garamond" w:cs="Times New Roman"/>
        </w:rPr>
        <w:t>eas</w:t>
      </w:r>
      <w:proofErr w:type="spellEnd"/>
      <w:r w:rsidRPr="003037D2">
        <w:rPr>
          <w:rFonts w:ascii="Garamond" w:eastAsia="Calibri" w:hAnsi="Garamond" w:cs="Times New Roman"/>
        </w:rPr>
        <w:t>[</w:t>
      </w:r>
      <w:proofErr w:type="spellStart"/>
      <w:r w:rsidRPr="003037D2">
        <w:rPr>
          <w:rFonts w:ascii="Garamond" w:eastAsia="Calibri" w:hAnsi="Garamond" w:cs="Times New Roman"/>
        </w:rPr>
        <w:t>ing</w:t>
      </w:r>
      <w:proofErr w:type="spellEnd"/>
      <w:r w:rsidRPr="003037D2">
        <w:rPr>
          <w:rFonts w:ascii="Garamond" w:eastAsia="Calibri" w:hAnsi="Garamond" w:cs="Times New Roman"/>
        </w:rPr>
        <w:t xml:space="preserve">] his hearers with certain </w:t>
      </w:r>
      <w:r w:rsidRPr="003037D2">
        <w:rPr>
          <w:rFonts w:ascii="Garamond" w:eastAsia="Calibri" w:hAnsi="Garamond" w:cs="Times New Roman"/>
          <w:i/>
        </w:rPr>
        <w:t xml:space="preserve">landmarks </w:t>
      </w:r>
      <w:r w:rsidRPr="003037D2">
        <w:rPr>
          <w:rFonts w:ascii="Garamond" w:eastAsia="Calibri" w:hAnsi="Garamond" w:cs="Times New Roman"/>
        </w:rPr>
        <w:t xml:space="preserve">by the way, with certain </w:t>
      </w:r>
      <w:r w:rsidRPr="003037D2">
        <w:rPr>
          <w:rFonts w:ascii="Garamond" w:eastAsia="Calibri" w:hAnsi="Garamond" w:cs="Times New Roman"/>
          <w:i/>
        </w:rPr>
        <w:t xml:space="preserve">divisions, </w:t>
      </w:r>
      <w:r w:rsidRPr="003037D2">
        <w:rPr>
          <w:rFonts w:ascii="Garamond" w:eastAsia="Calibri" w:hAnsi="Garamond" w:cs="Times New Roman"/>
        </w:rPr>
        <w:t xml:space="preserve">certain </w:t>
      </w:r>
      <w:r w:rsidRPr="003037D2">
        <w:rPr>
          <w:rFonts w:ascii="Garamond" w:eastAsia="Calibri" w:hAnsi="Garamond" w:cs="Times New Roman"/>
          <w:i/>
        </w:rPr>
        <w:t xml:space="preserve">transitions’. </w:t>
      </w:r>
      <w:r w:rsidRPr="003037D2">
        <w:rPr>
          <w:rFonts w:ascii="Garamond" w:eastAsia="Calibri" w:hAnsi="Garamond" w:cs="Times New Roman"/>
        </w:rPr>
        <w:t>The time of the sermon is described spatially, divided by ‘landmarks’ like those that divided George He</w:t>
      </w:r>
      <w:r w:rsidR="00814479">
        <w:rPr>
          <w:rFonts w:ascii="Garamond" w:eastAsia="Calibri" w:hAnsi="Garamond" w:cs="Times New Roman"/>
        </w:rPr>
        <w:t>r</w:t>
      </w:r>
      <w:r w:rsidRPr="003037D2">
        <w:rPr>
          <w:rFonts w:ascii="Garamond" w:eastAsia="Calibri" w:hAnsi="Garamond" w:cs="Times New Roman"/>
        </w:rPr>
        <w:t xml:space="preserve">bert’s pastoral year. Donne also notes that ‘though a man understand not a whole Sermon, or remember not a whole Sermon, yet he doth well, that </w:t>
      </w:r>
      <w:proofErr w:type="spellStart"/>
      <w:r w:rsidRPr="003037D2">
        <w:rPr>
          <w:rFonts w:ascii="Garamond" w:eastAsia="Calibri" w:hAnsi="Garamond" w:cs="Times New Roman"/>
        </w:rPr>
        <w:t>layeth</w:t>
      </w:r>
      <w:proofErr w:type="spellEnd"/>
      <w:r w:rsidRPr="003037D2">
        <w:rPr>
          <w:rFonts w:ascii="Garamond" w:eastAsia="Calibri" w:hAnsi="Garamond" w:cs="Times New Roman"/>
        </w:rPr>
        <w:t xml:space="preserve"> hold upon such notes therein as may be applicable to his own case… and conduce his own edifying’.</w:t>
      </w:r>
      <w:r w:rsidRPr="003037D2">
        <w:rPr>
          <w:rStyle w:val="FootnoteReference"/>
          <w:rFonts w:ascii="Garamond" w:eastAsia="Calibri" w:hAnsi="Garamond" w:cs="Times New Roman"/>
        </w:rPr>
        <w:footnoteReference w:id="754"/>
      </w:r>
      <w:r w:rsidRPr="003037D2">
        <w:rPr>
          <w:rFonts w:ascii="Garamond" w:eastAsia="Calibri" w:hAnsi="Garamond" w:cs="Times New Roman"/>
        </w:rPr>
        <w:t xml:space="preserve"> The congregation are again encouraged to think of themselves as houses, to be built up. Donne likens this slim grasp on the words of the sermon to how a man ‘that is drowning, will take hold of a bulrush; and even that bulrush may stay him… if you… are drowning in the whirlpools of </w:t>
      </w:r>
      <w:proofErr w:type="spellStart"/>
      <w:r w:rsidRPr="003037D2">
        <w:rPr>
          <w:rFonts w:ascii="Garamond" w:eastAsia="Calibri" w:hAnsi="Garamond" w:cs="Times New Roman"/>
        </w:rPr>
        <w:t>sinne</w:t>
      </w:r>
      <w:proofErr w:type="spellEnd"/>
      <w:r w:rsidRPr="003037D2">
        <w:rPr>
          <w:rFonts w:ascii="Garamond" w:eastAsia="Calibri" w:hAnsi="Garamond" w:cs="Times New Roman"/>
        </w:rPr>
        <w:t>… and would lay hold upon the shallowest man… and lay upon the meanest part of his speech… [that] might stop you till you heard better’.</w:t>
      </w:r>
      <w:r w:rsidRPr="003037D2">
        <w:rPr>
          <w:rStyle w:val="FootnoteReference"/>
          <w:rFonts w:ascii="Garamond" w:eastAsia="Calibri" w:hAnsi="Garamond" w:cs="Times New Roman"/>
        </w:rPr>
        <w:footnoteReference w:id="755"/>
      </w:r>
      <w:r w:rsidRPr="003037D2">
        <w:rPr>
          <w:rFonts w:ascii="Garamond" w:eastAsia="Calibri" w:hAnsi="Garamond" w:cs="Times New Roman"/>
        </w:rPr>
        <w:t xml:space="preserve"> This ‘meanest’ or shortest part of speech can act as a stopgap in times of extreme spiritual peril. </w:t>
      </w:r>
    </w:p>
    <w:p w14:paraId="1DC2AD60" w14:textId="77777777" w:rsidR="00162224" w:rsidRPr="003037D2" w:rsidRDefault="00162224" w:rsidP="00162224">
      <w:pPr>
        <w:spacing w:after="200" w:line="360" w:lineRule="auto"/>
        <w:ind w:firstLine="720"/>
        <w:rPr>
          <w:rFonts w:ascii="Garamond" w:eastAsia="Calibri" w:hAnsi="Garamond" w:cs="Times New Roman"/>
        </w:rPr>
      </w:pPr>
    </w:p>
    <w:p w14:paraId="50820887" w14:textId="77777777" w:rsidR="00162224" w:rsidRPr="003037D2" w:rsidRDefault="00162224" w:rsidP="00162224">
      <w:pPr>
        <w:spacing w:after="200" w:line="360" w:lineRule="auto"/>
        <w:rPr>
          <w:rFonts w:ascii="Garamond" w:eastAsia="Calibri" w:hAnsi="Garamond" w:cs="Times New Roman"/>
        </w:rPr>
      </w:pPr>
      <w:r w:rsidRPr="003037D2">
        <w:rPr>
          <w:rFonts w:ascii="Garamond" w:eastAsia="Calibri" w:hAnsi="Garamond" w:cs="Times New Roman"/>
        </w:rPr>
        <w:tab/>
        <w:t xml:space="preserve">Returning to the 1624 sermon, we see another way in which Donne uses the figure of Echo. Prompted by the Lent setting, Donne explains to his congregation the relationship between events in the Bible and how they should act today: ‘That which God commanded by his Word, to be done at sometimes (that we should humble our souls by fasting) the same God commands by his church, to be done now’. Donne more or less delivers a grammar lesson to his courtly audience, stating </w:t>
      </w:r>
      <w:bookmarkStart w:id="91" w:name="_Hlk520125346"/>
      <w:r w:rsidRPr="003037D2">
        <w:rPr>
          <w:rFonts w:ascii="Garamond" w:eastAsia="Calibri" w:hAnsi="Garamond" w:cs="Times New Roman"/>
        </w:rPr>
        <w:t xml:space="preserve">‘in the Scripture you have </w:t>
      </w:r>
      <w:proofErr w:type="spellStart"/>
      <w:r w:rsidRPr="003037D2">
        <w:rPr>
          <w:rFonts w:ascii="Garamond" w:eastAsia="Calibri" w:hAnsi="Garamond" w:cs="Times New Roman"/>
          <w:i/>
        </w:rPr>
        <w:t>praeceptum</w:t>
      </w:r>
      <w:proofErr w:type="spellEnd"/>
      <w:r w:rsidRPr="003037D2">
        <w:rPr>
          <w:rFonts w:ascii="Garamond" w:eastAsia="Calibri" w:hAnsi="Garamond" w:cs="Times New Roman"/>
          <w:i/>
        </w:rPr>
        <w:t xml:space="preserve">, </w:t>
      </w:r>
      <w:r w:rsidRPr="003037D2">
        <w:rPr>
          <w:rFonts w:ascii="Garamond" w:eastAsia="Calibri" w:hAnsi="Garamond" w:cs="Times New Roman"/>
        </w:rPr>
        <w:t xml:space="preserve">The thing itself, what; in the Church, you have the </w:t>
      </w:r>
      <w:r w:rsidRPr="003037D2">
        <w:rPr>
          <w:rFonts w:ascii="Garamond" w:eastAsia="Calibri" w:hAnsi="Garamond" w:cs="Times New Roman"/>
          <w:i/>
        </w:rPr>
        <w:t xml:space="preserve">Nunc, </w:t>
      </w:r>
      <w:r w:rsidRPr="003037D2">
        <w:rPr>
          <w:rFonts w:ascii="Garamond" w:eastAsia="Calibri" w:hAnsi="Garamond" w:cs="Times New Roman"/>
        </w:rPr>
        <w:t>The time, when’.</w:t>
      </w:r>
      <w:r w:rsidRPr="003037D2">
        <w:rPr>
          <w:rStyle w:val="FootnoteReference"/>
          <w:rFonts w:ascii="Garamond" w:eastAsia="Calibri" w:hAnsi="Garamond" w:cs="Times New Roman"/>
        </w:rPr>
        <w:footnoteReference w:id="756"/>
      </w:r>
      <w:r w:rsidRPr="003037D2">
        <w:rPr>
          <w:rFonts w:ascii="Garamond" w:eastAsia="Calibri" w:hAnsi="Garamond" w:cs="Times New Roman"/>
        </w:rPr>
        <w:t xml:space="preserve"> </w:t>
      </w:r>
      <w:bookmarkEnd w:id="91"/>
      <w:r w:rsidRPr="003037D2">
        <w:rPr>
          <w:rFonts w:ascii="Garamond" w:eastAsia="Calibri" w:hAnsi="Garamond" w:cs="Times New Roman"/>
        </w:rPr>
        <w:t xml:space="preserve">Without the </w:t>
      </w:r>
      <w:proofErr w:type="spellStart"/>
      <w:r w:rsidRPr="003037D2">
        <w:rPr>
          <w:rFonts w:ascii="Garamond" w:eastAsia="Calibri" w:hAnsi="Garamond" w:cs="Times New Roman"/>
          <w:i/>
        </w:rPr>
        <w:t>praeceptum</w:t>
      </w:r>
      <w:proofErr w:type="spellEnd"/>
      <w:r w:rsidRPr="003037D2">
        <w:rPr>
          <w:rFonts w:ascii="Garamond" w:eastAsia="Calibri" w:hAnsi="Garamond" w:cs="Times New Roman"/>
          <w:i/>
        </w:rPr>
        <w:t xml:space="preserve">, </w:t>
      </w:r>
      <w:r w:rsidRPr="003037D2">
        <w:rPr>
          <w:rFonts w:ascii="Garamond" w:eastAsia="Calibri" w:hAnsi="Garamond" w:cs="Times New Roman"/>
        </w:rPr>
        <w:t xml:space="preserve">the thing itself, being placed within the </w:t>
      </w:r>
      <w:proofErr w:type="spellStart"/>
      <w:r w:rsidRPr="003037D2">
        <w:rPr>
          <w:rFonts w:ascii="Garamond" w:eastAsia="Calibri" w:hAnsi="Garamond" w:cs="Times New Roman"/>
          <w:i/>
        </w:rPr>
        <w:t>nunc</w:t>
      </w:r>
      <w:proofErr w:type="spellEnd"/>
      <w:r w:rsidRPr="003037D2">
        <w:rPr>
          <w:rFonts w:ascii="Garamond" w:eastAsia="Calibri" w:hAnsi="Garamond" w:cs="Times New Roman"/>
          <w:i/>
        </w:rPr>
        <w:t xml:space="preserve"> </w:t>
      </w:r>
      <w:r w:rsidRPr="003037D2">
        <w:rPr>
          <w:rFonts w:ascii="Garamond" w:eastAsia="Calibri" w:hAnsi="Garamond" w:cs="Times New Roman"/>
        </w:rPr>
        <w:t>of the Church, the thing would go unenacted. This vision of scripture and church working together as two parts of a coherent whole is further expanded upon, as Donne declares, ‘The scripture is God’s voice, the church is his echo; a redoubling, a repeating of some particular syllables, and accents of the same voice’.</w:t>
      </w:r>
      <w:r w:rsidRPr="003037D2">
        <w:rPr>
          <w:rStyle w:val="FootnoteReference"/>
          <w:rFonts w:ascii="Garamond" w:eastAsia="Calibri" w:hAnsi="Garamond" w:cs="Times New Roman"/>
        </w:rPr>
        <w:footnoteReference w:id="757"/>
      </w:r>
      <w:r w:rsidRPr="003037D2">
        <w:rPr>
          <w:rFonts w:ascii="Garamond" w:eastAsia="Calibri" w:hAnsi="Garamond" w:cs="Times New Roman"/>
        </w:rPr>
        <w:t xml:space="preserve"> In this deceptively simple image, Donne outlines to his auditors the relationship between the past of scripture, and the present world of the Church.</w:t>
      </w:r>
    </w:p>
    <w:p w14:paraId="278DF5EA" w14:textId="77777777" w:rsidR="00162224" w:rsidRPr="003037D2" w:rsidRDefault="00162224" w:rsidP="00162224">
      <w:pPr>
        <w:spacing w:after="200" w:line="360" w:lineRule="auto"/>
        <w:rPr>
          <w:rFonts w:ascii="Garamond" w:eastAsia="Calibri" w:hAnsi="Garamond" w:cs="Times New Roman"/>
          <w:i/>
        </w:rPr>
      </w:pPr>
    </w:p>
    <w:p w14:paraId="0C1FE7CE" w14:textId="77777777" w:rsidR="00162224" w:rsidRPr="003037D2" w:rsidRDefault="00162224" w:rsidP="00162224">
      <w:pPr>
        <w:spacing w:line="360" w:lineRule="auto"/>
        <w:ind w:firstLine="720"/>
        <w:rPr>
          <w:rFonts w:ascii="Garamond" w:eastAsia="Calibri" w:hAnsi="Garamond" w:cs="Times New Roman"/>
        </w:rPr>
      </w:pPr>
      <w:r w:rsidRPr="003037D2">
        <w:rPr>
          <w:rFonts w:ascii="Garamond" w:eastAsia="Calibri" w:hAnsi="Garamond" w:cs="Times New Roman"/>
        </w:rPr>
        <w:lastRenderedPageBreak/>
        <w:t>Christopher Marsh has written about the early modern fascination with echoes.</w:t>
      </w:r>
      <w:r w:rsidRPr="003037D2">
        <w:rPr>
          <w:rFonts w:ascii="Garamond" w:eastAsia="Calibri" w:hAnsi="Garamond" w:cs="Times New Roman"/>
          <w:vertAlign w:val="superscript"/>
        </w:rPr>
        <w:footnoteReference w:id="758"/>
      </w:r>
      <w:r w:rsidRPr="003037D2">
        <w:rPr>
          <w:rFonts w:ascii="Garamond" w:eastAsia="Calibri" w:hAnsi="Garamond" w:cs="Times New Roman"/>
        </w:rPr>
        <w:t xml:space="preserve"> In a period that </w:t>
      </w:r>
      <w:proofErr w:type="spellStart"/>
      <w:r w:rsidRPr="003037D2">
        <w:rPr>
          <w:rFonts w:ascii="Garamond" w:eastAsia="Calibri" w:hAnsi="Garamond" w:cs="Times New Roman"/>
        </w:rPr>
        <w:t>emphasised</w:t>
      </w:r>
      <w:proofErr w:type="spellEnd"/>
      <w:r w:rsidRPr="003037D2">
        <w:rPr>
          <w:rFonts w:ascii="Garamond" w:eastAsia="Calibri" w:hAnsi="Garamond" w:cs="Times New Roman"/>
        </w:rPr>
        <w:t xml:space="preserve"> a resonant universe, in which the macrocosmic and micro-cosmic reflected one another, echoes </w:t>
      </w:r>
      <w:proofErr w:type="gramStart"/>
      <w:r w:rsidRPr="003037D2">
        <w:rPr>
          <w:rFonts w:ascii="Garamond" w:eastAsia="Calibri" w:hAnsi="Garamond" w:cs="Times New Roman"/>
        </w:rPr>
        <w:t>were seen as</w:t>
      </w:r>
      <w:proofErr w:type="gramEnd"/>
      <w:r w:rsidRPr="003037D2">
        <w:rPr>
          <w:rFonts w:ascii="Garamond" w:eastAsia="Calibri" w:hAnsi="Garamond" w:cs="Times New Roman"/>
        </w:rPr>
        <w:t xml:space="preserve"> other-worldly. In pamphlets, echoes were often linked with the appearance of devils or spirits. Francis Bacon attempted to </w:t>
      </w:r>
      <w:proofErr w:type="spellStart"/>
      <w:r w:rsidRPr="003037D2">
        <w:rPr>
          <w:rFonts w:ascii="Garamond" w:eastAsia="Calibri" w:hAnsi="Garamond" w:cs="Times New Roman"/>
        </w:rPr>
        <w:t>categorise</w:t>
      </w:r>
      <w:proofErr w:type="spellEnd"/>
      <w:r w:rsidRPr="003037D2">
        <w:rPr>
          <w:rFonts w:ascii="Garamond" w:eastAsia="Calibri" w:hAnsi="Garamond" w:cs="Times New Roman"/>
        </w:rPr>
        <w:t xml:space="preserve"> the ‘three </w:t>
      </w:r>
      <w:proofErr w:type="spellStart"/>
      <w:r w:rsidRPr="003037D2">
        <w:rPr>
          <w:rFonts w:ascii="Garamond" w:eastAsia="Calibri" w:hAnsi="Garamond" w:cs="Times New Roman"/>
        </w:rPr>
        <w:t>kindes</w:t>
      </w:r>
      <w:proofErr w:type="spellEnd"/>
      <w:r w:rsidRPr="003037D2">
        <w:rPr>
          <w:rFonts w:ascii="Garamond" w:eastAsia="Calibri" w:hAnsi="Garamond" w:cs="Times New Roman"/>
        </w:rPr>
        <w:t xml:space="preserve"> of </w:t>
      </w:r>
      <w:proofErr w:type="spellStart"/>
      <w:r w:rsidRPr="003037D2">
        <w:rPr>
          <w:rFonts w:ascii="Garamond" w:eastAsia="Calibri" w:hAnsi="Garamond" w:cs="Times New Roman"/>
          <w:i/>
        </w:rPr>
        <w:t>Reflexions</w:t>
      </w:r>
      <w:proofErr w:type="spellEnd"/>
      <w:r w:rsidRPr="003037D2">
        <w:rPr>
          <w:rFonts w:ascii="Garamond" w:eastAsia="Calibri" w:hAnsi="Garamond" w:cs="Times New Roman"/>
          <w:i/>
        </w:rPr>
        <w:t xml:space="preserve"> of Sounds’. </w:t>
      </w:r>
      <w:r w:rsidRPr="003037D2">
        <w:rPr>
          <w:rFonts w:ascii="Garamond" w:eastAsia="Calibri" w:hAnsi="Garamond" w:cs="Times New Roman"/>
        </w:rPr>
        <w:t xml:space="preserve">He explains that echoes were much harder to achieve than ‘the </w:t>
      </w:r>
      <w:proofErr w:type="spellStart"/>
      <w:r w:rsidRPr="003037D2">
        <w:rPr>
          <w:rFonts w:ascii="Garamond" w:eastAsia="Calibri" w:hAnsi="Garamond" w:cs="Times New Roman"/>
          <w:i/>
        </w:rPr>
        <w:t>Reflexion</w:t>
      </w:r>
      <w:proofErr w:type="spellEnd"/>
      <w:r w:rsidRPr="003037D2">
        <w:rPr>
          <w:rFonts w:ascii="Garamond" w:eastAsia="Calibri" w:hAnsi="Garamond" w:cs="Times New Roman"/>
          <w:i/>
        </w:rPr>
        <w:t xml:space="preserve"> </w:t>
      </w:r>
      <w:r w:rsidRPr="003037D2">
        <w:rPr>
          <w:rFonts w:ascii="Garamond" w:eastAsia="Calibri" w:hAnsi="Garamond" w:cs="Times New Roman"/>
        </w:rPr>
        <w:t xml:space="preserve">of </w:t>
      </w:r>
      <w:r w:rsidRPr="003037D2">
        <w:rPr>
          <w:rFonts w:ascii="Garamond" w:eastAsia="Calibri" w:hAnsi="Garamond" w:cs="Times New Roman"/>
          <w:i/>
        </w:rPr>
        <w:t xml:space="preserve">Species Visible, </w:t>
      </w:r>
      <w:proofErr w:type="spellStart"/>
      <w:r w:rsidRPr="003037D2">
        <w:rPr>
          <w:rFonts w:ascii="Garamond" w:eastAsia="Calibri" w:hAnsi="Garamond" w:cs="Times New Roman"/>
        </w:rPr>
        <w:t>Mirrours</w:t>
      </w:r>
      <w:proofErr w:type="spellEnd"/>
      <w:r w:rsidRPr="003037D2">
        <w:rPr>
          <w:rFonts w:ascii="Garamond" w:eastAsia="Calibri" w:hAnsi="Garamond" w:cs="Times New Roman"/>
        </w:rPr>
        <w:t xml:space="preserve">… because the </w:t>
      </w:r>
      <w:r w:rsidRPr="003037D2">
        <w:rPr>
          <w:rFonts w:ascii="Garamond" w:eastAsia="Calibri" w:hAnsi="Garamond" w:cs="Times New Roman"/>
          <w:i/>
        </w:rPr>
        <w:t xml:space="preserve">Sound </w:t>
      </w:r>
      <w:r w:rsidRPr="003037D2">
        <w:rPr>
          <w:rFonts w:ascii="Garamond" w:eastAsia="Calibri" w:hAnsi="Garamond" w:cs="Times New Roman"/>
        </w:rPr>
        <w:t>filling great Spaces in Arched Lines, cannot be so guided’.</w:t>
      </w:r>
      <w:r w:rsidRPr="003037D2">
        <w:rPr>
          <w:rFonts w:ascii="Garamond" w:eastAsia="Calibri" w:hAnsi="Garamond" w:cs="Times New Roman"/>
          <w:vertAlign w:val="superscript"/>
        </w:rPr>
        <w:footnoteReference w:id="759"/>
      </w:r>
      <w:r w:rsidRPr="003037D2">
        <w:rPr>
          <w:rFonts w:ascii="Garamond" w:eastAsia="Calibri" w:hAnsi="Garamond" w:cs="Times New Roman"/>
        </w:rPr>
        <w:t xml:space="preserve"> Donne taps into a childish thirst for knowledge, linking it to the mysticism of the echo: </w:t>
      </w:r>
    </w:p>
    <w:p w14:paraId="3F0C7C7D" w14:textId="77777777" w:rsidR="00162224" w:rsidRPr="003037D2" w:rsidRDefault="00162224" w:rsidP="00162224">
      <w:pPr>
        <w:ind w:left="567" w:right="567"/>
        <w:jc w:val="both"/>
        <w:rPr>
          <w:rFonts w:ascii="Garamond" w:eastAsia="Calibri" w:hAnsi="Garamond" w:cs="Times New Roman"/>
        </w:rPr>
      </w:pPr>
      <w:r w:rsidRPr="003037D2">
        <w:rPr>
          <w:rFonts w:ascii="Garamond" w:eastAsia="Calibri" w:hAnsi="Garamond" w:cs="Times New Roman"/>
        </w:rPr>
        <w:t xml:space="preserve">as we harken with some earnestness, and some admiration at an </w:t>
      </w:r>
      <w:proofErr w:type="spellStart"/>
      <w:r w:rsidRPr="003037D2">
        <w:rPr>
          <w:rFonts w:ascii="Garamond" w:eastAsia="Calibri" w:hAnsi="Garamond" w:cs="Times New Roman"/>
        </w:rPr>
        <w:t>Eccho</w:t>
      </w:r>
      <w:proofErr w:type="spellEnd"/>
      <w:r w:rsidRPr="003037D2">
        <w:rPr>
          <w:rFonts w:ascii="Garamond" w:eastAsia="Calibri" w:hAnsi="Garamond" w:cs="Times New Roman"/>
        </w:rPr>
        <w:t xml:space="preserve">, when perchance we </w:t>
      </w:r>
      <w:proofErr w:type="spellStart"/>
      <w:r w:rsidRPr="003037D2">
        <w:rPr>
          <w:rFonts w:ascii="Garamond" w:eastAsia="Calibri" w:hAnsi="Garamond" w:cs="Times New Roman"/>
        </w:rPr>
        <w:t>doe</w:t>
      </w:r>
      <w:proofErr w:type="spellEnd"/>
      <w:r w:rsidRPr="003037D2">
        <w:rPr>
          <w:rFonts w:ascii="Garamond" w:eastAsia="Calibri" w:hAnsi="Garamond" w:cs="Times New Roman"/>
        </w:rPr>
        <w:t xml:space="preserve"> not understand the voice that occasioned that </w:t>
      </w:r>
      <w:proofErr w:type="spellStart"/>
      <w:r w:rsidRPr="003037D2">
        <w:rPr>
          <w:rFonts w:ascii="Garamond" w:eastAsia="Calibri" w:hAnsi="Garamond" w:cs="Times New Roman"/>
        </w:rPr>
        <w:t>Eccho</w:t>
      </w:r>
      <w:proofErr w:type="spellEnd"/>
      <w:r w:rsidRPr="003037D2">
        <w:rPr>
          <w:rFonts w:ascii="Garamond" w:eastAsia="Calibri" w:hAnsi="Garamond" w:cs="Times New Roman"/>
        </w:rPr>
        <w:t xml:space="preserve">; so </w:t>
      </w:r>
      <w:proofErr w:type="spellStart"/>
      <w:r w:rsidRPr="003037D2">
        <w:rPr>
          <w:rFonts w:ascii="Garamond" w:eastAsia="Calibri" w:hAnsi="Garamond" w:cs="Times New Roman"/>
        </w:rPr>
        <w:t>doe</w:t>
      </w:r>
      <w:proofErr w:type="spellEnd"/>
      <w:r w:rsidRPr="003037D2">
        <w:rPr>
          <w:rFonts w:ascii="Garamond" w:eastAsia="Calibri" w:hAnsi="Garamond" w:cs="Times New Roman"/>
        </w:rPr>
        <w:t xml:space="preserve"> the obedient children of God apply themselves to the </w:t>
      </w:r>
      <w:proofErr w:type="spellStart"/>
      <w:r w:rsidRPr="003037D2">
        <w:rPr>
          <w:rFonts w:ascii="Garamond" w:eastAsia="Calibri" w:hAnsi="Garamond" w:cs="Times New Roman"/>
        </w:rPr>
        <w:t>Eccho</w:t>
      </w:r>
      <w:proofErr w:type="spellEnd"/>
      <w:r w:rsidRPr="003037D2">
        <w:rPr>
          <w:rFonts w:ascii="Garamond" w:eastAsia="Calibri" w:hAnsi="Garamond" w:cs="Times New Roman"/>
        </w:rPr>
        <w:t xml:space="preserve"> of his Church, when perchance otherwise, they would </w:t>
      </w:r>
      <w:proofErr w:type="spellStart"/>
      <w:r w:rsidRPr="003037D2">
        <w:rPr>
          <w:rFonts w:ascii="Garamond" w:eastAsia="Calibri" w:hAnsi="Garamond" w:cs="Times New Roman"/>
        </w:rPr>
        <w:t>lesse</w:t>
      </w:r>
      <w:proofErr w:type="spellEnd"/>
      <w:r w:rsidRPr="003037D2">
        <w:rPr>
          <w:rFonts w:ascii="Garamond" w:eastAsia="Calibri" w:hAnsi="Garamond" w:cs="Times New Roman"/>
        </w:rPr>
        <w:t xml:space="preserve"> understand the voice of God, in his scriptures, if that voice were not redoubled to them.</w:t>
      </w:r>
      <w:r w:rsidRPr="003037D2">
        <w:rPr>
          <w:rFonts w:ascii="Garamond" w:eastAsia="Calibri" w:hAnsi="Garamond" w:cs="Times New Roman"/>
          <w:vertAlign w:val="superscript"/>
        </w:rPr>
        <w:footnoteReference w:id="760"/>
      </w:r>
    </w:p>
    <w:p w14:paraId="5D109928" w14:textId="77777777" w:rsidR="00162224" w:rsidRPr="003037D2" w:rsidRDefault="00162224" w:rsidP="00162224">
      <w:pPr>
        <w:spacing w:line="360" w:lineRule="auto"/>
        <w:ind w:left="567" w:right="567"/>
        <w:jc w:val="both"/>
        <w:rPr>
          <w:rFonts w:ascii="Garamond" w:eastAsia="Calibri" w:hAnsi="Garamond" w:cs="Times New Roman"/>
        </w:rPr>
      </w:pPr>
      <w:r w:rsidRPr="003037D2">
        <w:rPr>
          <w:rFonts w:ascii="Garamond" w:eastAsia="Calibri" w:hAnsi="Garamond" w:cs="Times New Roman"/>
        </w:rPr>
        <w:t xml:space="preserve"> </w:t>
      </w:r>
    </w:p>
    <w:p w14:paraId="60D073E3" w14:textId="77777777" w:rsidR="00162224" w:rsidRPr="003037D2" w:rsidRDefault="00162224" w:rsidP="00667CD5">
      <w:pPr>
        <w:spacing w:line="360" w:lineRule="auto"/>
        <w:rPr>
          <w:rFonts w:ascii="Garamond" w:eastAsia="Calibri" w:hAnsi="Garamond" w:cs="Times New Roman"/>
        </w:rPr>
      </w:pPr>
      <w:r w:rsidRPr="003037D2">
        <w:rPr>
          <w:rFonts w:ascii="Garamond" w:eastAsia="Calibri" w:hAnsi="Garamond" w:cs="Times New Roman"/>
        </w:rPr>
        <w:t xml:space="preserve">This invokes the physical reality of the chapel space, vaulted and echoing. Donne makes this attribute a synecdoche for the communal and educational functions of the church. Several times in the scientific treatise </w:t>
      </w:r>
      <w:r w:rsidRPr="003037D2">
        <w:rPr>
          <w:rFonts w:ascii="Garamond" w:eastAsia="Calibri" w:hAnsi="Garamond" w:cs="Times New Roman"/>
          <w:i/>
        </w:rPr>
        <w:t xml:space="preserve">Sylva </w:t>
      </w:r>
      <w:proofErr w:type="spellStart"/>
      <w:r w:rsidRPr="003037D2">
        <w:rPr>
          <w:rFonts w:ascii="Garamond" w:eastAsia="Calibri" w:hAnsi="Garamond" w:cs="Times New Roman"/>
          <w:i/>
        </w:rPr>
        <w:t>Sylvarum</w:t>
      </w:r>
      <w:proofErr w:type="spellEnd"/>
      <w:r w:rsidRPr="003037D2">
        <w:rPr>
          <w:rFonts w:ascii="Garamond" w:eastAsia="Calibri" w:hAnsi="Garamond" w:cs="Times New Roman"/>
          <w:i/>
        </w:rPr>
        <w:t xml:space="preserve">, </w:t>
      </w:r>
      <w:r w:rsidRPr="003037D2">
        <w:rPr>
          <w:rFonts w:ascii="Garamond" w:eastAsia="Calibri" w:hAnsi="Garamond" w:cs="Times New Roman"/>
        </w:rPr>
        <w:t xml:space="preserve">Francis Bacon uses the example of the preacher in the church to explain an attribute of sound: </w:t>
      </w:r>
    </w:p>
    <w:p w14:paraId="37FABBEF" w14:textId="77777777" w:rsidR="00162224" w:rsidRPr="003037D2" w:rsidRDefault="00162224" w:rsidP="00667CD5">
      <w:pPr>
        <w:shd w:val="clear" w:color="auto" w:fill="FFFFFF"/>
        <w:spacing w:after="100" w:afterAutospacing="1"/>
        <w:ind w:left="567"/>
        <w:rPr>
          <w:rFonts w:ascii="Garamond" w:eastAsia="Times New Roman" w:hAnsi="Garamond" w:cs="Times New Roman"/>
          <w:color w:val="000000"/>
          <w:lang w:eastAsia="en-GB"/>
        </w:rPr>
      </w:pPr>
      <w:r w:rsidRPr="003037D2">
        <w:rPr>
          <w:rFonts w:ascii="Garamond" w:eastAsia="Times New Roman" w:hAnsi="Garamond" w:cs="Times New Roman"/>
          <w:color w:val="000000"/>
          <w:lang w:eastAsia="en-GB"/>
        </w:rPr>
        <w:t xml:space="preserve">Over-great Distance </w:t>
      </w:r>
      <w:proofErr w:type="spellStart"/>
      <w:r w:rsidRPr="003037D2">
        <w:rPr>
          <w:rFonts w:ascii="Garamond" w:eastAsia="Times New Roman" w:hAnsi="Garamond" w:cs="Times New Roman"/>
          <w:color w:val="000000"/>
          <w:lang w:eastAsia="en-GB"/>
        </w:rPr>
        <w:t>confoundeth</w:t>
      </w:r>
      <w:proofErr w:type="spellEnd"/>
      <w:r w:rsidRPr="003037D2">
        <w:rPr>
          <w:rFonts w:ascii="Garamond" w:eastAsia="Times New Roman" w:hAnsi="Garamond" w:cs="Times New Roman"/>
          <w:color w:val="000000"/>
          <w:lang w:eastAsia="en-GB"/>
        </w:rPr>
        <w:t xml:space="preserve"> the </w:t>
      </w:r>
      <w:r w:rsidRPr="003037D2">
        <w:rPr>
          <w:rFonts w:ascii="Garamond" w:eastAsia="Times New Roman" w:hAnsi="Garamond" w:cs="Times New Roman"/>
          <w:i/>
          <w:iCs/>
          <w:color w:val="000000"/>
          <w:lang w:eastAsia="en-GB"/>
        </w:rPr>
        <w:t>Articulation</w:t>
      </w:r>
      <w:r w:rsidRPr="003037D2">
        <w:rPr>
          <w:rFonts w:ascii="Garamond" w:eastAsia="Times New Roman" w:hAnsi="Garamond" w:cs="Times New Roman"/>
          <w:color w:val="000000"/>
          <w:lang w:eastAsia="en-GB"/>
        </w:rPr>
        <w:t> of </w:t>
      </w:r>
      <w:r w:rsidRPr="003037D2">
        <w:rPr>
          <w:rFonts w:ascii="Garamond" w:eastAsia="Times New Roman" w:hAnsi="Garamond" w:cs="Times New Roman"/>
          <w:i/>
          <w:iCs/>
          <w:color w:val="000000"/>
          <w:lang w:eastAsia="en-GB"/>
        </w:rPr>
        <w:t>Sounds;</w:t>
      </w:r>
      <w:r w:rsidRPr="003037D2">
        <w:rPr>
          <w:rFonts w:ascii="Garamond" w:eastAsia="Times New Roman" w:hAnsi="Garamond" w:cs="Times New Roman"/>
          <w:color w:val="000000"/>
          <w:lang w:eastAsia="en-GB"/>
        </w:rPr>
        <w:t xml:space="preserve"> As we see, that you may </w:t>
      </w:r>
      <w:proofErr w:type="spellStart"/>
      <w:r w:rsidRPr="003037D2">
        <w:rPr>
          <w:rFonts w:ascii="Garamond" w:eastAsia="Times New Roman" w:hAnsi="Garamond" w:cs="Times New Roman"/>
          <w:color w:val="000000"/>
          <w:lang w:eastAsia="en-GB"/>
        </w:rPr>
        <w:t>heare</w:t>
      </w:r>
      <w:proofErr w:type="spellEnd"/>
      <w:r w:rsidRPr="003037D2">
        <w:rPr>
          <w:rFonts w:ascii="Garamond" w:eastAsia="Times New Roman" w:hAnsi="Garamond" w:cs="Times New Roman"/>
          <w:color w:val="000000"/>
          <w:lang w:eastAsia="en-GB"/>
        </w:rPr>
        <w:t xml:space="preserve"> the </w:t>
      </w:r>
      <w:r w:rsidRPr="003037D2">
        <w:rPr>
          <w:rFonts w:ascii="Garamond" w:eastAsia="Times New Roman" w:hAnsi="Garamond" w:cs="Times New Roman"/>
          <w:i/>
          <w:iCs/>
          <w:color w:val="000000"/>
          <w:lang w:eastAsia="en-GB"/>
        </w:rPr>
        <w:t>Sound</w:t>
      </w:r>
      <w:r w:rsidRPr="003037D2">
        <w:rPr>
          <w:rFonts w:ascii="Garamond" w:eastAsia="Times New Roman" w:hAnsi="Garamond" w:cs="Times New Roman"/>
          <w:color w:val="000000"/>
          <w:lang w:eastAsia="en-GB"/>
        </w:rPr>
        <w:t xml:space="preserve"> of a Preachers voice... when you cannot distinguish what he saith…. It hath </w:t>
      </w:r>
      <w:proofErr w:type="spellStart"/>
      <w:r w:rsidRPr="003037D2">
        <w:rPr>
          <w:rFonts w:ascii="Garamond" w:eastAsia="Times New Roman" w:hAnsi="Garamond" w:cs="Times New Roman"/>
          <w:color w:val="000000"/>
          <w:lang w:eastAsia="en-GB"/>
        </w:rPr>
        <w:t>beene</w:t>
      </w:r>
      <w:proofErr w:type="spellEnd"/>
      <w:r w:rsidRPr="003037D2">
        <w:rPr>
          <w:rFonts w:ascii="Garamond" w:eastAsia="Times New Roman" w:hAnsi="Garamond" w:cs="Times New Roman"/>
          <w:color w:val="000000"/>
          <w:lang w:eastAsia="en-GB"/>
        </w:rPr>
        <w:t xml:space="preserve"> </w:t>
      </w:r>
      <w:proofErr w:type="spellStart"/>
      <w:r w:rsidRPr="003037D2">
        <w:rPr>
          <w:rFonts w:ascii="Garamond" w:eastAsia="Times New Roman" w:hAnsi="Garamond" w:cs="Times New Roman"/>
          <w:color w:val="000000"/>
          <w:lang w:eastAsia="en-GB"/>
        </w:rPr>
        <w:t>obserued</w:t>
      </w:r>
      <w:proofErr w:type="spellEnd"/>
      <w:r w:rsidRPr="003037D2">
        <w:rPr>
          <w:rFonts w:ascii="Garamond" w:eastAsia="Times New Roman" w:hAnsi="Garamond" w:cs="Times New Roman"/>
          <w:color w:val="000000"/>
          <w:lang w:eastAsia="en-GB"/>
        </w:rPr>
        <w:t>, that… in a </w:t>
      </w:r>
      <w:r w:rsidRPr="003037D2">
        <w:rPr>
          <w:rFonts w:ascii="Garamond" w:eastAsia="Times New Roman" w:hAnsi="Garamond" w:cs="Times New Roman"/>
          <w:i/>
          <w:iCs/>
          <w:color w:val="000000"/>
          <w:lang w:eastAsia="en-GB"/>
        </w:rPr>
        <w:t>Chappell,</w:t>
      </w:r>
      <w:r w:rsidRPr="003037D2">
        <w:rPr>
          <w:rFonts w:ascii="Garamond" w:eastAsia="Times New Roman" w:hAnsi="Garamond" w:cs="Times New Roman"/>
          <w:color w:val="000000"/>
          <w:lang w:eastAsia="en-GB"/>
        </w:rPr>
        <w:t> </w:t>
      </w:r>
      <w:proofErr w:type="gramStart"/>
      <w:r w:rsidRPr="003037D2">
        <w:rPr>
          <w:rFonts w:ascii="Garamond" w:eastAsia="Times New Roman" w:hAnsi="Garamond" w:cs="Times New Roman"/>
          <w:color w:val="000000"/>
          <w:lang w:eastAsia="en-GB"/>
        </w:rPr>
        <w:t>Vaulted</w:t>
      </w:r>
      <w:proofErr w:type="gramEnd"/>
      <w:r w:rsidRPr="003037D2">
        <w:rPr>
          <w:rFonts w:ascii="Garamond" w:eastAsia="Times New Roman" w:hAnsi="Garamond" w:cs="Times New Roman"/>
          <w:color w:val="000000"/>
          <w:lang w:eastAsia="en-GB"/>
        </w:rPr>
        <w:t xml:space="preserve"> below, and Vaulted likewise in the </w:t>
      </w:r>
      <w:proofErr w:type="spellStart"/>
      <w:r w:rsidRPr="003037D2">
        <w:rPr>
          <w:rFonts w:ascii="Garamond" w:eastAsia="Times New Roman" w:hAnsi="Garamond" w:cs="Times New Roman"/>
          <w:color w:val="000000"/>
          <w:lang w:eastAsia="en-GB"/>
        </w:rPr>
        <w:t>Roofe</w:t>
      </w:r>
      <w:proofErr w:type="spellEnd"/>
      <w:r w:rsidRPr="003037D2">
        <w:rPr>
          <w:rFonts w:ascii="Garamond" w:eastAsia="Times New Roman" w:hAnsi="Garamond" w:cs="Times New Roman"/>
          <w:color w:val="000000"/>
          <w:lang w:eastAsia="en-GB"/>
        </w:rPr>
        <w:t>, a Preacher cannot be heard so well, as in the like Places not so Vaulted… the </w:t>
      </w:r>
      <w:r w:rsidRPr="003037D2">
        <w:rPr>
          <w:rFonts w:ascii="Garamond" w:eastAsia="Times New Roman" w:hAnsi="Garamond" w:cs="Times New Roman"/>
          <w:i/>
          <w:iCs/>
          <w:color w:val="000000"/>
          <w:lang w:eastAsia="en-GB"/>
        </w:rPr>
        <w:t>Articulate Sounds</w:t>
      </w:r>
      <w:r w:rsidRPr="003037D2">
        <w:rPr>
          <w:rFonts w:ascii="Garamond" w:eastAsia="Times New Roman" w:hAnsi="Garamond" w:cs="Times New Roman"/>
          <w:color w:val="000000"/>
          <w:lang w:eastAsia="en-GB"/>
        </w:rPr>
        <w:t> are more confused, though the Grosse of the </w:t>
      </w:r>
      <w:r w:rsidRPr="003037D2">
        <w:rPr>
          <w:rFonts w:ascii="Garamond" w:eastAsia="Times New Roman" w:hAnsi="Garamond" w:cs="Times New Roman"/>
          <w:i/>
          <w:iCs/>
          <w:color w:val="000000"/>
          <w:lang w:eastAsia="en-GB"/>
        </w:rPr>
        <w:t>Sound</w:t>
      </w:r>
      <w:r w:rsidRPr="003037D2">
        <w:rPr>
          <w:rFonts w:ascii="Garamond" w:eastAsia="Times New Roman" w:hAnsi="Garamond" w:cs="Times New Roman"/>
          <w:color w:val="000000"/>
          <w:lang w:eastAsia="en-GB"/>
        </w:rPr>
        <w:t> be greater.</w:t>
      </w:r>
      <w:r w:rsidRPr="003037D2">
        <w:rPr>
          <w:rFonts w:ascii="Garamond" w:eastAsia="Times New Roman" w:hAnsi="Garamond" w:cs="Times New Roman"/>
          <w:color w:val="000000"/>
          <w:vertAlign w:val="superscript"/>
          <w:lang w:eastAsia="en-GB"/>
        </w:rPr>
        <w:footnoteReference w:id="761"/>
      </w:r>
      <w:r w:rsidRPr="003037D2">
        <w:rPr>
          <w:rFonts w:ascii="Garamond" w:eastAsia="Times New Roman" w:hAnsi="Garamond" w:cs="Times New Roman"/>
          <w:color w:val="000000"/>
          <w:lang w:eastAsia="en-GB"/>
        </w:rPr>
        <w:t xml:space="preserve"> </w:t>
      </w:r>
    </w:p>
    <w:p w14:paraId="29088BF4" w14:textId="77777777" w:rsidR="00162224" w:rsidRPr="003037D2" w:rsidRDefault="00162224" w:rsidP="00162224">
      <w:pPr>
        <w:shd w:val="clear" w:color="auto" w:fill="FFFFFF"/>
        <w:spacing w:before="100" w:beforeAutospacing="1" w:after="100" w:afterAutospacing="1" w:line="360" w:lineRule="auto"/>
        <w:rPr>
          <w:rFonts w:ascii="Garamond" w:eastAsia="Times New Roman" w:hAnsi="Garamond" w:cs="Times New Roman"/>
          <w:lang w:eastAsia="en-GB"/>
        </w:rPr>
      </w:pPr>
      <w:r w:rsidRPr="003037D2">
        <w:rPr>
          <w:rFonts w:ascii="Garamond" w:eastAsia="Times New Roman" w:hAnsi="Garamond" w:cs="Times New Roman"/>
          <w:color w:val="000000"/>
          <w:lang w:eastAsia="en-GB"/>
        </w:rPr>
        <w:t xml:space="preserve">Bacon’s readers were clearly familiar with how an echoing church could either amplify or distort the sound of the preacher’s voice. Unfortunately, we currently have no acoustic model of the Whitehall chapel, like John N. </w:t>
      </w:r>
      <w:proofErr w:type="spellStart"/>
      <w:r w:rsidRPr="003037D2">
        <w:rPr>
          <w:rFonts w:ascii="Garamond" w:eastAsia="Times New Roman" w:hAnsi="Garamond" w:cs="Times New Roman"/>
          <w:color w:val="000000"/>
          <w:lang w:eastAsia="en-GB"/>
        </w:rPr>
        <w:t>Wall’s</w:t>
      </w:r>
      <w:proofErr w:type="spellEnd"/>
      <w:r w:rsidRPr="003037D2">
        <w:rPr>
          <w:rFonts w:ascii="Garamond" w:eastAsia="Times New Roman" w:hAnsi="Garamond" w:cs="Times New Roman"/>
          <w:color w:val="000000"/>
          <w:lang w:eastAsia="en-GB"/>
        </w:rPr>
        <w:t xml:space="preserve"> of St. Paul’s Cross, to deduce how echoing this space may have been.</w:t>
      </w:r>
      <w:r w:rsidRPr="003037D2">
        <w:rPr>
          <w:rStyle w:val="FootnoteReference"/>
          <w:rFonts w:ascii="Garamond" w:eastAsia="Times New Roman" w:hAnsi="Garamond" w:cs="Times New Roman"/>
          <w:color w:val="000000"/>
          <w:lang w:eastAsia="en-GB"/>
        </w:rPr>
        <w:footnoteReference w:id="762"/>
      </w:r>
      <w:r w:rsidRPr="003037D2">
        <w:rPr>
          <w:rFonts w:ascii="Garamond" w:eastAsia="Times New Roman" w:hAnsi="Garamond" w:cs="Times New Roman"/>
          <w:color w:val="000000"/>
          <w:lang w:eastAsia="en-GB"/>
        </w:rPr>
        <w:t xml:space="preserve"> </w:t>
      </w:r>
      <w:r w:rsidRPr="003037D2">
        <w:rPr>
          <w:rFonts w:ascii="Garamond" w:eastAsia="Times New Roman" w:hAnsi="Garamond" w:cs="Times New Roman"/>
          <w:lang w:eastAsia="en-GB"/>
        </w:rPr>
        <w:t>Protestant liturgical practice also included ‘</w:t>
      </w:r>
      <w:proofErr w:type="gramStart"/>
      <w:r w:rsidRPr="003037D2">
        <w:rPr>
          <w:rFonts w:ascii="Garamond" w:eastAsia="Times New Roman" w:hAnsi="Garamond" w:cs="Times New Roman"/>
          <w:lang w:eastAsia="en-GB"/>
        </w:rPr>
        <w:t>echoes’</w:t>
      </w:r>
      <w:proofErr w:type="gramEnd"/>
      <w:r w:rsidRPr="003037D2">
        <w:rPr>
          <w:rFonts w:ascii="Garamond" w:eastAsia="Times New Roman" w:hAnsi="Garamond" w:cs="Times New Roman"/>
          <w:lang w:eastAsia="en-GB"/>
        </w:rPr>
        <w:t xml:space="preserve">. Psalms would often be ‘lined-out’ so that the illiterate could participate in worship, and Richard Bernard that advised preachers use call and response to teach the congregation their catechism: ‘Let the people then </w:t>
      </w:r>
      <w:proofErr w:type="spellStart"/>
      <w:r w:rsidRPr="003037D2">
        <w:rPr>
          <w:rFonts w:ascii="Garamond" w:eastAsia="Times New Roman" w:hAnsi="Garamond" w:cs="Times New Roman"/>
          <w:lang w:eastAsia="en-GB"/>
        </w:rPr>
        <w:t>learne</w:t>
      </w:r>
      <w:proofErr w:type="spellEnd"/>
      <w:r w:rsidRPr="003037D2">
        <w:rPr>
          <w:rFonts w:ascii="Garamond" w:eastAsia="Times New Roman" w:hAnsi="Garamond" w:cs="Times New Roman"/>
          <w:lang w:eastAsia="en-GB"/>
        </w:rPr>
        <w:t xml:space="preserve"> the </w:t>
      </w:r>
      <w:proofErr w:type="spellStart"/>
      <w:r w:rsidRPr="003037D2">
        <w:rPr>
          <w:rFonts w:ascii="Garamond" w:eastAsia="Times New Roman" w:hAnsi="Garamond" w:cs="Times New Roman"/>
          <w:lang w:eastAsia="en-GB"/>
        </w:rPr>
        <w:lastRenderedPageBreak/>
        <w:t>Catechisme</w:t>
      </w:r>
      <w:proofErr w:type="spellEnd"/>
      <w:r w:rsidRPr="003037D2">
        <w:rPr>
          <w:rFonts w:ascii="Garamond" w:eastAsia="Times New Roman" w:hAnsi="Garamond" w:cs="Times New Roman"/>
          <w:lang w:eastAsia="en-GB"/>
        </w:rPr>
        <w:t xml:space="preserve"> word for word, and answer to every question’.</w:t>
      </w:r>
      <w:r w:rsidRPr="003037D2">
        <w:rPr>
          <w:rFonts w:ascii="Garamond" w:eastAsia="Times New Roman" w:hAnsi="Garamond" w:cs="Times New Roman"/>
          <w:vertAlign w:val="superscript"/>
          <w:lang w:eastAsia="en-GB"/>
        </w:rPr>
        <w:footnoteReference w:id="763"/>
      </w:r>
      <w:r w:rsidRPr="003037D2">
        <w:rPr>
          <w:rFonts w:ascii="Garamond" w:eastAsia="Times New Roman" w:hAnsi="Garamond" w:cs="Times New Roman"/>
          <w:lang w:eastAsia="en-GB"/>
        </w:rPr>
        <w:t xml:space="preserve"> This is an active form of worship, to which the congregation must ‘harken with some earnestness’.</w:t>
      </w:r>
      <w:r w:rsidRPr="003037D2">
        <w:rPr>
          <w:rFonts w:ascii="Garamond" w:eastAsia="Times New Roman" w:hAnsi="Garamond" w:cs="Times New Roman"/>
          <w:vertAlign w:val="superscript"/>
          <w:lang w:eastAsia="en-GB"/>
        </w:rPr>
        <w:footnoteReference w:id="764"/>
      </w:r>
      <w:r w:rsidRPr="003037D2">
        <w:rPr>
          <w:rFonts w:ascii="Garamond" w:eastAsia="Times New Roman" w:hAnsi="Garamond" w:cs="Times New Roman"/>
          <w:lang w:eastAsia="en-GB"/>
        </w:rPr>
        <w:t xml:space="preserve"> </w:t>
      </w:r>
    </w:p>
    <w:p w14:paraId="47EDD819" w14:textId="77777777" w:rsidR="00162224" w:rsidRPr="003037D2" w:rsidRDefault="00162224" w:rsidP="00162224">
      <w:pPr>
        <w:shd w:val="clear" w:color="auto" w:fill="FFFFFF"/>
        <w:spacing w:before="100" w:beforeAutospacing="1" w:after="100" w:afterAutospacing="1" w:line="360" w:lineRule="auto"/>
        <w:rPr>
          <w:rFonts w:ascii="Garamond" w:eastAsia="Times New Roman" w:hAnsi="Garamond" w:cs="Times New Roman"/>
          <w:color w:val="000000"/>
          <w:lang w:eastAsia="en-GB"/>
        </w:rPr>
      </w:pPr>
    </w:p>
    <w:p w14:paraId="0A88035D" w14:textId="77777777" w:rsidR="00162224" w:rsidRPr="003037D2" w:rsidRDefault="00162224" w:rsidP="00667CD5">
      <w:pPr>
        <w:spacing w:line="360" w:lineRule="auto"/>
        <w:rPr>
          <w:rFonts w:ascii="Garamond" w:eastAsia="Calibri" w:hAnsi="Garamond" w:cs="Times New Roman"/>
        </w:rPr>
      </w:pPr>
      <w:r w:rsidRPr="003037D2">
        <w:rPr>
          <w:rFonts w:ascii="Garamond" w:eastAsia="Calibri" w:hAnsi="Garamond" w:cs="Times New Roman"/>
        </w:rPr>
        <w:tab/>
        <w:t xml:space="preserve">In the 1627 Whitehall sermon, Donne uses the motif of the echo to explain the relationship between hearing and feeling: </w:t>
      </w:r>
    </w:p>
    <w:p w14:paraId="1EF5B6D1" w14:textId="77777777" w:rsidR="00162224" w:rsidRPr="003037D2" w:rsidRDefault="00162224" w:rsidP="00162224">
      <w:pPr>
        <w:spacing w:after="200"/>
        <w:ind w:left="737" w:right="737"/>
        <w:jc w:val="both"/>
        <w:rPr>
          <w:rFonts w:ascii="Garamond" w:eastAsia="Calibri" w:hAnsi="Garamond" w:cs="Times New Roman"/>
        </w:rPr>
      </w:pPr>
      <w:r w:rsidRPr="003037D2">
        <w:rPr>
          <w:rFonts w:ascii="Garamond" w:eastAsia="Calibri" w:hAnsi="Garamond" w:cs="Times New Roman"/>
        </w:rPr>
        <w:t xml:space="preserve">The ear… is as the </w:t>
      </w:r>
      <w:proofErr w:type="spellStart"/>
      <w:r w:rsidRPr="003037D2">
        <w:rPr>
          <w:rFonts w:ascii="Garamond" w:eastAsia="Calibri" w:hAnsi="Garamond" w:cs="Times New Roman"/>
        </w:rPr>
        <w:t>clift</w:t>
      </w:r>
      <w:proofErr w:type="spellEnd"/>
      <w:r w:rsidRPr="003037D2">
        <w:rPr>
          <w:rFonts w:ascii="Garamond" w:eastAsia="Calibri" w:hAnsi="Garamond" w:cs="Times New Roman"/>
        </w:rPr>
        <w:t xml:space="preserve"> in the wall, that receives a voice, and then the echo is below, in the heart; for the most part, the heart affords a </w:t>
      </w:r>
      <w:proofErr w:type="spellStart"/>
      <w:r w:rsidRPr="003037D2">
        <w:rPr>
          <w:rFonts w:ascii="Garamond" w:eastAsia="Calibri" w:hAnsi="Garamond" w:cs="Times New Roman"/>
        </w:rPr>
        <w:t>returne</w:t>
      </w:r>
      <w:proofErr w:type="spellEnd"/>
      <w:r w:rsidRPr="003037D2">
        <w:rPr>
          <w:rFonts w:ascii="Garamond" w:eastAsia="Calibri" w:hAnsi="Garamond" w:cs="Times New Roman"/>
        </w:rPr>
        <w:t xml:space="preserve">, and an inclination to those things that are willingly received at the ear; the Echo </w:t>
      </w:r>
      <w:proofErr w:type="spellStart"/>
      <w:r w:rsidRPr="003037D2">
        <w:rPr>
          <w:rFonts w:ascii="Garamond" w:eastAsia="Calibri" w:hAnsi="Garamond" w:cs="Times New Roman"/>
        </w:rPr>
        <w:t>returnes</w:t>
      </w:r>
      <w:proofErr w:type="spellEnd"/>
      <w:r w:rsidRPr="003037D2">
        <w:rPr>
          <w:rFonts w:ascii="Garamond" w:eastAsia="Calibri" w:hAnsi="Garamond" w:cs="Times New Roman"/>
        </w:rPr>
        <w:t xml:space="preserve"> the last syllable; the heart concludes with his conclusions, whom we have been willing to hearken unto.</w:t>
      </w:r>
      <w:r w:rsidRPr="003037D2">
        <w:rPr>
          <w:rStyle w:val="FootnoteReference"/>
          <w:rFonts w:ascii="Garamond" w:eastAsia="Calibri" w:hAnsi="Garamond" w:cs="Times New Roman"/>
        </w:rPr>
        <w:footnoteReference w:id="765"/>
      </w:r>
      <w:r w:rsidRPr="003037D2">
        <w:rPr>
          <w:rFonts w:ascii="Garamond" w:eastAsia="Calibri" w:hAnsi="Garamond" w:cs="Times New Roman"/>
        </w:rPr>
        <w:t xml:space="preserve"> </w:t>
      </w:r>
    </w:p>
    <w:p w14:paraId="537333F6" w14:textId="77777777" w:rsidR="00162224" w:rsidRPr="003037D2" w:rsidRDefault="00162224" w:rsidP="00162224">
      <w:pPr>
        <w:spacing w:after="200" w:line="360" w:lineRule="auto"/>
        <w:rPr>
          <w:rFonts w:ascii="Garamond" w:eastAsia="Calibri" w:hAnsi="Garamond" w:cs="Times New Roman"/>
        </w:rPr>
      </w:pPr>
      <w:r w:rsidRPr="003037D2">
        <w:rPr>
          <w:rFonts w:ascii="Garamond" w:eastAsia="Calibri" w:hAnsi="Garamond" w:cs="Times New Roman"/>
        </w:rPr>
        <w:t xml:space="preserve">As well as an acoustic phenomenon, the echo occurs temporally. Donne </w:t>
      </w:r>
      <w:proofErr w:type="spellStart"/>
      <w:r w:rsidRPr="003037D2">
        <w:rPr>
          <w:rFonts w:ascii="Garamond" w:eastAsia="Calibri" w:hAnsi="Garamond" w:cs="Times New Roman"/>
        </w:rPr>
        <w:t>emphasises</w:t>
      </w:r>
      <w:proofErr w:type="spellEnd"/>
      <w:r w:rsidRPr="003037D2">
        <w:rPr>
          <w:rFonts w:ascii="Garamond" w:eastAsia="Calibri" w:hAnsi="Garamond" w:cs="Times New Roman"/>
        </w:rPr>
        <w:t xml:space="preserve"> the way the sound moves between the echo and the heart, following on from one another. In the repetition of the sound within the heart comes an accord with the originator of the sound. However, this is not thoughtless, rather, the ear must have ‘willingly received’ the message. The echo then responds to the ‘return’ from the heart, repeating again the ‘last syllable’ in a two-way exchange. Those listening in the space of Whitehall are explicitly cautioned upon ‘hearkening’ to the wrong voices – charged to stay away from ‘the </w:t>
      </w:r>
      <w:proofErr w:type="spellStart"/>
      <w:r w:rsidRPr="003037D2">
        <w:rPr>
          <w:rFonts w:ascii="Garamond" w:eastAsia="Calibri" w:hAnsi="Garamond" w:cs="Times New Roman"/>
        </w:rPr>
        <w:t>fogge</w:t>
      </w:r>
      <w:proofErr w:type="spellEnd"/>
      <w:r w:rsidRPr="003037D2">
        <w:rPr>
          <w:rFonts w:ascii="Garamond" w:eastAsia="Calibri" w:hAnsi="Garamond" w:cs="Times New Roman"/>
        </w:rPr>
        <w:t xml:space="preserve"> of blasphemers’. The nobility of the congregation makes them particularly susceptible to what they hear, as he counsels them ‘God hath imprinted in </w:t>
      </w:r>
      <w:proofErr w:type="spellStart"/>
      <w:r w:rsidRPr="003037D2">
        <w:rPr>
          <w:rFonts w:ascii="Garamond" w:eastAsia="Calibri" w:hAnsi="Garamond" w:cs="Times New Roman"/>
        </w:rPr>
        <w:t>thee</w:t>
      </w:r>
      <w:proofErr w:type="spellEnd"/>
      <w:r w:rsidRPr="003037D2">
        <w:rPr>
          <w:rFonts w:ascii="Garamond" w:eastAsia="Calibri" w:hAnsi="Garamond" w:cs="Times New Roman"/>
        </w:rPr>
        <w:t xml:space="preserve"> characters of a better office… As you have sparks of </w:t>
      </w:r>
      <w:proofErr w:type="spellStart"/>
      <w:r w:rsidRPr="003037D2">
        <w:rPr>
          <w:rFonts w:ascii="Garamond" w:eastAsia="Calibri" w:hAnsi="Garamond" w:cs="Times New Roman"/>
        </w:rPr>
        <w:t>Royaltie</w:t>
      </w:r>
      <w:proofErr w:type="spellEnd"/>
      <w:r w:rsidRPr="003037D2">
        <w:rPr>
          <w:rFonts w:ascii="Garamond" w:eastAsia="Calibri" w:hAnsi="Garamond" w:cs="Times New Roman"/>
        </w:rPr>
        <w:t xml:space="preserve"> in your </w:t>
      </w:r>
      <w:proofErr w:type="spellStart"/>
      <w:r w:rsidRPr="003037D2">
        <w:rPr>
          <w:rFonts w:ascii="Garamond" w:eastAsia="Calibri" w:hAnsi="Garamond" w:cs="Times New Roman"/>
        </w:rPr>
        <w:t>soules</w:t>
      </w:r>
      <w:proofErr w:type="spellEnd"/>
      <w:r w:rsidRPr="003037D2">
        <w:rPr>
          <w:rFonts w:ascii="Garamond" w:eastAsia="Calibri" w:hAnsi="Garamond" w:cs="Times New Roman"/>
        </w:rPr>
        <w:t xml:space="preserve">, take heed what you hear of State-government, as you have sparks of holy fire, and priesthood in your </w:t>
      </w:r>
      <w:proofErr w:type="spellStart"/>
      <w:r w:rsidRPr="003037D2">
        <w:rPr>
          <w:rFonts w:ascii="Garamond" w:eastAsia="Calibri" w:hAnsi="Garamond" w:cs="Times New Roman"/>
        </w:rPr>
        <w:t>soules</w:t>
      </w:r>
      <w:proofErr w:type="spellEnd"/>
      <w:r w:rsidRPr="003037D2">
        <w:rPr>
          <w:rFonts w:ascii="Garamond" w:eastAsia="Calibri" w:hAnsi="Garamond" w:cs="Times New Roman"/>
        </w:rPr>
        <w:t xml:space="preserve">, take heed what you </w:t>
      </w:r>
      <w:proofErr w:type="spellStart"/>
      <w:r w:rsidRPr="003037D2">
        <w:rPr>
          <w:rFonts w:ascii="Garamond" w:eastAsia="Calibri" w:hAnsi="Garamond" w:cs="Times New Roman"/>
        </w:rPr>
        <w:t>heare</w:t>
      </w:r>
      <w:proofErr w:type="spellEnd"/>
      <w:r w:rsidRPr="003037D2">
        <w:rPr>
          <w:rFonts w:ascii="Garamond" w:eastAsia="Calibri" w:hAnsi="Garamond" w:cs="Times New Roman"/>
        </w:rPr>
        <w:t xml:space="preserve"> of Church-government’.</w:t>
      </w:r>
      <w:r w:rsidRPr="003037D2">
        <w:rPr>
          <w:rStyle w:val="FootnoteReference"/>
          <w:rFonts w:ascii="Garamond" w:eastAsia="Calibri" w:hAnsi="Garamond" w:cs="Times New Roman"/>
        </w:rPr>
        <w:footnoteReference w:id="766"/>
      </w:r>
      <w:r w:rsidRPr="003037D2">
        <w:rPr>
          <w:rFonts w:ascii="Garamond" w:eastAsia="Calibri" w:hAnsi="Garamond" w:cs="Times New Roman"/>
        </w:rPr>
        <w:t xml:space="preserve"> These sparks are indicators of potential, either being developed into dangerous fires or holy ones. </w:t>
      </w:r>
    </w:p>
    <w:p w14:paraId="059D3B83" w14:textId="77777777" w:rsidR="00162224" w:rsidRPr="003037D2" w:rsidRDefault="00162224" w:rsidP="00162224">
      <w:pPr>
        <w:spacing w:after="200" w:line="360" w:lineRule="auto"/>
        <w:rPr>
          <w:rFonts w:ascii="Garamond" w:eastAsia="Calibri" w:hAnsi="Garamond" w:cs="Times New Roman"/>
        </w:rPr>
      </w:pPr>
    </w:p>
    <w:p w14:paraId="7C00CD94" w14:textId="77777777" w:rsidR="00162224" w:rsidRPr="003037D2" w:rsidRDefault="00162224" w:rsidP="00162224">
      <w:pPr>
        <w:spacing w:after="200" w:line="360" w:lineRule="auto"/>
        <w:rPr>
          <w:rFonts w:ascii="Garamond" w:eastAsia="Calibri" w:hAnsi="Garamond" w:cs="Times New Roman"/>
        </w:rPr>
      </w:pPr>
      <w:r w:rsidRPr="003037D2">
        <w:rPr>
          <w:rFonts w:ascii="Garamond" w:eastAsia="Calibri" w:hAnsi="Garamond" w:cs="Times New Roman"/>
        </w:rPr>
        <w:tab/>
        <w:t xml:space="preserve">The emphasis on repetition invoked by the focus on echoes is also applied to less positive aspects of human nature. In the 1624 sermon on Matthew, Donne again uses the metaphor of a house to explain the inherited nature of sins, declaring, ‘there are some sins so rooted, so rivetted in men, so incorporated, so consubstantiated in the soul, by habitual custom, as that those sins have contracted the nature of ancient </w:t>
      </w:r>
      <w:r w:rsidRPr="003037D2">
        <w:rPr>
          <w:rFonts w:ascii="Garamond" w:eastAsia="Calibri" w:hAnsi="Garamond" w:cs="Times New Roman"/>
        </w:rPr>
        <w:lastRenderedPageBreak/>
        <w:t xml:space="preserve">possessions. As some men call manners by their names, so sins have taken names from men and from places’. He gives the examples of Gehazi and Sodom, and then goes on describing in ever more painstaking detail ‘there are </w:t>
      </w:r>
      <w:proofErr w:type="spellStart"/>
      <w:r w:rsidRPr="003037D2">
        <w:rPr>
          <w:rFonts w:ascii="Garamond" w:eastAsia="Calibri" w:hAnsi="Garamond" w:cs="Times New Roman"/>
        </w:rPr>
        <w:t>sins</w:t>
      </w:r>
      <w:proofErr w:type="spellEnd"/>
      <w:r w:rsidRPr="003037D2">
        <w:rPr>
          <w:rFonts w:ascii="Garamond" w:eastAsia="Calibri" w:hAnsi="Garamond" w:cs="Times New Roman"/>
        </w:rPr>
        <w:t xml:space="preserve"> that run in names, in families, in blood; hereditary sins, entailed sins; and men do almost prove their gentry by those sins’.</w:t>
      </w:r>
      <w:r w:rsidRPr="003037D2">
        <w:rPr>
          <w:rStyle w:val="FootnoteReference"/>
          <w:rFonts w:ascii="Garamond" w:eastAsia="Calibri" w:hAnsi="Garamond" w:cs="Times New Roman"/>
        </w:rPr>
        <w:footnoteReference w:id="767"/>
      </w:r>
      <w:r w:rsidRPr="003037D2">
        <w:rPr>
          <w:rFonts w:ascii="Garamond" w:eastAsia="Calibri" w:hAnsi="Garamond" w:cs="Times New Roman"/>
        </w:rPr>
        <w:t xml:space="preserve"> Like acts of devotion, sins are repeated throughout the ages. I have previously discussed the place that genealogies held in early modern Bibles and almanacs. Here the same focus on mapping time through generations is given a moral bent. In the early modern period, individual identity was often predicated on knowing one’s ancestry. William </w:t>
      </w:r>
      <w:proofErr w:type="spellStart"/>
      <w:r w:rsidRPr="003037D2">
        <w:rPr>
          <w:rFonts w:ascii="Garamond" w:eastAsia="Calibri" w:hAnsi="Garamond" w:cs="Times New Roman"/>
        </w:rPr>
        <w:t>Higford’s</w:t>
      </w:r>
      <w:proofErr w:type="spellEnd"/>
      <w:r w:rsidRPr="003037D2">
        <w:rPr>
          <w:rFonts w:ascii="Garamond" w:eastAsia="Calibri" w:hAnsi="Garamond" w:cs="Times New Roman"/>
        </w:rPr>
        <w:t xml:space="preserve"> </w:t>
      </w:r>
      <w:r w:rsidRPr="003037D2">
        <w:rPr>
          <w:rFonts w:ascii="Garamond" w:eastAsia="Calibri" w:hAnsi="Garamond" w:cs="Times New Roman"/>
          <w:i/>
        </w:rPr>
        <w:t xml:space="preserve">Institutions of a Gentleman, or Advice to his Grandson in Three Parts </w:t>
      </w:r>
      <w:r w:rsidRPr="003037D2">
        <w:rPr>
          <w:rFonts w:ascii="Garamond" w:eastAsia="Calibri" w:hAnsi="Garamond" w:cs="Times New Roman"/>
        </w:rPr>
        <w:t xml:space="preserve">declares ‘to know your birth is to know a good part of yourself’, and that ‘your Ancestors... being in truth the very Nerves and Sinews of your estate, and the Conduits whereby it doth appear how their blood </w:t>
      </w:r>
      <w:proofErr w:type="spellStart"/>
      <w:r w:rsidRPr="003037D2">
        <w:rPr>
          <w:rFonts w:ascii="Garamond" w:eastAsia="Calibri" w:hAnsi="Garamond" w:cs="Times New Roman"/>
        </w:rPr>
        <w:t>runneth</w:t>
      </w:r>
      <w:proofErr w:type="spellEnd"/>
      <w:r w:rsidRPr="003037D2">
        <w:rPr>
          <w:rFonts w:ascii="Garamond" w:eastAsia="Calibri" w:hAnsi="Garamond" w:cs="Times New Roman"/>
        </w:rPr>
        <w:t xml:space="preserve"> in your veins’.</w:t>
      </w:r>
      <w:r w:rsidRPr="003037D2">
        <w:rPr>
          <w:rFonts w:ascii="Garamond" w:eastAsia="Calibri" w:hAnsi="Garamond" w:cs="Times New Roman"/>
          <w:vertAlign w:val="superscript"/>
        </w:rPr>
        <w:footnoteReference w:id="768"/>
      </w:r>
      <w:r w:rsidRPr="003037D2">
        <w:rPr>
          <w:rFonts w:ascii="Garamond" w:eastAsia="Calibri" w:hAnsi="Garamond" w:cs="Times New Roman"/>
        </w:rPr>
        <w:t xml:space="preserve"> </w:t>
      </w:r>
    </w:p>
    <w:p w14:paraId="45DBA16C" w14:textId="77777777" w:rsidR="00162224" w:rsidRPr="003037D2" w:rsidRDefault="00162224" w:rsidP="00162224">
      <w:pPr>
        <w:spacing w:after="200" w:line="360" w:lineRule="auto"/>
        <w:rPr>
          <w:rFonts w:ascii="Garamond" w:eastAsia="Calibri" w:hAnsi="Garamond" w:cs="Times New Roman"/>
        </w:rPr>
      </w:pPr>
    </w:p>
    <w:p w14:paraId="15CC936A" w14:textId="77777777" w:rsidR="00162224" w:rsidRPr="003037D2" w:rsidRDefault="00162224" w:rsidP="00162224">
      <w:pPr>
        <w:spacing w:after="200" w:line="360" w:lineRule="auto"/>
        <w:ind w:firstLine="720"/>
        <w:rPr>
          <w:rFonts w:ascii="Garamond" w:eastAsia="Calibri" w:hAnsi="Garamond" w:cs="Times New Roman"/>
        </w:rPr>
      </w:pPr>
      <w:r w:rsidRPr="003037D2">
        <w:rPr>
          <w:rFonts w:ascii="Garamond" w:eastAsia="Calibri" w:hAnsi="Garamond" w:cs="Times New Roman"/>
        </w:rPr>
        <w:t>Donne’s description of sins passing like houses and titles through generations would have been particularly resonant for his aristocratic audience at Whitehall. Indeed, the very space of the chapel was covered with the heraldic devices, as Henry VIII had decorated the stalls with carved ‘</w:t>
      </w:r>
      <w:proofErr w:type="spellStart"/>
      <w:r w:rsidRPr="003037D2">
        <w:rPr>
          <w:rFonts w:ascii="Garamond" w:eastAsia="Calibri" w:hAnsi="Garamond" w:cs="Times New Roman"/>
        </w:rPr>
        <w:t>beists</w:t>
      </w:r>
      <w:proofErr w:type="spellEnd"/>
      <w:r w:rsidRPr="003037D2">
        <w:rPr>
          <w:rFonts w:ascii="Garamond" w:eastAsia="Calibri" w:hAnsi="Garamond" w:cs="Times New Roman"/>
        </w:rPr>
        <w:t xml:space="preserve"> standing </w:t>
      </w:r>
      <w:proofErr w:type="spellStart"/>
      <w:r w:rsidRPr="003037D2">
        <w:rPr>
          <w:rFonts w:ascii="Garamond" w:eastAsia="Calibri" w:hAnsi="Garamond" w:cs="Times New Roman"/>
        </w:rPr>
        <w:t>apon</w:t>
      </w:r>
      <w:proofErr w:type="spellEnd"/>
      <w:r w:rsidRPr="003037D2">
        <w:rPr>
          <w:rFonts w:ascii="Garamond" w:eastAsia="Calibri" w:hAnsi="Garamond" w:cs="Times New Roman"/>
        </w:rPr>
        <w:t xml:space="preserve"> them’, garlands of Tudor roses, and 28 ‘</w:t>
      </w:r>
      <w:proofErr w:type="spellStart"/>
      <w:r w:rsidRPr="003037D2">
        <w:rPr>
          <w:rFonts w:ascii="Garamond" w:eastAsia="Calibri" w:hAnsi="Garamond" w:cs="Times New Roman"/>
        </w:rPr>
        <w:t>pannels</w:t>
      </w:r>
      <w:proofErr w:type="spellEnd"/>
      <w:r w:rsidRPr="003037D2">
        <w:rPr>
          <w:rFonts w:ascii="Garamond" w:eastAsia="Calibri" w:hAnsi="Garamond" w:cs="Times New Roman"/>
        </w:rPr>
        <w:t xml:space="preserve"> with the </w:t>
      </w:r>
      <w:proofErr w:type="spellStart"/>
      <w:r w:rsidRPr="003037D2">
        <w:rPr>
          <w:rFonts w:ascii="Garamond" w:eastAsia="Calibri" w:hAnsi="Garamond" w:cs="Times New Roman"/>
        </w:rPr>
        <w:t>proporsyon</w:t>
      </w:r>
      <w:proofErr w:type="spellEnd"/>
      <w:r w:rsidRPr="003037D2">
        <w:rPr>
          <w:rFonts w:ascii="Garamond" w:eastAsia="Calibri" w:hAnsi="Garamond" w:cs="Times New Roman"/>
        </w:rPr>
        <w:t xml:space="preserve"> of </w:t>
      </w:r>
      <w:proofErr w:type="spellStart"/>
      <w:r w:rsidRPr="003037D2">
        <w:rPr>
          <w:rFonts w:ascii="Garamond" w:eastAsia="Calibri" w:hAnsi="Garamond" w:cs="Times New Roman"/>
        </w:rPr>
        <w:t>kyngs</w:t>
      </w:r>
      <w:proofErr w:type="spellEnd"/>
      <w:r w:rsidRPr="003037D2">
        <w:rPr>
          <w:rFonts w:ascii="Garamond" w:eastAsia="Calibri" w:hAnsi="Garamond" w:cs="Times New Roman"/>
        </w:rPr>
        <w:t xml:space="preserve"> in them’.</w:t>
      </w:r>
      <w:r w:rsidRPr="003037D2">
        <w:rPr>
          <w:rFonts w:ascii="Garamond" w:eastAsia="Calibri" w:hAnsi="Garamond" w:cs="Times New Roman"/>
          <w:vertAlign w:val="superscript"/>
        </w:rPr>
        <w:footnoteReference w:id="769"/>
      </w:r>
      <w:r w:rsidRPr="003037D2">
        <w:rPr>
          <w:rFonts w:ascii="Garamond" w:eastAsia="Calibri" w:hAnsi="Garamond" w:cs="Times New Roman"/>
        </w:rPr>
        <w:t xml:space="preserve"> Through Donne’s sermon, memory is </w:t>
      </w:r>
      <w:proofErr w:type="spellStart"/>
      <w:r w:rsidRPr="003037D2">
        <w:rPr>
          <w:rFonts w:ascii="Garamond" w:eastAsia="Calibri" w:hAnsi="Garamond" w:cs="Times New Roman"/>
        </w:rPr>
        <w:t>physicalised</w:t>
      </w:r>
      <w:proofErr w:type="spellEnd"/>
      <w:r w:rsidRPr="003037D2">
        <w:rPr>
          <w:rFonts w:ascii="Garamond" w:eastAsia="Calibri" w:hAnsi="Garamond" w:cs="Times New Roman"/>
        </w:rPr>
        <w:t xml:space="preserve">, moved from echoing speech to the bodies of his congregation, their very blood and the building that surrounds them. Of course, blood as a memorial device was (and is) particularly resonant in a Christian context. The sacrament of the Eucharist physically reproduced Christs’ blood. In the 1618 Lincoln’s Inn sermon – the one in which Donne declares, ‘the Art of salvation is but the art of memory’ he describes the Eucharist thus: ‘it was a seal upon a seal, a seal of confirmation, it was a sacrament upon a sacrament, when in institution the sacrament of his body and </w:t>
      </w:r>
      <w:proofErr w:type="spellStart"/>
      <w:r w:rsidRPr="003037D2">
        <w:rPr>
          <w:rFonts w:ascii="Garamond" w:eastAsia="Calibri" w:hAnsi="Garamond" w:cs="Times New Roman"/>
        </w:rPr>
        <w:t>bloud</w:t>
      </w:r>
      <w:proofErr w:type="spellEnd"/>
      <w:r w:rsidRPr="003037D2">
        <w:rPr>
          <w:rFonts w:ascii="Garamond" w:eastAsia="Calibri" w:hAnsi="Garamond" w:cs="Times New Roman"/>
        </w:rPr>
        <w:t xml:space="preserve"> Christ presented it so, Doe this in remembrance of me’.</w:t>
      </w:r>
      <w:r w:rsidRPr="003037D2">
        <w:rPr>
          <w:rStyle w:val="FootnoteReference"/>
          <w:rFonts w:ascii="Garamond" w:eastAsia="Calibri" w:hAnsi="Garamond" w:cs="Times New Roman"/>
        </w:rPr>
        <w:footnoteReference w:id="770"/>
      </w:r>
      <w:r w:rsidRPr="003037D2">
        <w:rPr>
          <w:rFonts w:ascii="Garamond" w:eastAsia="Calibri" w:hAnsi="Garamond" w:cs="Times New Roman"/>
        </w:rPr>
        <w:t xml:space="preserve"> In Donne’s description, it is </w:t>
      </w:r>
      <w:r w:rsidRPr="003037D2">
        <w:rPr>
          <w:rFonts w:ascii="Garamond" w:eastAsia="Calibri" w:hAnsi="Garamond" w:cs="Times New Roman"/>
        </w:rPr>
        <w:lastRenderedPageBreak/>
        <w:t xml:space="preserve">in the </w:t>
      </w:r>
      <w:r w:rsidRPr="003037D2">
        <w:rPr>
          <w:rFonts w:ascii="Garamond" w:eastAsia="Calibri" w:hAnsi="Garamond" w:cs="Times New Roman"/>
          <w:i/>
        </w:rPr>
        <w:t xml:space="preserve">repetition </w:t>
      </w:r>
      <w:r w:rsidRPr="003037D2">
        <w:rPr>
          <w:rFonts w:ascii="Garamond" w:eastAsia="Calibri" w:hAnsi="Garamond" w:cs="Times New Roman"/>
        </w:rPr>
        <w:t xml:space="preserve">of the act, the placing of seal on seal, that it becomes spiritually meaningful. This seems akin to Luther’s emphasis in his 1530 </w:t>
      </w:r>
      <w:r w:rsidRPr="003037D2">
        <w:rPr>
          <w:rFonts w:ascii="Garamond" w:eastAsia="Calibri" w:hAnsi="Garamond" w:cs="Times New Roman"/>
          <w:i/>
        </w:rPr>
        <w:t xml:space="preserve">Admonition Concerning the Holy Sacraments, </w:t>
      </w:r>
      <w:r w:rsidRPr="003037D2">
        <w:rPr>
          <w:rFonts w:ascii="Garamond" w:eastAsia="Calibri" w:hAnsi="Garamond" w:cs="Times New Roman"/>
        </w:rPr>
        <w:t>where he stresses Jesus’ directive to ‘Do this in remembrance of me’.</w:t>
      </w:r>
      <w:r w:rsidRPr="003037D2">
        <w:rPr>
          <w:rStyle w:val="FootnoteReference"/>
          <w:rFonts w:ascii="Garamond" w:eastAsia="Calibri" w:hAnsi="Garamond" w:cs="Times New Roman"/>
        </w:rPr>
        <w:footnoteReference w:id="771"/>
      </w:r>
      <w:r w:rsidRPr="003037D2">
        <w:rPr>
          <w:rFonts w:ascii="Garamond" w:eastAsia="Calibri" w:hAnsi="Garamond" w:cs="Times New Roman"/>
        </w:rPr>
        <w:t xml:space="preserve"> On Donne’s precise understanding of the sacrament, I concur with Jeffrey Johnson’s argument that ‘Donne does not trouble himself… to locate the presence of Christ [at the sacrament] with any more precision than necessary for the purpose of demonstrating his moderate conformity’.</w:t>
      </w:r>
      <w:r w:rsidRPr="003037D2">
        <w:rPr>
          <w:rStyle w:val="FootnoteReference"/>
          <w:rFonts w:ascii="Garamond" w:eastAsia="Calibri" w:hAnsi="Garamond" w:cs="Times New Roman"/>
        </w:rPr>
        <w:footnoteReference w:id="772"/>
      </w:r>
      <w:r w:rsidRPr="003037D2">
        <w:rPr>
          <w:rFonts w:ascii="Garamond" w:eastAsia="Calibri" w:hAnsi="Garamond" w:cs="Times New Roman"/>
        </w:rPr>
        <w:t xml:space="preserve">  In his 1626 Christmas Sermon at St. Paul’s, Donne specifies that the bread alters only in its use, rather than in its substance: ‘It is other Bread, so, as a Judge is another man, upon the bench, then he is at home, in his </w:t>
      </w:r>
      <w:proofErr w:type="spellStart"/>
      <w:r w:rsidRPr="003037D2">
        <w:rPr>
          <w:rFonts w:ascii="Garamond" w:eastAsia="Calibri" w:hAnsi="Garamond" w:cs="Times New Roman"/>
        </w:rPr>
        <w:t>owne</w:t>
      </w:r>
      <w:proofErr w:type="spellEnd"/>
      <w:r w:rsidRPr="003037D2">
        <w:rPr>
          <w:rFonts w:ascii="Garamond" w:eastAsia="Calibri" w:hAnsi="Garamond" w:cs="Times New Roman"/>
        </w:rPr>
        <w:t xml:space="preserve"> house’.</w:t>
      </w:r>
      <w:r w:rsidRPr="003037D2">
        <w:rPr>
          <w:rStyle w:val="FootnoteReference"/>
          <w:rFonts w:ascii="Garamond" w:eastAsia="Calibri" w:hAnsi="Garamond" w:cs="Times New Roman"/>
        </w:rPr>
        <w:footnoteReference w:id="773"/>
      </w:r>
      <w:r w:rsidRPr="003037D2">
        <w:rPr>
          <w:rFonts w:ascii="Garamond" w:eastAsia="Calibri" w:hAnsi="Garamond" w:cs="Times New Roman"/>
        </w:rPr>
        <w:t xml:space="preserve"> It is the time and the place that makes the man, and the sacrament. </w:t>
      </w:r>
    </w:p>
    <w:p w14:paraId="6440018D" w14:textId="77777777" w:rsidR="00162224" w:rsidRPr="003037D2" w:rsidRDefault="00162224" w:rsidP="00162224">
      <w:pPr>
        <w:spacing w:after="200" w:line="360" w:lineRule="auto"/>
        <w:ind w:firstLine="720"/>
        <w:rPr>
          <w:rFonts w:ascii="Garamond" w:hAnsi="Garamond"/>
        </w:rPr>
      </w:pPr>
    </w:p>
    <w:p w14:paraId="06887955" w14:textId="5D5AE7D7" w:rsidR="00162224" w:rsidRPr="003037D2" w:rsidRDefault="00162224" w:rsidP="00162224">
      <w:pPr>
        <w:spacing w:after="200" w:line="360" w:lineRule="auto"/>
        <w:rPr>
          <w:rFonts w:ascii="Garamond" w:eastAsia="Calibri" w:hAnsi="Garamond" w:cs="Times New Roman"/>
        </w:rPr>
      </w:pPr>
      <w:r w:rsidRPr="003037D2">
        <w:rPr>
          <w:rFonts w:ascii="Garamond" w:eastAsia="Calibri" w:hAnsi="Garamond" w:cs="Times New Roman"/>
        </w:rPr>
        <w:tab/>
        <w:t xml:space="preserve">In the April 1627 sermon, Donne melds the two conceits, of repeated voices and buildings. He declares, ‘As we say of great and universal Scholars, that they are </w:t>
      </w:r>
      <w:proofErr w:type="spellStart"/>
      <w:r w:rsidRPr="003037D2">
        <w:rPr>
          <w:rFonts w:ascii="Garamond" w:eastAsia="Calibri" w:hAnsi="Garamond" w:cs="Times New Roman"/>
          <w:i/>
        </w:rPr>
        <w:t>viviens</w:t>
      </w:r>
      <w:proofErr w:type="spellEnd"/>
      <w:r w:rsidRPr="003037D2">
        <w:rPr>
          <w:rFonts w:ascii="Garamond" w:eastAsia="Calibri" w:hAnsi="Garamond" w:cs="Times New Roman"/>
          <w:i/>
        </w:rPr>
        <w:t xml:space="preserve"> </w:t>
      </w:r>
      <w:proofErr w:type="spellStart"/>
      <w:r w:rsidRPr="003037D2">
        <w:rPr>
          <w:rFonts w:ascii="Garamond" w:eastAsia="Calibri" w:hAnsi="Garamond" w:cs="Times New Roman"/>
          <w:i/>
        </w:rPr>
        <w:t>Bibliothecae</w:t>
      </w:r>
      <w:proofErr w:type="spellEnd"/>
      <w:r w:rsidRPr="003037D2">
        <w:rPr>
          <w:rFonts w:ascii="Garamond" w:eastAsia="Calibri" w:hAnsi="Garamond" w:cs="Times New Roman"/>
          <w:i/>
        </w:rPr>
        <w:t xml:space="preserve"> </w:t>
      </w:r>
      <w:r w:rsidRPr="003037D2">
        <w:rPr>
          <w:rFonts w:ascii="Garamond" w:eastAsia="Calibri" w:hAnsi="Garamond" w:cs="Times New Roman"/>
        </w:rPr>
        <w:t xml:space="preserve">living, walking, speaking Libraries; </w:t>
      </w:r>
      <w:proofErr w:type="gramStart"/>
      <w:r w:rsidRPr="003037D2">
        <w:rPr>
          <w:rFonts w:ascii="Garamond" w:eastAsia="Calibri" w:hAnsi="Garamond" w:cs="Times New Roman"/>
        </w:rPr>
        <w:t>so</w:t>
      </w:r>
      <w:proofErr w:type="gramEnd"/>
      <w:r w:rsidRPr="003037D2">
        <w:rPr>
          <w:rFonts w:ascii="Garamond" w:eastAsia="Calibri" w:hAnsi="Garamond" w:cs="Times New Roman"/>
        </w:rPr>
        <w:t xml:space="preserve"> Christ was </w:t>
      </w:r>
      <w:proofErr w:type="spellStart"/>
      <w:r w:rsidRPr="003037D2">
        <w:rPr>
          <w:rFonts w:ascii="Garamond" w:eastAsia="Calibri" w:hAnsi="Garamond" w:cs="Times New Roman"/>
          <w:i/>
          <w:iCs/>
        </w:rPr>
        <w:t>loquens</w:t>
      </w:r>
      <w:proofErr w:type="spellEnd"/>
      <w:r w:rsidRPr="003037D2">
        <w:rPr>
          <w:rFonts w:ascii="Garamond" w:eastAsia="Calibri" w:hAnsi="Garamond" w:cs="Times New Roman"/>
          <w:i/>
          <w:iCs/>
        </w:rPr>
        <w:t xml:space="preserve"> Scriptura, </w:t>
      </w:r>
      <w:r w:rsidRPr="003037D2">
        <w:rPr>
          <w:rFonts w:ascii="Garamond" w:eastAsia="Calibri" w:hAnsi="Garamond" w:cs="Times New Roman"/>
        </w:rPr>
        <w:t>living, speaking Scripture’.</w:t>
      </w:r>
      <w:r w:rsidRPr="003037D2">
        <w:rPr>
          <w:rStyle w:val="FootnoteReference"/>
          <w:rFonts w:ascii="Garamond" w:eastAsia="Calibri" w:hAnsi="Garamond" w:cs="Times New Roman"/>
        </w:rPr>
        <w:footnoteReference w:id="774"/>
      </w:r>
      <w:r w:rsidRPr="003037D2">
        <w:rPr>
          <w:rFonts w:ascii="Garamond" w:eastAsia="Calibri" w:hAnsi="Garamond" w:cs="Times New Roman"/>
        </w:rPr>
        <w:t xml:space="preserve"> The motif of the word of flesh is animated. Christ’s singularity as ‘speaking Scripture’ is in some ways tempered by the comparison to the ‘universal Scholars’, who are made of the books of their knowledge. George Herbert’s directions to the Country Parson to gather together his library spring to mind.</w:t>
      </w:r>
      <w:r w:rsidRPr="003037D2">
        <w:rPr>
          <w:rStyle w:val="FootnoteReference"/>
          <w:rFonts w:ascii="Garamond" w:eastAsia="Calibri" w:hAnsi="Garamond" w:cs="Times New Roman"/>
        </w:rPr>
        <w:footnoteReference w:id="775"/>
      </w:r>
      <w:r w:rsidRPr="003037D2">
        <w:rPr>
          <w:rFonts w:ascii="Garamond" w:eastAsia="Calibri" w:hAnsi="Garamond" w:cs="Times New Roman"/>
        </w:rPr>
        <w:t xml:space="preserve"> The scholar’s own engagement with history brings the past into the present moment in the same way that Christ’s incarnate body reforms scripture. Continuing this fo</w:t>
      </w:r>
      <w:r w:rsidR="001F1F6B" w:rsidRPr="003037D2">
        <w:rPr>
          <w:rFonts w:ascii="Garamond" w:eastAsia="Calibri" w:hAnsi="Garamond" w:cs="Times New Roman"/>
        </w:rPr>
        <w:t>c</w:t>
      </w:r>
      <w:r w:rsidRPr="003037D2">
        <w:rPr>
          <w:rFonts w:ascii="Garamond" w:eastAsia="Calibri" w:hAnsi="Garamond" w:cs="Times New Roman"/>
        </w:rPr>
        <w:t xml:space="preserve">us upon the flesh, the physical effects of preaching resonate in the bodies of the congregation within the chapel, making the words of scripture more effective. In the 1624 Sermon, Donne similarly focusses on the transmission of knowledge into the body, declaring, ‘Blessed are they that inanimate all their knowledge, consummate all in Christ Jesus. The University is a paradise, Rivers of knowledge are there… Counsel tables are… </w:t>
      </w:r>
      <w:r w:rsidRPr="003037D2">
        <w:rPr>
          <w:rFonts w:ascii="Garamond" w:eastAsia="Calibri" w:hAnsi="Garamond" w:cs="Times New Roman"/>
          <w:i/>
          <w:iCs/>
        </w:rPr>
        <w:t>Gardens that are walled in’.</w:t>
      </w:r>
      <w:r w:rsidRPr="003037D2">
        <w:rPr>
          <w:rStyle w:val="FootnoteReference"/>
          <w:rFonts w:ascii="Garamond" w:eastAsia="Calibri" w:hAnsi="Garamond" w:cs="Times New Roman"/>
        </w:rPr>
        <w:footnoteReference w:id="776"/>
      </w:r>
      <w:r w:rsidRPr="003037D2">
        <w:rPr>
          <w:rFonts w:ascii="Garamond" w:eastAsia="Calibri" w:hAnsi="Garamond" w:cs="Times New Roman"/>
          <w:i/>
          <w:iCs/>
        </w:rPr>
        <w:t xml:space="preserve"> </w:t>
      </w:r>
      <w:r w:rsidRPr="003037D2">
        <w:rPr>
          <w:rFonts w:ascii="Garamond" w:eastAsia="Calibri" w:hAnsi="Garamond" w:cs="Times New Roman"/>
        </w:rPr>
        <w:t>The spaces of learning in the University are explicitly linked to the spaces of the page: tables of sayings in a garden of conceits.</w:t>
      </w:r>
      <w:r w:rsidRPr="003037D2">
        <w:rPr>
          <w:rStyle w:val="FootnoteReference"/>
          <w:rFonts w:ascii="Garamond" w:eastAsia="Calibri" w:hAnsi="Garamond" w:cs="Times New Roman"/>
        </w:rPr>
        <w:footnoteReference w:id="777"/>
      </w:r>
      <w:r w:rsidRPr="003037D2">
        <w:rPr>
          <w:rFonts w:ascii="Garamond" w:eastAsia="Calibri" w:hAnsi="Garamond" w:cs="Times New Roman"/>
        </w:rPr>
        <w:t xml:space="preserve"> Earlier in the </w:t>
      </w:r>
      <w:r w:rsidRPr="003037D2">
        <w:rPr>
          <w:rFonts w:ascii="Garamond" w:eastAsia="Calibri" w:hAnsi="Garamond" w:cs="Times New Roman"/>
        </w:rPr>
        <w:lastRenderedPageBreak/>
        <w:t>sermon, Donne explains the role of repetition in learning, saying</w:t>
      </w:r>
      <w:r w:rsidRPr="003037D2">
        <w:rPr>
          <w:rFonts w:ascii="Garamond" w:eastAsia="Calibri" w:hAnsi="Garamond" w:cs="Times New Roman"/>
          <w:i/>
          <w:iCs/>
        </w:rPr>
        <w:t xml:space="preserve"> </w:t>
      </w:r>
      <w:r w:rsidRPr="003037D2">
        <w:rPr>
          <w:rFonts w:ascii="Garamond" w:eastAsia="Calibri" w:hAnsi="Garamond" w:cs="Times New Roman"/>
        </w:rPr>
        <w:t xml:space="preserve">‘the obedient children of God apply themselves to the echo of his church, when perchance otherwise they would less understand the voice of God, in his Scriptures, if that voice were not so redoubled unto them’. This, is the ‘first course… manna, food of angels, plentiful, frequent preaching’, that with ‘the second course… very body and blood of Christ Jesus’ must be ‘assimilated’ as that is ‘the end of all bodily eating’ so that ‘the meat may be made </w:t>
      </w:r>
      <w:r w:rsidRPr="003037D2">
        <w:rPr>
          <w:rFonts w:ascii="Garamond" w:eastAsia="Calibri" w:hAnsi="Garamond" w:cs="Times New Roman"/>
          <w:i/>
        </w:rPr>
        <w:t xml:space="preserve">idem corpus, </w:t>
      </w:r>
      <w:r w:rsidRPr="003037D2">
        <w:rPr>
          <w:rFonts w:ascii="Garamond" w:eastAsia="Calibri" w:hAnsi="Garamond" w:cs="Times New Roman"/>
        </w:rPr>
        <w:t>the same body that I am’.</w:t>
      </w:r>
      <w:r w:rsidRPr="003037D2">
        <w:rPr>
          <w:rStyle w:val="FootnoteReference"/>
          <w:rFonts w:ascii="Garamond" w:eastAsia="Calibri" w:hAnsi="Garamond" w:cs="Times New Roman"/>
        </w:rPr>
        <w:footnoteReference w:id="778"/>
      </w:r>
      <w:r w:rsidRPr="003037D2">
        <w:rPr>
          <w:rFonts w:ascii="Garamond" w:eastAsia="Calibri" w:hAnsi="Garamond" w:cs="Times New Roman"/>
        </w:rPr>
        <w:t xml:space="preserve"> The meat or matter of the sacrament and the meat or matter of preaching needs to be physically experienced by the congregation and so bound into their bodies to take effect. As a preacher, Donne resolutely roots remembrance in the here and now – the vaulted echoing spaces in which he spoke, and his own body as mnemonic aid.</w:t>
      </w:r>
    </w:p>
    <w:p w14:paraId="3CA37610" w14:textId="77777777" w:rsidR="00162224" w:rsidRPr="003037D2" w:rsidRDefault="00162224" w:rsidP="00162224">
      <w:pPr>
        <w:spacing w:after="200" w:line="360" w:lineRule="auto"/>
        <w:rPr>
          <w:rFonts w:ascii="Garamond" w:eastAsia="Calibri" w:hAnsi="Garamond" w:cs="Times New Roman"/>
        </w:rPr>
      </w:pPr>
    </w:p>
    <w:p w14:paraId="65F528E4" w14:textId="77777777" w:rsidR="00162224" w:rsidRPr="003037D2" w:rsidRDefault="00162224" w:rsidP="00162224">
      <w:pPr>
        <w:pStyle w:val="Heading3"/>
        <w:numPr>
          <w:ilvl w:val="0"/>
          <w:numId w:val="22"/>
        </w:numPr>
        <w:spacing w:line="360" w:lineRule="auto"/>
        <w:rPr>
          <w:rFonts w:ascii="Garamond" w:hAnsi="Garamond"/>
          <w:color w:val="auto"/>
        </w:rPr>
      </w:pPr>
      <w:bookmarkStart w:id="92" w:name="_Toc3967195"/>
      <w:r w:rsidRPr="003037D2">
        <w:rPr>
          <w:rFonts w:ascii="Garamond" w:hAnsi="Garamond"/>
          <w:color w:val="auto"/>
        </w:rPr>
        <w:t xml:space="preserve">‘For </w:t>
      </w:r>
      <w:proofErr w:type="gramStart"/>
      <w:r w:rsidRPr="003037D2">
        <w:rPr>
          <w:rFonts w:ascii="Garamond" w:hAnsi="Garamond"/>
          <w:color w:val="auto"/>
        </w:rPr>
        <w:t>now</w:t>
      </w:r>
      <w:proofErr w:type="gramEnd"/>
      <w:r w:rsidRPr="003037D2">
        <w:rPr>
          <w:rFonts w:ascii="Garamond" w:hAnsi="Garamond"/>
          <w:color w:val="auto"/>
        </w:rPr>
        <w:t xml:space="preserve"> is our salvation nearer then when we believed’: Donne’s 1619 Sermons and Shelf-Time</w:t>
      </w:r>
      <w:bookmarkEnd w:id="92"/>
      <w:r w:rsidRPr="003037D2">
        <w:rPr>
          <w:rFonts w:ascii="Garamond" w:hAnsi="Garamond"/>
          <w:color w:val="auto"/>
        </w:rPr>
        <w:t xml:space="preserve"> </w:t>
      </w:r>
    </w:p>
    <w:p w14:paraId="092E8DF2" w14:textId="77777777" w:rsidR="00162224" w:rsidRPr="003037D2" w:rsidRDefault="00162224" w:rsidP="00162224">
      <w:pPr>
        <w:spacing w:after="200" w:line="360" w:lineRule="auto"/>
        <w:rPr>
          <w:rFonts w:ascii="Garamond" w:eastAsia="Calibri" w:hAnsi="Garamond" w:cs="Times New Roman"/>
        </w:rPr>
      </w:pPr>
    </w:p>
    <w:p w14:paraId="5A082B98" w14:textId="77777777" w:rsidR="00162224" w:rsidRPr="003037D2" w:rsidRDefault="00162224" w:rsidP="00162224">
      <w:pPr>
        <w:spacing w:after="200" w:line="360" w:lineRule="auto"/>
        <w:ind w:firstLine="360"/>
        <w:rPr>
          <w:rFonts w:ascii="Garamond" w:eastAsia="Calibri" w:hAnsi="Garamond" w:cs="Times New Roman"/>
        </w:rPr>
      </w:pPr>
      <w:r w:rsidRPr="003037D2">
        <w:rPr>
          <w:rFonts w:ascii="Garamond" w:eastAsia="Calibri" w:hAnsi="Garamond" w:cs="Times New Roman"/>
        </w:rPr>
        <w:t>This sense of memory being assimilated into the body is one Donne draws on in a much earlier sermon, given at Lincoln’s Inn as a ‘Sermon of Valediction’ before he travelled to Germany on 18</w:t>
      </w:r>
      <w:r w:rsidRPr="003037D2">
        <w:rPr>
          <w:rFonts w:ascii="Garamond" w:eastAsia="Calibri" w:hAnsi="Garamond" w:cs="Times New Roman"/>
          <w:vertAlign w:val="superscript"/>
        </w:rPr>
        <w:t>th</w:t>
      </w:r>
      <w:r w:rsidRPr="003037D2">
        <w:rPr>
          <w:rFonts w:ascii="Garamond" w:eastAsia="Calibri" w:hAnsi="Garamond" w:cs="Times New Roman"/>
        </w:rPr>
        <w:t xml:space="preserve"> April 1619. In this sermon, Donne draws on an image of ‘the memory’ as ‘the stomach of the soul, it receives and digests, and turns into good blood, all the benefits formerly exhibited to us in particular’.</w:t>
      </w:r>
      <w:r w:rsidRPr="003037D2">
        <w:rPr>
          <w:rStyle w:val="FootnoteReference"/>
          <w:rFonts w:ascii="Garamond" w:eastAsia="Calibri" w:hAnsi="Garamond" w:cs="Times New Roman"/>
        </w:rPr>
        <w:footnoteReference w:id="779"/>
      </w:r>
      <w:r w:rsidRPr="003037D2">
        <w:rPr>
          <w:rFonts w:ascii="Garamond" w:eastAsia="Calibri" w:hAnsi="Garamond" w:cs="Times New Roman"/>
        </w:rPr>
        <w:t xml:space="preserve"> Donne attributes this phrase to St. Bernard, but Joan Webber has pointed out that it is in fact an Augustinian metaphor used throughout the Renaissance, memory as a ‘palace… where are the treasures of innumerable images’.</w:t>
      </w:r>
      <w:r w:rsidRPr="003037D2">
        <w:rPr>
          <w:rStyle w:val="FootnoteReference"/>
          <w:rFonts w:ascii="Garamond" w:eastAsia="Calibri" w:hAnsi="Garamond" w:cs="Times New Roman"/>
        </w:rPr>
        <w:footnoteReference w:id="780"/>
      </w:r>
      <w:r w:rsidRPr="003037D2">
        <w:rPr>
          <w:rFonts w:ascii="Garamond" w:eastAsia="Calibri" w:hAnsi="Garamond" w:cs="Times New Roman"/>
        </w:rPr>
        <w:t xml:space="preserve"> Donne extends this bodily image to one of architecture,</w:t>
      </w:r>
    </w:p>
    <w:p w14:paraId="067D4648" w14:textId="1C555C8D" w:rsidR="00162224" w:rsidRPr="003037D2" w:rsidRDefault="00162224" w:rsidP="00162224">
      <w:pPr>
        <w:spacing w:after="200"/>
        <w:ind w:left="737" w:right="737"/>
        <w:rPr>
          <w:rFonts w:ascii="Garamond" w:eastAsia="Calibri" w:hAnsi="Garamond" w:cs="Times New Roman"/>
        </w:rPr>
      </w:pPr>
      <w:r w:rsidRPr="003037D2">
        <w:rPr>
          <w:rFonts w:ascii="Garamond" w:eastAsia="Calibri" w:hAnsi="Garamond" w:cs="Times New Roman"/>
        </w:rPr>
        <w:t xml:space="preserve">We may be bold to call [memory] the Gallery of the soul, </w:t>
      </w:r>
      <w:proofErr w:type="spellStart"/>
      <w:r w:rsidRPr="003037D2">
        <w:rPr>
          <w:rFonts w:ascii="Garamond" w:eastAsia="Calibri" w:hAnsi="Garamond" w:cs="Times New Roman"/>
        </w:rPr>
        <w:t>hang’d</w:t>
      </w:r>
      <w:proofErr w:type="spellEnd"/>
      <w:r w:rsidRPr="003037D2">
        <w:rPr>
          <w:rFonts w:ascii="Garamond" w:eastAsia="Calibri" w:hAnsi="Garamond" w:cs="Times New Roman"/>
        </w:rPr>
        <w:t xml:space="preserve"> with so many, and so lively pictures of the goodness and mercies of thy God to thee, as that every one of them shall be a catechism to thee, to instruct thee in all thy duties to him for these mercies: And as a </w:t>
      </w:r>
      <w:proofErr w:type="spellStart"/>
      <w:r w:rsidRPr="003037D2">
        <w:rPr>
          <w:rFonts w:ascii="Garamond" w:eastAsia="Calibri" w:hAnsi="Garamond" w:cs="Times New Roman"/>
        </w:rPr>
        <w:t>well made</w:t>
      </w:r>
      <w:proofErr w:type="spellEnd"/>
      <w:r w:rsidRPr="003037D2">
        <w:rPr>
          <w:rFonts w:ascii="Garamond" w:eastAsia="Calibri" w:hAnsi="Garamond" w:cs="Times New Roman"/>
        </w:rPr>
        <w:t xml:space="preserve">, and well </w:t>
      </w:r>
      <w:proofErr w:type="spellStart"/>
      <w:r w:rsidRPr="003037D2">
        <w:rPr>
          <w:rFonts w:ascii="Garamond" w:eastAsia="Calibri" w:hAnsi="Garamond" w:cs="Times New Roman"/>
        </w:rPr>
        <w:t>plac’d</w:t>
      </w:r>
      <w:proofErr w:type="spellEnd"/>
      <w:r w:rsidRPr="003037D2">
        <w:rPr>
          <w:rFonts w:ascii="Garamond" w:eastAsia="Calibri" w:hAnsi="Garamond" w:cs="Times New Roman"/>
        </w:rPr>
        <w:t xml:space="preserve"> picture, looks always upon him that looks upon it; </w:t>
      </w:r>
      <w:r w:rsidRPr="003037D2">
        <w:rPr>
          <w:rFonts w:ascii="Garamond" w:eastAsia="Calibri" w:hAnsi="Garamond" w:cs="Times New Roman"/>
        </w:rPr>
        <w:lastRenderedPageBreak/>
        <w:t>so shall thy God look upon thee, whose m</w:t>
      </w:r>
      <w:r w:rsidR="002F1250">
        <w:rPr>
          <w:rFonts w:ascii="Garamond" w:eastAsia="Calibri" w:hAnsi="Garamond" w:cs="Times New Roman"/>
        </w:rPr>
        <w:t>emory is thus contemplating him.</w:t>
      </w:r>
      <w:r w:rsidRPr="003037D2">
        <w:rPr>
          <w:rStyle w:val="FootnoteReference"/>
          <w:rFonts w:ascii="Garamond" w:eastAsia="Calibri" w:hAnsi="Garamond" w:cs="Times New Roman"/>
        </w:rPr>
        <w:footnoteReference w:id="781"/>
      </w:r>
      <w:r w:rsidRPr="003037D2">
        <w:rPr>
          <w:rFonts w:ascii="Garamond" w:eastAsia="Calibri" w:hAnsi="Garamond" w:cs="Times New Roman"/>
        </w:rPr>
        <w:t xml:space="preserve"> </w:t>
      </w:r>
    </w:p>
    <w:p w14:paraId="3D7C4094" w14:textId="77777777" w:rsidR="00162224" w:rsidRPr="003037D2" w:rsidRDefault="00162224" w:rsidP="00667CD5">
      <w:pPr>
        <w:spacing w:line="360" w:lineRule="auto"/>
        <w:rPr>
          <w:rFonts w:ascii="Garamond" w:eastAsia="Calibri" w:hAnsi="Garamond" w:cs="Times New Roman"/>
        </w:rPr>
      </w:pPr>
      <w:r w:rsidRPr="003037D2">
        <w:rPr>
          <w:rFonts w:ascii="Garamond" w:eastAsia="Calibri" w:hAnsi="Garamond" w:cs="Times New Roman"/>
        </w:rPr>
        <w:t xml:space="preserve">There is again a reciprocity to this relationship of memory as both man and God contemplate and remember one another. The visual guide of the painting takes on a didactic purpose, working as an instructive catechism that demands a response from the viewer. Donne acknowledges that the system of a memory palace is perhaps not always infallible: </w:t>
      </w:r>
    </w:p>
    <w:p w14:paraId="62C634B9" w14:textId="77777777" w:rsidR="00162224" w:rsidRPr="003037D2" w:rsidRDefault="00162224" w:rsidP="00162224">
      <w:pPr>
        <w:spacing w:after="200"/>
        <w:ind w:left="737" w:right="737"/>
        <w:rPr>
          <w:rFonts w:ascii="Garamond" w:eastAsia="Calibri" w:hAnsi="Garamond" w:cs="Times New Roman"/>
        </w:rPr>
      </w:pPr>
      <w:r w:rsidRPr="003037D2">
        <w:rPr>
          <w:rFonts w:ascii="Garamond" w:eastAsia="Calibri" w:hAnsi="Garamond" w:cs="Times New Roman"/>
        </w:rPr>
        <w:t xml:space="preserve">If thy memory have not held that picture of our general deliverance from the Navy; (if that mercy be written in the water and in the sands, where it was </w:t>
      </w:r>
      <w:proofErr w:type="spellStart"/>
      <w:r w:rsidRPr="003037D2">
        <w:rPr>
          <w:rFonts w:ascii="Garamond" w:eastAsia="Calibri" w:hAnsi="Garamond" w:cs="Times New Roman"/>
        </w:rPr>
        <w:t>perform’d</w:t>
      </w:r>
      <w:proofErr w:type="spellEnd"/>
      <w:r w:rsidRPr="003037D2">
        <w:rPr>
          <w:rFonts w:ascii="Garamond" w:eastAsia="Calibri" w:hAnsi="Garamond" w:cs="Times New Roman"/>
        </w:rPr>
        <w:t xml:space="preserve">, and not in thy heart) if thou remember not our deliverance from that </w:t>
      </w:r>
      <w:proofErr w:type="spellStart"/>
      <w:r w:rsidRPr="003037D2">
        <w:rPr>
          <w:rFonts w:ascii="Garamond" w:eastAsia="Calibri" w:hAnsi="Garamond" w:cs="Times New Roman"/>
        </w:rPr>
        <w:t>artificiall</w:t>
      </w:r>
      <w:proofErr w:type="spellEnd"/>
      <w:r w:rsidRPr="003037D2">
        <w:rPr>
          <w:rFonts w:ascii="Garamond" w:eastAsia="Calibri" w:hAnsi="Garamond" w:cs="Times New Roman"/>
        </w:rPr>
        <w:t xml:space="preserve"> Hell, the Vault, (in which though his instruments… did not blow us up; yet the Devil goes forward with his plot… if he can get that deliverance to be forgotten.) If these be too large pictures for thy gallery, for thy memory, ye every man hath a pocket picture about him, a </w:t>
      </w:r>
      <w:proofErr w:type="spellStart"/>
      <w:r w:rsidRPr="003037D2">
        <w:rPr>
          <w:rFonts w:ascii="Garamond" w:eastAsia="Calibri" w:hAnsi="Garamond" w:cs="Times New Roman"/>
        </w:rPr>
        <w:t>manuall</w:t>
      </w:r>
      <w:proofErr w:type="spellEnd"/>
      <w:r w:rsidRPr="003037D2">
        <w:rPr>
          <w:rFonts w:ascii="Garamond" w:eastAsia="Calibri" w:hAnsi="Garamond" w:cs="Times New Roman"/>
        </w:rPr>
        <w:t xml:space="preserve">, a </w:t>
      </w:r>
      <w:proofErr w:type="spellStart"/>
      <w:r w:rsidRPr="003037D2">
        <w:rPr>
          <w:rFonts w:ascii="Garamond" w:eastAsia="Calibri" w:hAnsi="Garamond" w:cs="Times New Roman"/>
        </w:rPr>
        <w:t>bosome</w:t>
      </w:r>
      <w:proofErr w:type="spellEnd"/>
      <w:r w:rsidRPr="003037D2">
        <w:rPr>
          <w:rFonts w:ascii="Garamond" w:eastAsia="Calibri" w:hAnsi="Garamond" w:cs="Times New Roman"/>
        </w:rPr>
        <w:t xml:space="preserve"> book, and if he will turn over but one leaf, and remember what God hath done for him even since yesterday, he shall find by that little branch a navigable river, to sail into that great and endless Sea of Gods mercies.</w:t>
      </w:r>
      <w:r w:rsidRPr="003037D2">
        <w:rPr>
          <w:rStyle w:val="FootnoteReference"/>
          <w:rFonts w:ascii="Garamond" w:eastAsia="Calibri" w:hAnsi="Garamond" w:cs="Times New Roman"/>
        </w:rPr>
        <w:footnoteReference w:id="782"/>
      </w:r>
      <w:r w:rsidRPr="003037D2">
        <w:rPr>
          <w:rFonts w:ascii="Garamond" w:eastAsia="Calibri" w:hAnsi="Garamond" w:cs="Times New Roman"/>
        </w:rPr>
        <w:t xml:space="preserve"> </w:t>
      </w:r>
    </w:p>
    <w:p w14:paraId="2CB4F821" w14:textId="6245B94F" w:rsidR="00162224" w:rsidRPr="003037D2" w:rsidRDefault="00162224" w:rsidP="00162224">
      <w:pPr>
        <w:spacing w:after="200" w:line="360" w:lineRule="auto"/>
        <w:rPr>
          <w:rFonts w:ascii="Garamond" w:eastAsia="Calibri" w:hAnsi="Garamond" w:cs="Times New Roman"/>
        </w:rPr>
      </w:pPr>
      <w:r w:rsidRPr="003037D2">
        <w:rPr>
          <w:rFonts w:ascii="Garamond" w:eastAsia="Calibri" w:hAnsi="Garamond" w:cs="Times New Roman"/>
        </w:rPr>
        <w:t xml:space="preserve">There is an irony to this, or at least an odd tension between different types of memory. The references to Guy Fawkes’s attempt to blow up the Houses of Parliament, only fifteen years before, would surely be imbedded in all auditors’ minds. The </w:t>
      </w:r>
      <w:r w:rsidRPr="003037D2">
        <w:rPr>
          <w:rFonts w:ascii="Garamond" w:eastAsia="Calibri" w:hAnsi="Garamond" w:cs="Times New Roman"/>
          <w:i/>
        </w:rPr>
        <w:t>Observance of 5</w:t>
      </w:r>
      <w:r w:rsidRPr="003037D2">
        <w:rPr>
          <w:rFonts w:ascii="Garamond" w:eastAsia="Calibri" w:hAnsi="Garamond" w:cs="Times New Roman"/>
          <w:i/>
          <w:vertAlign w:val="superscript"/>
        </w:rPr>
        <w:t>th</w:t>
      </w:r>
      <w:r w:rsidRPr="003037D2">
        <w:rPr>
          <w:rFonts w:ascii="Garamond" w:eastAsia="Calibri" w:hAnsi="Garamond" w:cs="Times New Roman"/>
          <w:i/>
        </w:rPr>
        <w:t xml:space="preserve"> November Act</w:t>
      </w:r>
      <w:r w:rsidRPr="003037D2">
        <w:rPr>
          <w:rFonts w:ascii="Garamond" w:eastAsia="Calibri" w:hAnsi="Garamond" w:cs="Times New Roman"/>
        </w:rPr>
        <w:t xml:space="preserve"> had been passed in January 1606, before all the conspirators in the plot had even been executed. This marked the day as an official day of Thanksgiving, with mandatory church attendance and a new service added to </w:t>
      </w:r>
      <w:r w:rsidR="00284281">
        <w:rPr>
          <w:rFonts w:ascii="Garamond" w:eastAsia="Calibri" w:hAnsi="Garamond" w:cs="Times New Roman"/>
          <w:i/>
        </w:rPr>
        <w:t>T</w:t>
      </w:r>
      <w:r w:rsidRPr="003037D2">
        <w:rPr>
          <w:rFonts w:ascii="Garamond" w:eastAsia="Calibri" w:hAnsi="Garamond" w:cs="Times New Roman"/>
          <w:i/>
        </w:rPr>
        <w:t>he Book of Common Prayer</w:t>
      </w:r>
      <w:r w:rsidRPr="003037D2">
        <w:rPr>
          <w:rFonts w:ascii="Garamond" w:eastAsia="Calibri" w:hAnsi="Garamond" w:cs="Times New Roman"/>
        </w:rPr>
        <w:t>, although this was celebrated in varying ways around the country.</w:t>
      </w:r>
      <w:r w:rsidRPr="003037D2">
        <w:rPr>
          <w:rStyle w:val="FootnoteReference"/>
          <w:rFonts w:ascii="Garamond" w:eastAsia="Calibri" w:hAnsi="Garamond" w:cs="Times New Roman"/>
        </w:rPr>
        <w:footnoteReference w:id="783"/>
      </w:r>
      <w:r w:rsidRPr="003037D2">
        <w:rPr>
          <w:rFonts w:ascii="Garamond" w:eastAsia="Calibri" w:hAnsi="Garamond" w:cs="Times New Roman"/>
        </w:rPr>
        <w:t xml:space="preserve"> Similarly, the Spanish Armada, although three decades earlier, would presumably have been a well-remembered event, written on the ‘heart’ rather than on ‘water’ and ‘sand’. Donne uses deliberate hyperbole to suggest that these events could be forgotten, or perhaps suggesting that despite the magnitude of these events, they are not personally resonant enough to be </w:t>
      </w:r>
      <w:proofErr w:type="spellStart"/>
      <w:r w:rsidRPr="003037D2">
        <w:rPr>
          <w:rFonts w:ascii="Garamond" w:eastAsia="Calibri" w:hAnsi="Garamond" w:cs="Times New Roman"/>
        </w:rPr>
        <w:t>internalised</w:t>
      </w:r>
      <w:proofErr w:type="spellEnd"/>
      <w:r w:rsidRPr="003037D2">
        <w:rPr>
          <w:rFonts w:ascii="Garamond" w:eastAsia="Calibri" w:hAnsi="Garamond" w:cs="Times New Roman"/>
        </w:rPr>
        <w:t xml:space="preserve"> within the memory-stomach.</w:t>
      </w:r>
    </w:p>
    <w:p w14:paraId="359FC688" w14:textId="77777777" w:rsidR="00162224" w:rsidRPr="003037D2" w:rsidRDefault="00162224" w:rsidP="00162224">
      <w:pPr>
        <w:spacing w:after="200" w:line="360" w:lineRule="auto"/>
        <w:rPr>
          <w:rFonts w:ascii="Garamond" w:eastAsia="Calibri" w:hAnsi="Garamond" w:cs="Times New Roman"/>
        </w:rPr>
      </w:pPr>
    </w:p>
    <w:p w14:paraId="4D902041" w14:textId="77777777" w:rsidR="00162224" w:rsidRPr="003037D2" w:rsidRDefault="00162224" w:rsidP="00667CD5">
      <w:pPr>
        <w:spacing w:line="360" w:lineRule="auto"/>
        <w:ind w:firstLine="720"/>
        <w:rPr>
          <w:rFonts w:ascii="Garamond" w:eastAsia="Calibri" w:hAnsi="Garamond" w:cs="Times New Roman"/>
        </w:rPr>
      </w:pPr>
      <w:r w:rsidRPr="003037D2">
        <w:rPr>
          <w:rFonts w:ascii="Garamond" w:eastAsia="Calibri" w:hAnsi="Garamond" w:cs="Times New Roman"/>
        </w:rPr>
        <w:t xml:space="preserve">In a recent study of how ‘temporal landmarks spur goal initiation’, studying the twenty-first century pursuit of the body-as-temple by dieting or beginning a workout </w:t>
      </w:r>
      <w:r w:rsidRPr="003037D2">
        <w:rPr>
          <w:rFonts w:ascii="Garamond" w:eastAsia="Calibri" w:hAnsi="Garamond" w:cs="Times New Roman"/>
        </w:rPr>
        <w:lastRenderedPageBreak/>
        <w:t xml:space="preserve">routine, a group of </w:t>
      </w:r>
      <w:proofErr w:type="spellStart"/>
      <w:r w:rsidRPr="003037D2">
        <w:rPr>
          <w:rFonts w:ascii="Garamond" w:eastAsia="Calibri" w:hAnsi="Garamond" w:cs="Times New Roman"/>
        </w:rPr>
        <w:t>behavioural</w:t>
      </w:r>
      <w:proofErr w:type="spellEnd"/>
      <w:r w:rsidRPr="003037D2">
        <w:rPr>
          <w:rFonts w:ascii="Garamond" w:eastAsia="Calibri" w:hAnsi="Garamond" w:cs="Times New Roman"/>
        </w:rPr>
        <w:t xml:space="preserve"> psychologists found that people are more likely to maintain these habits if they linked to dates that hold emotional significance to them. Whilst dates such as New Year’s Day are often chosen, it was found that there was greater success in maintaining ‘goal initiation’ if the day was personally resonant, for example a birthday, or (for Jewish participants) the day after Yom Kippur.</w:t>
      </w:r>
      <w:r w:rsidRPr="003037D2">
        <w:rPr>
          <w:rStyle w:val="FootnoteReference"/>
          <w:rFonts w:ascii="Garamond" w:eastAsia="Calibri" w:hAnsi="Garamond" w:cs="Times New Roman"/>
        </w:rPr>
        <w:footnoteReference w:id="784"/>
      </w:r>
      <w:r w:rsidRPr="003037D2">
        <w:rPr>
          <w:rFonts w:ascii="Garamond" w:eastAsia="Calibri" w:hAnsi="Garamond" w:cs="Times New Roman"/>
        </w:rPr>
        <w:t xml:space="preserve"> The psychologists argue that</w:t>
      </w:r>
    </w:p>
    <w:p w14:paraId="2D323714" w14:textId="77777777" w:rsidR="00162224" w:rsidRPr="003037D2" w:rsidRDefault="00162224" w:rsidP="00162224">
      <w:pPr>
        <w:spacing w:after="200"/>
        <w:ind w:left="737" w:right="737"/>
        <w:rPr>
          <w:rFonts w:ascii="Garamond" w:eastAsia="Calibri" w:hAnsi="Garamond" w:cs="Times New Roman"/>
        </w:rPr>
      </w:pPr>
      <w:r w:rsidRPr="003037D2">
        <w:rPr>
          <w:rFonts w:ascii="Garamond" w:eastAsia="Calibri" w:hAnsi="Garamond" w:cs="Times New Roman"/>
        </w:rPr>
        <w:t>some temporal landmarks stand out more starkly than others on socially shared calendars or personal life timelines. The extent to which a temporal landmark is perceived as opening a new time period (or a new beginning) may depend on whether it resonates with people’s cultural, occupational, or religious identities and how meaningful the landmark feels.</w:t>
      </w:r>
      <w:r w:rsidRPr="003037D2">
        <w:rPr>
          <w:rStyle w:val="FootnoteReference"/>
          <w:rFonts w:ascii="Garamond" w:eastAsia="Calibri" w:hAnsi="Garamond" w:cs="Times New Roman"/>
        </w:rPr>
        <w:footnoteReference w:id="785"/>
      </w:r>
      <w:r w:rsidRPr="003037D2">
        <w:rPr>
          <w:rFonts w:ascii="Garamond" w:eastAsia="Calibri" w:hAnsi="Garamond" w:cs="Times New Roman"/>
        </w:rPr>
        <w:t xml:space="preserve"> </w:t>
      </w:r>
    </w:p>
    <w:p w14:paraId="7A77CF75" w14:textId="77777777" w:rsidR="00162224" w:rsidRPr="003037D2" w:rsidRDefault="00162224" w:rsidP="00162224">
      <w:pPr>
        <w:spacing w:after="200" w:line="360" w:lineRule="auto"/>
        <w:rPr>
          <w:rFonts w:ascii="Garamond" w:eastAsia="Calibri" w:hAnsi="Garamond" w:cs="Times New Roman"/>
        </w:rPr>
      </w:pPr>
      <w:r w:rsidRPr="003037D2">
        <w:rPr>
          <w:rFonts w:ascii="Garamond" w:eastAsia="Calibri" w:hAnsi="Garamond" w:cs="Times New Roman"/>
        </w:rPr>
        <w:t>Perhaps it is this sort of ‘resonant temporal landmark’ that Donne is pointing towards, when he refers to man’s ‘</w:t>
      </w:r>
      <w:proofErr w:type="spellStart"/>
      <w:r w:rsidRPr="003037D2">
        <w:rPr>
          <w:rFonts w:ascii="Garamond" w:eastAsia="Calibri" w:hAnsi="Garamond" w:cs="Times New Roman"/>
        </w:rPr>
        <w:t>busom</w:t>
      </w:r>
      <w:proofErr w:type="spellEnd"/>
      <w:r w:rsidRPr="003037D2">
        <w:rPr>
          <w:rFonts w:ascii="Garamond" w:eastAsia="Calibri" w:hAnsi="Garamond" w:cs="Times New Roman"/>
        </w:rPr>
        <w:t xml:space="preserve"> book’: a personal memory that is more easily grasped than a wider cultural concern. As discussed in the previous chapter, Walton praised Herbert’s celebration of church festivals as providing ‘landmarks to distinguish times’, helping fill his congregation’s ‘personal life </w:t>
      </w:r>
      <w:proofErr w:type="spellStart"/>
      <w:r w:rsidRPr="003037D2">
        <w:rPr>
          <w:rFonts w:ascii="Garamond" w:eastAsia="Calibri" w:hAnsi="Garamond" w:cs="Times New Roman"/>
        </w:rPr>
        <w:t>timelines’</w:t>
      </w:r>
      <w:proofErr w:type="spellEnd"/>
      <w:r w:rsidRPr="003037D2">
        <w:rPr>
          <w:rFonts w:ascii="Garamond" w:eastAsia="Calibri" w:hAnsi="Garamond" w:cs="Times New Roman"/>
        </w:rPr>
        <w:t xml:space="preserve"> with moments of meaning that could spur them to devotion. </w:t>
      </w:r>
    </w:p>
    <w:p w14:paraId="615EA97F" w14:textId="77777777" w:rsidR="00162224" w:rsidRPr="003037D2" w:rsidRDefault="00162224" w:rsidP="00162224">
      <w:pPr>
        <w:spacing w:after="200" w:line="360" w:lineRule="auto"/>
        <w:rPr>
          <w:rFonts w:ascii="Garamond" w:eastAsia="Calibri" w:hAnsi="Garamond" w:cs="Times New Roman"/>
        </w:rPr>
      </w:pPr>
    </w:p>
    <w:p w14:paraId="07995FDB" w14:textId="4DDF9E1B" w:rsidR="00162224" w:rsidRPr="003037D2" w:rsidRDefault="00162224" w:rsidP="00162224">
      <w:pPr>
        <w:spacing w:after="200" w:line="360" w:lineRule="auto"/>
        <w:ind w:firstLine="720"/>
        <w:rPr>
          <w:rFonts w:ascii="Garamond" w:eastAsia="Calibri" w:hAnsi="Garamond" w:cs="Times New Roman"/>
        </w:rPr>
      </w:pPr>
      <w:r w:rsidRPr="003037D2">
        <w:rPr>
          <w:rFonts w:ascii="Garamond" w:eastAsia="Calibri" w:hAnsi="Garamond" w:cs="Times New Roman"/>
        </w:rPr>
        <w:t xml:space="preserve">Donne’s ‘Sermon of Valediction’ makes use of an auditory motif to root the congregation in the present moment.  Four years before he would write ‘ask not for whom the bell tolls’ in </w:t>
      </w:r>
      <w:r w:rsidRPr="003037D2">
        <w:rPr>
          <w:rFonts w:ascii="Garamond" w:eastAsia="Calibri" w:hAnsi="Garamond" w:cs="Times New Roman"/>
          <w:i/>
        </w:rPr>
        <w:t>Devotions upon Emergent Occasions,</w:t>
      </w:r>
      <w:r w:rsidRPr="003037D2">
        <w:rPr>
          <w:rFonts w:ascii="Garamond" w:eastAsia="Calibri" w:hAnsi="Garamond" w:cs="Times New Roman"/>
        </w:rPr>
        <w:t xml:space="preserve"> Donne warns his congregation, ‘the Market is open till the bell ring; till thy last bell ring the Church is open, grace is to be had there: but trust not upon that rule, that men buy cheapest at the end of the market, that heaven may be had for a breath at last’.</w:t>
      </w:r>
      <w:r w:rsidRPr="003037D2">
        <w:rPr>
          <w:rStyle w:val="FootnoteReference"/>
          <w:rFonts w:ascii="Garamond" w:eastAsia="Calibri" w:hAnsi="Garamond" w:cs="Times New Roman"/>
        </w:rPr>
        <w:footnoteReference w:id="786"/>
      </w:r>
      <w:r w:rsidRPr="003037D2">
        <w:rPr>
          <w:rFonts w:ascii="Garamond" w:eastAsia="Calibri" w:hAnsi="Garamond" w:cs="Times New Roman"/>
        </w:rPr>
        <w:t xml:space="preserve"> This passage appears three quarters of the way through the sermon. John Wall has provided evidence that Donne often included natural pauses at the quarter hour point of his sermons to account for the ringing of bells to mark this time, a sound which would have been particularly pronounced in St. Paul’s churchyard.</w:t>
      </w:r>
      <w:r w:rsidRPr="003037D2">
        <w:rPr>
          <w:rStyle w:val="FootnoteReference"/>
          <w:rFonts w:ascii="Garamond" w:eastAsia="Calibri" w:hAnsi="Garamond" w:cs="Times New Roman"/>
        </w:rPr>
        <w:footnoteReference w:id="787"/>
      </w:r>
      <w:r w:rsidRPr="003037D2">
        <w:rPr>
          <w:rFonts w:ascii="Garamond" w:eastAsia="Calibri" w:hAnsi="Garamond" w:cs="Times New Roman"/>
        </w:rPr>
        <w:t xml:space="preserve"> It seems likely that Donne may have timed his sermon to allow the bells to ring out after the challenging rhetorical question that </w:t>
      </w:r>
      <w:r w:rsidRPr="003037D2">
        <w:rPr>
          <w:rFonts w:ascii="Garamond" w:eastAsia="Calibri" w:hAnsi="Garamond" w:cs="Times New Roman"/>
        </w:rPr>
        <w:lastRenderedPageBreak/>
        <w:t>precedes his invocation of the bells, ‘honor, and favor, and health, and riches… can you have more of them than they have had, to whom those very things have been occasions of ruin?’.</w:t>
      </w:r>
      <w:r w:rsidRPr="003037D2">
        <w:rPr>
          <w:rStyle w:val="FootnoteReference"/>
          <w:rFonts w:ascii="Garamond" w:eastAsia="Calibri" w:hAnsi="Garamond" w:cs="Times New Roman"/>
        </w:rPr>
        <w:footnoteReference w:id="788"/>
      </w:r>
      <w:r w:rsidRPr="003037D2">
        <w:rPr>
          <w:rFonts w:ascii="Garamond" w:eastAsia="Calibri" w:hAnsi="Garamond" w:cs="Times New Roman"/>
        </w:rPr>
        <w:t xml:space="preserve"> The ringing of the bells would have amplified his message. Comb</w:t>
      </w:r>
      <w:r w:rsidR="007C61A3" w:rsidRPr="003037D2">
        <w:rPr>
          <w:rFonts w:ascii="Garamond" w:eastAsia="Calibri" w:hAnsi="Garamond" w:cs="Times New Roman"/>
        </w:rPr>
        <w:t>in</w:t>
      </w:r>
      <w:r w:rsidRPr="003037D2">
        <w:rPr>
          <w:rFonts w:ascii="Garamond" w:eastAsia="Calibri" w:hAnsi="Garamond" w:cs="Times New Roman"/>
        </w:rPr>
        <w:t>ing mercantile and devotional frames of reference, Donne reminds his audience of the urgency of their devotional state, telling them to ‘find a spiritual good husbandry in that other rule, that the prime of the market is to be had at first’.</w:t>
      </w:r>
      <w:r w:rsidRPr="003037D2">
        <w:rPr>
          <w:rStyle w:val="FootnoteReference"/>
          <w:rFonts w:ascii="Garamond" w:eastAsia="Calibri" w:hAnsi="Garamond" w:cs="Times New Roman"/>
        </w:rPr>
        <w:footnoteReference w:id="789"/>
      </w:r>
      <w:r w:rsidRPr="003037D2">
        <w:rPr>
          <w:rFonts w:ascii="Garamond" w:eastAsia="Calibri" w:hAnsi="Garamond" w:cs="Times New Roman"/>
        </w:rPr>
        <w:t xml:space="preserve"> He suggests that age will make ‘a man impotent to sin’, and that one should therefore ‘remember God now, when thou hast a choice, that is a power to advance thyself… now </w:t>
      </w:r>
      <w:r w:rsidRPr="003037D2">
        <w:rPr>
          <w:rFonts w:ascii="Garamond" w:eastAsia="Calibri" w:hAnsi="Garamond" w:cs="Times New Roman"/>
          <w:i/>
        </w:rPr>
        <w:t xml:space="preserve">in die </w:t>
      </w:r>
      <w:proofErr w:type="spellStart"/>
      <w:r w:rsidRPr="003037D2">
        <w:rPr>
          <w:rFonts w:ascii="Garamond" w:eastAsia="Calibri" w:hAnsi="Garamond" w:cs="Times New Roman"/>
          <w:i/>
        </w:rPr>
        <w:t>electionum</w:t>
      </w:r>
      <w:proofErr w:type="spellEnd"/>
      <w:r w:rsidRPr="003037D2">
        <w:rPr>
          <w:rFonts w:ascii="Garamond" w:eastAsia="Calibri" w:hAnsi="Garamond" w:cs="Times New Roman"/>
          <w:i/>
        </w:rPr>
        <w:t xml:space="preserve">, </w:t>
      </w:r>
      <w:r w:rsidRPr="003037D2">
        <w:rPr>
          <w:rFonts w:ascii="Garamond" w:eastAsia="Calibri" w:hAnsi="Garamond" w:cs="Times New Roman"/>
        </w:rPr>
        <w:t xml:space="preserve">in those thy happy and sun-shine days, </w:t>
      </w:r>
      <w:r w:rsidRPr="003037D2">
        <w:rPr>
          <w:rFonts w:ascii="Garamond" w:eastAsia="Calibri" w:hAnsi="Garamond" w:cs="Times New Roman"/>
          <w:i/>
        </w:rPr>
        <w:t>remember him’.</w:t>
      </w:r>
      <w:r w:rsidRPr="003037D2">
        <w:rPr>
          <w:rStyle w:val="FootnoteReference"/>
          <w:rFonts w:ascii="Garamond" w:eastAsia="Calibri" w:hAnsi="Garamond" w:cs="Times New Roman"/>
        </w:rPr>
        <w:footnoteReference w:id="790"/>
      </w:r>
      <w:r w:rsidRPr="003037D2">
        <w:rPr>
          <w:rFonts w:ascii="Garamond" w:eastAsia="Calibri" w:hAnsi="Garamond" w:cs="Times New Roman"/>
          <w:i/>
        </w:rPr>
        <w:t xml:space="preserve"> </w:t>
      </w:r>
      <w:proofErr w:type="spellStart"/>
      <w:r w:rsidRPr="003037D2">
        <w:rPr>
          <w:rFonts w:ascii="Garamond" w:eastAsia="Calibri" w:hAnsi="Garamond" w:cs="Times New Roman"/>
        </w:rPr>
        <w:t>Ceri</w:t>
      </w:r>
      <w:proofErr w:type="spellEnd"/>
      <w:r w:rsidRPr="003037D2">
        <w:rPr>
          <w:rFonts w:ascii="Garamond" w:eastAsia="Calibri" w:hAnsi="Garamond" w:cs="Times New Roman"/>
        </w:rPr>
        <w:t xml:space="preserve"> Sullivan has detailed the longstanding analogy between the godly soul and the godly merchant, which was pervasive and influential at the beginning of the sixteenth century.</w:t>
      </w:r>
      <w:r w:rsidRPr="003037D2">
        <w:rPr>
          <w:rStyle w:val="FootnoteReference"/>
          <w:rFonts w:ascii="Garamond" w:eastAsia="Calibri" w:hAnsi="Garamond" w:cs="Times New Roman"/>
        </w:rPr>
        <w:footnoteReference w:id="791"/>
      </w:r>
      <w:r w:rsidRPr="003037D2">
        <w:rPr>
          <w:rFonts w:ascii="Garamond" w:eastAsia="Calibri" w:hAnsi="Garamond" w:cs="Times New Roman"/>
        </w:rPr>
        <w:t xml:space="preserve"> James I’s Chaplain-in-Ordinary, William </w:t>
      </w:r>
      <w:proofErr w:type="spellStart"/>
      <w:r w:rsidRPr="003037D2">
        <w:rPr>
          <w:rFonts w:ascii="Garamond" w:eastAsia="Calibri" w:hAnsi="Garamond" w:cs="Times New Roman"/>
        </w:rPr>
        <w:t>Loe</w:t>
      </w:r>
      <w:proofErr w:type="spellEnd"/>
      <w:r w:rsidRPr="003037D2">
        <w:rPr>
          <w:rFonts w:ascii="Garamond" w:eastAsia="Calibri" w:hAnsi="Garamond" w:cs="Times New Roman"/>
        </w:rPr>
        <w:t xml:space="preserve">, argued that ‘this </w:t>
      </w:r>
      <w:proofErr w:type="spellStart"/>
      <w:r w:rsidRPr="003037D2">
        <w:rPr>
          <w:rFonts w:ascii="Garamond" w:eastAsia="Calibri" w:hAnsi="Garamond" w:cs="Times New Roman"/>
        </w:rPr>
        <w:t>kingdome</w:t>
      </w:r>
      <w:proofErr w:type="spellEnd"/>
      <w:r w:rsidRPr="003037D2">
        <w:rPr>
          <w:rFonts w:ascii="Garamond" w:eastAsia="Calibri" w:hAnsi="Garamond" w:cs="Times New Roman"/>
        </w:rPr>
        <w:t xml:space="preserve"> [of heaven] is not resembled to every man, but unto a </w:t>
      </w:r>
      <w:proofErr w:type="spellStart"/>
      <w:r w:rsidRPr="003037D2">
        <w:rPr>
          <w:rFonts w:ascii="Garamond" w:eastAsia="Calibri" w:hAnsi="Garamond" w:cs="Times New Roman"/>
        </w:rPr>
        <w:t>marchant</w:t>
      </w:r>
      <w:proofErr w:type="spellEnd"/>
      <w:r w:rsidRPr="003037D2">
        <w:rPr>
          <w:rFonts w:ascii="Garamond" w:eastAsia="Calibri" w:hAnsi="Garamond" w:cs="Times New Roman"/>
        </w:rPr>
        <w:t xml:space="preserve"> man. The lesson then is, that Merchants and Merchandizing are of God’.</w:t>
      </w:r>
      <w:r w:rsidRPr="003037D2">
        <w:rPr>
          <w:rStyle w:val="FootnoteReference"/>
          <w:rFonts w:ascii="Garamond" w:eastAsia="Calibri" w:hAnsi="Garamond" w:cs="Times New Roman"/>
        </w:rPr>
        <w:footnoteReference w:id="792"/>
      </w:r>
      <w:r w:rsidRPr="003037D2">
        <w:rPr>
          <w:rFonts w:ascii="Garamond" w:eastAsia="Calibri" w:hAnsi="Garamond" w:cs="Times New Roman"/>
        </w:rPr>
        <w:t xml:space="preserve"> Christians needed to emulate the merchant’s nature as ‘</w:t>
      </w:r>
      <w:proofErr w:type="spellStart"/>
      <w:r w:rsidRPr="003037D2">
        <w:rPr>
          <w:rFonts w:ascii="Garamond" w:eastAsia="Calibri" w:hAnsi="Garamond" w:cs="Times New Roman"/>
        </w:rPr>
        <w:t>dilligent</w:t>
      </w:r>
      <w:proofErr w:type="spellEnd"/>
      <w:r w:rsidRPr="003037D2">
        <w:rPr>
          <w:rFonts w:ascii="Garamond" w:eastAsia="Calibri" w:hAnsi="Garamond" w:cs="Times New Roman"/>
        </w:rPr>
        <w:t>, careful, assiduous, industrious laborious, and indefatigable’, as D. Prince declared in a sermon preached the day before Bartholomew Fair at Paul’s Cross.</w:t>
      </w:r>
      <w:r w:rsidRPr="003037D2">
        <w:rPr>
          <w:rStyle w:val="FootnoteReference"/>
          <w:rFonts w:ascii="Garamond" w:eastAsia="Calibri" w:hAnsi="Garamond" w:cs="Times New Roman"/>
        </w:rPr>
        <w:footnoteReference w:id="793"/>
      </w:r>
      <w:r w:rsidRPr="003037D2">
        <w:rPr>
          <w:rFonts w:ascii="Garamond" w:eastAsia="Calibri" w:hAnsi="Garamond" w:cs="Times New Roman"/>
        </w:rPr>
        <w:t xml:space="preserve"> In Donne’s configuration, this diligence needs to begin early in life to be truly effective. </w:t>
      </w:r>
    </w:p>
    <w:p w14:paraId="21FF0B8F" w14:textId="77777777" w:rsidR="00162224" w:rsidRPr="003037D2" w:rsidRDefault="00162224" w:rsidP="00162224">
      <w:pPr>
        <w:spacing w:after="200" w:line="360" w:lineRule="auto"/>
        <w:ind w:firstLine="720"/>
        <w:rPr>
          <w:rFonts w:ascii="Garamond" w:eastAsia="Calibri" w:hAnsi="Garamond" w:cs="Times New Roman"/>
        </w:rPr>
      </w:pPr>
    </w:p>
    <w:p w14:paraId="506B2CDD" w14:textId="037D0C02" w:rsidR="00162224" w:rsidRPr="003037D2" w:rsidRDefault="00162224" w:rsidP="00162224">
      <w:pPr>
        <w:spacing w:after="200" w:line="360" w:lineRule="auto"/>
        <w:ind w:firstLine="720"/>
        <w:rPr>
          <w:rFonts w:ascii="Garamond" w:eastAsia="Calibri" w:hAnsi="Garamond" w:cs="Times New Roman"/>
        </w:rPr>
      </w:pPr>
      <w:r w:rsidRPr="003037D2">
        <w:rPr>
          <w:rFonts w:ascii="Garamond" w:eastAsia="Calibri" w:hAnsi="Garamond" w:cs="Times New Roman"/>
        </w:rPr>
        <w:t xml:space="preserve">The description of ‘happy and sun-shine days’ is particularly poignant in the wider performance context of the Lincoln’s Inn sermon. Donne was fearful that he would not return from his journey to Germany, saying to his congregation of friends and colleagues, ‘if I never meet you again till we have all passed the gate of death, yet in the gates of heaven, I may meet you all, and there say to my </w:t>
      </w:r>
      <w:proofErr w:type="spellStart"/>
      <w:r w:rsidRPr="003037D2">
        <w:rPr>
          <w:rFonts w:ascii="Garamond" w:eastAsia="Calibri" w:hAnsi="Garamond" w:cs="Times New Roman"/>
        </w:rPr>
        <w:t>Saviour</w:t>
      </w:r>
      <w:proofErr w:type="spellEnd"/>
      <w:r w:rsidRPr="003037D2">
        <w:rPr>
          <w:rFonts w:ascii="Garamond" w:eastAsia="Calibri" w:hAnsi="Garamond" w:cs="Times New Roman"/>
        </w:rPr>
        <w:t xml:space="preserve"> and your </w:t>
      </w:r>
      <w:proofErr w:type="spellStart"/>
      <w:r w:rsidRPr="003037D2">
        <w:rPr>
          <w:rFonts w:ascii="Garamond" w:eastAsia="Calibri" w:hAnsi="Garamond" w:cs="Times New Roman"/>
        </w:rPr>
        <w:t>Saviour</w:t>
      </w:r>
      <w:proofErr w:type="spellEnd"/>
      <w:r w:rsidRPr="003037D2">
        <w:rPr>
          <w:rFonts w:ascii="Garamond" w:eastAsia="Calibri" w:hAnsi="Garamond" w:cs="Times New Roman"/>
        </w:rPr>
        <w:t xml:space="preserve">… </w:t>
      </w:r>
      <w:r w:rsidRPr="003037D2">
        <w:rPr>
          <w:rFonts w:ascii="Garamond" w:eastAsia="Calibri" w:hAnsi="Garamond" w:cs="Times New Roman"/>
          <w:i/>
        </w:rPr>
        <w:t>Of those whom thou hast given me, have I not lost one’.</w:t>
      </w:r>
      <w:r w:rsidRPr="003037D2">
        <w:rPr>
          <w:rFonts w:ascii="Garamond" w:eastAsia="Calibri" w:hAnsi="Garamond" w:cs="Times New Roman"/>
        </w:rPr>
        <w:t xml:space="preserve"> This is an emotional appeal, as Donne asks his auditors ‘Remember me thus, you that stay in this Kingdome of peace, where no sword is drawn… as I </w:t>
      </w:r>
      <w:proofErr w:type="spellStart"/>
      <w:r w:rsidRPr="003037D2">
        <w:rPr>
          <w:rFonts w:ascii="Garamond" w:eastAsia="Calibri" w:hAnsi="Garamond" w:cs="Times New Roman"/>
        </w:rPr>
        <w:t>shal</w:t>
      </w:r>
      <w:proofErr w:type="spellEnd"/>
      <w:r w:rsidRPr="003037D2">
        <w:rPr>
          <w:rFonts w:ascii="Garamond" w:eastAsia="Calibri" w:hAnsi="Garamond" w:cs="Times New Roman"/>
        </w:rPr>
        <w:t xml:space="preserve"> remember you in those </w:t>
      </w:r>
      <w:proofErr w:type="spellStart"/>
      <w:r w:rsidRPr="003037D2">
        <w:rPr>
          <w:rFonts w:ascii="Garamond" w:eastAsia="Calibri" w:hAnsi="Garamond" w:cs="Times New Roman"/>
        </w:rPr>
        <w:t>Kingdomes</w:t>
      </w:r>
      <w:proofErr w:type="spellEnd"/>
      <w:r w:rsidRPr="003037D2">
        <w:rPr>
          <w:rFonts w:ascii="Garamond" w:eastAsia="Calibri" w:hAnsi="Garamond" w:cs="Times New Roman"/>
        </w:rPr>
        <w:t xml:space="preserve">, where ambition… and a necessary </w:t>
      </w:r>
      <w:proofErr w:type="spellStart"/>
      <w:r w:rsidRPr="003037D2">
        <w:rPr>
          <w:rFonts w:ascii="Garamond" w:eastAsia="Calibri" w:hAnsi="Garamond" w:cs="Times New Roman"/>
        </w:rPr>
        <w:t>defence</w:t>
      </w:r>
      <w:proofErr w:type="spellEnd"/>
      <w:r w:rsidRPr="003037D2">
        <w:rPr>
          <w:rFonts w:ascii="Garamond" w:eastAsia="Calibri" w:hAnsi="Garamond" w:cs="Times New Roman"/>
        </w:rPr>
        <w:t xml:space="preserve"> from unjust persecution on the other side hath </w:t>
      </w:r>
      <w:r w:rsidRPr="003037D2">
        <w:rPr>
          <w:rFonts w:ascii="Garamond" w:eastAsia="Calibri" w:hAnsi="Garamond" w:cs="Times New Roman"/>
        </w:rPr>
        <w:lastRenderedPageBreak/>
        <w:t>drawn many swords’.</w:t>
      </w:r>
      <w:r w:rsidRPr="003037D2">
        <w:rPr>
          <w:rStyle w:val="FootnoteReference"/>
          <w:rFonts w:ascii="Garamond" w:eastAsia="Calibri" w:hAnsi="Garamond" w:cs="Times New Roman"/>
        </w:rPr>
        <w:footnoteReference w:id="794"/>
      </w:r>
      <w:r w:rsidRPr="003037D2">
        <w:rPr>
          <w:rFonts w:ascii="Garamond" w:eastAsia="Calibri" w:hAnsi="Garamond" w:cs="Times New Roman"/>
        </w:rPr>
        <w:t xml:space="preserve"> Memory has a social, bonding role as well as a devotional one. This is played out again in Donne’s use of auditory language, ‘In my long absence, and far distance from hence, remember me, as I shall do you in the ears of that God, to whom the farthest East, an</w:t>
      </w:r>
      <w:r w:rsidR="001F1F6B" w:rsidRPr="003037D2">
        <w:rPr>
          <w:rFonts w:ascii="Garamond" w:eastAsia="Calibri" w:hAnsi="Garamond" w:cs="Times New Roman"/>
        </w:rPr>
        <w:t>d</w:t>
      </w:r>
      <w:r w:rsidRPr="003037D2">
        <w:rPr>
          <w:rFonts w:ascii="Garamond" w:eastAsia="Calibri" w:hAnsi="Garamond" w:cs="Times New Roman"/>
        </w:rPr>
        <w:t xml:space="preserve"> farthest west are but as the right and left ear in one of us; we hear with both at once, and he hears in both at once’.</w:t>
      </w:r>
      <w:r w:rsidRPr="003037D2">
        <w:rPr>
          <w:rStyle w:val="FootnoteReference"/>
          <w:rFonts w:ascii="Garamond" w:eastAsia="Calibri" w:hAnsi="Garamond" w:cs="Times New Roman"/>
        </w:rPr>
        <w:footnoteReference w:id="795"/>
      </w:r>
      <w:r w:rsidRPr="003037D2">
        <w:rPr>
          <w:rFonts w:ascii="Garamond" w:eastAsia="Calibri" w:hAnsi="Garamond" w:cs="Times New Roman"/>
        </w:rPr>
        <w:t xml:space="preserve"> Donne has moved from the reciprocal relationship of the preacher calling out the catechism and awaiting the correct answer from his congregation, to a more humane, personal request to be remembered. Both the preacher and the congregation are speaking conversationally at once. This memory needs to be enacted through speech and word. The request to be remembered seems to have been highly effective; we have more manuscript copies of this sermon extant than any other.</w:t>
      </w:r>
      <w:r w:rsidRPr="003037D2">
        <w:rPr>
          <w:rStyle w:val="FootnoteReference"/>
          <w:rFonts w:ascii="Garamond" w:eastAsia="Calibri" w:hAnsi="Garamond" w:cs="Times New Roman"/>
        </w:rPr>
        <w:footnoteReference w:id="796"/>
      </w:r>
      <w:r w:rsidRPr="003037D2">
        <w:rPr>
          <w:rFonts w:ascii="Garamond" w:eastAsia="Calibri" w:hAnsi="Garamond" w:cs="Times New Roman"/>
        </w:rPr>
        <w:t xml:space="preserve"> As Simpson discusses, there are </w:t>
      </w:r>
      <w:proofErr w:type="gramStart"/>
      <w:r w:rsidRPr="003037D2">
        <w:rPr>
          <w:rFonts w:ascii="Garamond" w:eastAsia="Calibri" w:hAnsi="Garamond" w:cs="Times New Roman"/>
        </w:rPr>
        <w:t>a number of</w:t>
      </w:r>
      <w:proofErr w:type="gramEnd"/>
      <w:r w:rsidRPr="003037D2">
        <w:rPr>
          <w:rFonts w:ascii="Garamond" w:eastAsia="Calibri" w:hAnsi="Garamond" w:cs="Times New Roman"/>
        </w:rPr>
        <w:t xml:space="preserve"> differences between these manuscript copies, and Donne’s text prepared for publication. The performance text ends in an intensely personal manner, drawing clearly on the moment in Donne’s life and the moment in the Inn’s history that this sermon marked:</w:t>
      </w:r>
    </w:p>
    <w:p w14:paraId="3AA4F1CD" w14:textId="77777777" w:rsidR="00162224" w:rsidRPr="003037D2" w:rsidRDefault="00162224" w:rsidP="00162224">
      <w:pPr>
        <w:spacing w:after="200"/>
        <w:ind w:left="737" w:right="737"/>
        <w:rPr>
          <w:rFonts w:ascii="Garamond" w:eastAsia="Calibri" w:hAnsi="Garamond" w:cs="Times New Roman"/>
        </w:rPr>
      </w:pPr>
      <w:r w:rsidRPr="003037D2">
        <w:rPr>
          <w:rFonts w:ascii="Garamond" w:eastAsia="Calibri" w:hAnsi="Garamond" w:cs="Times New Roman"/>
        </w:rPr>
        <w:t xml:space="preserve">To end, it is the Kingdome where we shall end, and yet begin but then, where we shall have </w:t>
      </w:r>
      <w:proofErr w:type="spellStart"/>
      <w:r w:rsidRPr="003037D2">
        <w:rPr>
          <w:rFonts w:ascii="Garamond" w:eastAsia="Calibri" w:hAnsi="Garamond" w:cs="Times New Roman"/>
        </w:rPr>
        <w:t>continuall</w:t>
      </w:r>
      <w:proofErr w:type="spellEnd"/>
      <w:r w:rsidRPr="003037D2">
        <w:rPr>
          <w:rFonts w:ascii="Garamond" w:eastAsia="Calibri" w:hAnsi="Garamond" w:cs="Times New Roman"/>
        </w:rPr>
        <w:t xml:space="preserve"> rest, and yet never grow lazy, where we shall have more strength and </w:t>
      </w:r>
      <w:proofErr w:type="spellStart"/>
      <w:r w:rsidRPr="003037D2">
        <w:rPr>
          <w:rFonts w:ascii="Garamond" w:eastAsia="Calibri" w:hAnsi="Garamond" w:cs="Times New Roman"/>
        </w:rPr>
        <w:t>noe</w:t>
      </w:r>
      <w:proofErr w:type="spellEnd"/>
      <w:r w:rsidRPr="003037D2">
        <w:rPr>
          <w:rFonts w:ascii="Garamond" w:eastAsia="Calibri" w:hAnsi="Garamond" w:cs="Times New Roman"/>
        </w:rPr>
        <w:t xml:space="preserve"> </w:t>
      </w:r>
      <w:proofErr w:type="spellStart"/>
      <w:r w:rsidRPr="003037D2">
        <w:rPr>
          <w:rFonts w:ascii="Garamond" w:eastAsia="Calibri" w:hAnsi="Garamond" w:cs="Times New Roman"/>
        </w:rPr>
        <w:t>Enemyes</w:t>
      </w:r>
      <w:proofErr w:type="spellEnd"/>
      <w:r w:rsidRPr="003037D2">
        <w:rPr>
          <w:rFonts w:ascii="Garamond" w:eastAsia="Calibri" w:hAnsi="Garamond" w:cs="Times New Roman"/>
        </w:rPr>
        <w:t>, where we shall live and never die, where we shall meet and never part, but here we must.</w:t>
      </w:r>
      <w:r w:rsidRPr="003037D2">
        <w:rPr>
          <w:rStyle w:val="FootnoteReference"/>
          <w:rFonts w:ascii="Garamond" w:eastAsia="Calibri" w:hAnsi="Garamond" w:cs="Times New Roman"/>
        </w:rPr>
        <w:footnoteReference w:id="797"/>
      </w:r>
    </w:p>
    <w:p w14:paraId="64DD254E" w14:textId="77777777" w:rsidR="00162224" w:rsidRPr="003037D2" w:rsidRDefault="00162224" w:rsidP="00162224">
      <w:pPr>
        <w:spacing w:after="200" w:line="360" w:lineRule="auto"/>
        <w:rPr>
          <w:rFonts w:ascii="Garamond" w:eastAsia="Calibri" w:hAnsi="Garamond" w:cs="Times New Roman"/>
        </w:rPr>
      </w:pPr>
      <w:r w:rsidRPr="003037D2">
        <w:rPr>
          <w:rFonts w:ascii="Garamond" w:eastAsia="Calibri" w:hAnsi="Garamond" w:cs="Times New Roman"/>
        </w:rPr>
        <w:t xml:space="preserve">Returning to the earlier discussion of how </w:t>
      </w:r>
      <w:bookmarkStart w:id="94" w:name="_Hlk520124790"/>
      <w:r w:rsidRPr="003037D2">
        <w:rPr>
          <w:rFonts w:ascii="Garamond" w:eastAsia="Calibri" w:hAnsi="Garamond" w:cs="Times New Roman"/>
        </w:rPr>
        <w:t>sermon title pages hook texts into a moment of time and place</w:t>
      </w:r>
      <w:bookmarkEnd w:id="94"/>
      <w:r w:rsidRPr="003037D2">
        <w:rPr>
          <w:rFonts w:ascii="Garamond" w:eastAsia="Calibri" w:hAnsi="Garamond" w:cs="Times New Roman"/>
        </w:rPr>
        <w:t xml:space="preserve">, we can see how Donne uses this sort of temporal anchor in his performative texts. The perfection of heaven is described here in terms of perfect balance: paired phrases suspended in time, actions without their opposite reaction. However, after building this image up, Donne destroys it instantly with the use of a simple conjunction, ‘but’. What is present, what is ‘here’, is the moment of parting and the breaking of community. </w:t>
      </w:r>
    </w:p>
    <w:p w14:paraId="12ED0764" w14:textId="77777777" w:rsidR="00162224" w:rsidRPr="003037D2" w:rsidRDefault="00162224" w:rsidP="00162224">
      <w:pPr>
        <w:spacing w:after="200" w:line="360" w:lineRule="auto"/>
        <w:rPr>
          <w:rFonts w:ascii="Garamond" w:eastAsia="Calibri" w:hAnsi="Garamond" w:cs="Times New Roman"/>
        </w:rPr>
      </w:pPr>
    </w:p>
    <w:p w14:paraId="2A4149F1" w14:textId="77777777" w:rsidR="00162224" w:rsidRPr="003037D2" w:rsidRDefault="00162224" w:rsidP="00162224">
      <w:pPr>
        <w:spacing w:after="200" w:line="360" w:lineRule="auto"/>
        <w:rPr>
          <w:rFonts w:ascii="Garamond" w:hAnsi="Garamond"/>
        </w:rPr>
      </w:pPr>
      <w:r w:rsidRPr="003037D2">
        <w:rPr>
          <w:rFonts w:ascii="Garamond" w:eastAsia="Calibri" w:hAnsi="Garamond" w:cs="Times New Roman"/>
        </w:rPr>
        <w:tab/>
        <w:t>The next of Donne’s sermons we have was given at Heidelberg,</w:t>
      </w:r>
      <w:r w:rsidRPr="003037D2">
        <w:rPr>
          <w:rFonts w:ascii="Garamond" w:hAnsi="Garamond"/>
        </w:rPr>
        <w:t xml:space="preserve"> ‘to the Prince and Princes Palatine, the Lady Elizabeth… when I was commanded by the King to wait upon my L[</w:t>
      </w:r>
      <w:proofErr w:type="spellStart"/>
      <w:r w:rsidRPr="003037D2">
        <w:rPr>
          <w:rFonts w:ascii="Garamond" w:hAnsi="Garamond"/>
        </w:rPr>
        <w:t>ord</w:t>
      </w:r>
      <w:proofErr w:type="spellEnd"/>
      <w:r w:rsidRPr="003037D2">
        <w:rPr>
          <w:rFonts w:ascii="Garamond" w:hAnsi="Garamond"/>
        </w:rPr>
        <w:t>] of Doncaster in his Embassage to Germany. First Sermon as we went out, June 1619’. The text is Romans 13.11, ‘For Now is our salvation nearer then when we believed’.</w:t>
      </w:r>
      <w:r w:rsidRPr="003037D2">
        <w:rPr>
          <w:rStyle w:val="FootnoteReference"/>
          <w:rFonts w:ascii="Garamond" w:hAnsi="Garamond"/>
        </w:rPr>
        <w:footnoteReference w:id="798"/>
      </w:r>
      <w:r w:rsidRPr="003037D2">
        <w:rPr>
          <w:rFonts w:ascii="Garamond" w:hAnsi="Garamond"/>
        </w:rPr>
        <w:t xml:space="preserve"> Donne opens the sermon with an analysis of the deictic ‘Now’: </w:t>
      </w:r>
    </w:p>
    <w:p w14:paraId="25BE6863" w14:textId="77777777" w:rsidR="00162224" w:rsidRPr="003037D2" w:rsidRDefault="00162224" w:rsidP="00162224">
      <w:pPr>
        <w:spacing w:after="200"/>
        <w:ind w:left="737" w:right="737"/>
        <w:rPr>
          <w:rFonts w:ascii="Garamond" w:eastAsia="Calibri" w:hAnsi="Garamond" w:cs="Times New Roman"/>
        </w:rPr>
      </w:pPr>
      <w:r w:rsidRPr="003037D2">
        <w:rPr>
          <w:rFonts w:ascii="Garamond" w:eastAsia="Calibri" w:hAnsi="Garamond" w:cs="Times New Roman"/>
        </w:rPr>
        <w:t xml:space="preserve">There is not a more comprehensive, a more embracing word in all Religion, then the first word of this Text, </w:t>
      </w:r>
      <w:r w:rsidRPr="003037D2">
        <w:rPr>
          <w:rFonts w:ascii="Garamond" w:eastAsia="Calibri" w:hAnsi="Garamond" w:cs="Times New Roman"/>
          <w:i/>
        </w:rPr>
        <w:t xml:space="preserve">Now;… </w:t>
      </w:r>
      <w:r w:rsidRPr="003037D2">
        <w:rPr>
          <w:rFonts w:ascii="Garamond" w:eastAsia="Calibri" w:hAnsi="Garamond" w:cs="Times New Roman"/>
        </w:rPr>
        <w:t xml:space="preserve">that important and considerable particle, </w:t>
      </w:r>
      <w:r w:rsidRPr="003037D2">
        <w:rPr>
          <w:rFonts w:ascii="Garamond" w:eastAsia="Calibri" w:hAnsi="Garamond" w:cs="Times New Roman"/>
          <w:i/>
        </w:rPr>
        <w:t xml:space="preserve">Now, Now I salvation nearer, &amp;c., </w:t>
      </w:r>
      <w:r w:rsidRPr="003037D2">
        <w:rPr>
          <w:rFonts w:ascii="Garamond" w:eastAsia="Calibri" w:hAnsi="Garamond" w:cs="Times New Roman"/>
        </w:rPr>
        <w:t xml:space="preserve">This present word, </w:t>
      </w:r>
      <w:r w:rsidRPr="003037D2">
        <w:rPr>
          <w:rFonts w:ascii="Garamond" w:eastAsia="Calibri" w:hAnsi="Garamond" w:cs="Times New Roman"/>
          <w:i/>
        </w:rPr>
        <w:t xml:space="preserve">Now, </w:t>
      </w:r>
      <w:r w:rsidRPr="003037D2">
        <w:rPr>
          <w:rFonts w:ascii="Garamond" w:eastAsia="Calibri" w:hAnsi="Garamond" w:cs="Times New Roman"/>
        </w:rPr>
        <w:t xml:space="preserve">denotes an Advent, a new coming, or a new operation, otherwise then it was before. And </w:t>
      </w:r>
      <w:proofErr w:type="gramStart"/>
      <w:r w:rsidRPr="003037D2">
        <w:rPr>
          <w:rFonts w:ascii="Garamond" w:eastAsia="Calibri" w:hAnsi="Garamond" w:cs="Times New Roman"/>
        </w:rPr>
        <w:t>therefore</w:t>
      </w:r>
      <w:proofErr w:type="gramEnd"/>
      <w:r w:rsidRPr="003037D2">
        <w:rPr>
          <w:rFonts w:ascii="Garamond" w:eastAsia="Calibri" w:hAnsi="Garamond" w:cs="Times New Roman"/>
        </w:rPr>
        <w:t xml:space="preserve"> doth the Church appropriate this Scripture to the celebration of the </w:t>
      </w:r>
      <w:r w:rsidRPr="003037D2">
        <w:rPr>
          <w:rFonts w:ascii="Garamond" w:eastAsia="Calibri" w:hAnsi="Garamond" w:cs="Times New Roman"/>
          <w:i/>
        </w:rPr>
        <w:t xml:space="preserve">Advent… </w:t>
      </w:r>
      <w:r w:rsidRPr="003037D2">
        <w:rPr>
          <w:rFonts w:ascii="Garamond" w:eastAsia="Calibri" w:hAnsi="Garamond" w:cs="Times New Roman"/>
        </w:rPr>
        <w:t xml:space="preserve">It is an extensive word, </w:t>
      </w:r>
      <w:r w:rsidRPr="003037D2">
        <w:rPr>
          <w:rFonts w:ascii="Garamond" w:eastAsia="Calibri" w:hAnsi="Garamond" w:cs="Times New Roman"/>
          <w:i/>
        </w:rPr>
        <w:t xml:space="preserve">Now; </w:t>
      </w:r>
      <w:r w:rsidRPr="003037D2">
        <w:rPr>
          <w:rFonts w:ascii="Garamond" w:eastAsia="Calibri" w:hAnsi="Garamond" w:cs="Times New Roman"/>
        </w:rPr>
        <w:t xml:space="preserve">for though we dispute whether this </w:t>
      </w:r>
      <w:r w:rsidRPr="003037D2">
        <w:rPr>
          <w:rFonts w:ascii="Garamond" w:eastAsia="Calibri" w:hAnsi="Garamond" w:cs="Times New Roman"/>
          <w:i/>
        </w:rPr>
        <w:t xml:space="preserve">Now, </w:t>
      </w:r>
      <w:r w:rsidRPr="003037D2">
        <w:rPr>
          <w:rFonts w:ascii="Garamond" w:eastAsia="Calibri" w:hAnsi="Garamond" w:cs="Times New Roman"/>
        </w:rPr>
        <w:t xml:space="preserve">that is whether an instant be any part of time or no, yet in truth it is all time; for whatsoever is past, was, and whatsoever is future, shall be an instant; and did and shall fall within this </w:t>
      </w:r>
      <w:r w:rsidRPr="003037D2">
        <w:rPr>
          <w:rFonts w:ascii="Garamond" w:eastAsia="Calibri" w:hAnsi="Garamond" w:cs="Times New Roman"/>
          <w:i/>
        </w:rPr>
        <w:t>Now.</w:t>
      </w:r>
      <w:bookmarkStart w:id="95" w:name="_Hlk532469611"/>
      <w:r w:rsidRPr="003037D2">
        <w:rPr>
          <w:rStyle w:val="FootnoteReference"/>
          <w:rFonts w:ascii="Garamond" w:eastAsia="Calibri" w:hAnsi="Garamond" w:cs="Times New Roman"/>
          <w:i/>
        </w:rPr>
        <w:footnoteReference w:id="799"/>
      </w:r>
      <w:bookmarkEnd w:id="95"/>
    </w:p>
    <w:p w14:paraId="14B75C88" w14:textId="77777777" w:rsidR="00162224" w:rsidRPr="003037D2" w:rsidRDefault="00162224" w:rsidP="00162224">
      <w:pPr>
        <w:spacing w:after="200" w:line="360" w:lineRule="auto"/>
        <w:rPr>
          <w:rFonts w:ascii="Garamond" w:eastAsia="Calibri" w:hAnsi="Garamond" w:cs="Times New Roman"/>
        </w:rPr>
      </w:pPr>
      <w:r w:rsidRPr="003037D2">
        <w:rPr>
          <w:rFonts w:ascii="Garamond" w:eastAsia="Calibri" w:hAnsi="Garamond" w:cs="Times New Roman"/>
        </w:rPr>
        <w:t xml:space="preserve">Here Donne provides his own answer to the thorny issue of how long </w:t>
      </w:r>
      <w:r w:rsidRPr="003037D2">
        <w:rPr>
          <w:rFonts w:ascii="Garamond" w:eastAsia="Calibri" w:hAnsi="Garamond" w:cs="Times New Roman"/>
          <w:i/>
          <w:iCs/>
        </w:rPr>
        <w:t xml:space="preserve">now </w:t>
      </w:r>
      <w:r w:rsidRPr="003037D2">
        <w:rPr>
          <w:rFonts w:ascii="Garamond" w:eastAsia="Calibri" w:hAnsi="Garamond" w:cs="Times New Roman"/>
        </w:rPr>
        <w:t xml:space="preserve">lasts. In Book XI of </w:t>
      </w:r>
      <w:r w:rsidRPr="003037D2">
        <w:rPr>
          <w:rFonts w:ascii="Garamond" w:eastAsia="Calibri" w:hAnsi="Garamond" w:cs="Times New Roman"/>
          <w:i/>
        </w:rPr>
        <w:t xml:space="preserve">Confessions, </w:t>
      </w:r>
      <w:r w:rsidRPr="003037D2">
        <w:rPr>
          <w:rFonts w:ascii="Garamond" w:eastAsia="Calibri" w:hAnsi="Garamond" w:cs="Times New Roman"/>
        </w:rPr>
        <w:t>Augustine states that ‘man’s attentive mind, which is present, is relegating the future to the past. The past increases in proportion as the future diminishes, until the future is entirely absorbed and the whole becomes past’.</w:t>
      </w:r>
      <w:r w:rsidRPr="003037D2">
        <w:rPr>
          <w:rStyle w:val="FootnoteReference"/>
          <w:rFonts w:ascii="Garamond" w:eastAsia="Calibri" w:hAnsi="Garamond" w:cs="Times New Roman"/>
        </w:rPr>
        <w:footnoteReference w:id="800"/>
      </w:r>
      <w:r w:rsidRPr="003037D2">
        <w:rPr>
          <w:rFonts w:ascii="Garamond" w:eastAsia="Calibri" w:hAnsi="Garamond" w:cs="Times New Roman"/>
        </w:rPr>
        <w:t xml:space="preserve"> This is the ‘punctual present’, ‘the point where the future meets the past’, which David Cram calls ‘an infinitesimally small point’ in his essay on ‘Time Horizons’.</w:t>
      </w:r>
      <w:r w:rsidRPr="003037D2">
        <w:rPr>
          <w:rStyle w:val="FootnoteReference"/>
          <w:rFonts w:ascii="Garamond" w:eastAsia="Calibri" w:hAnsi="Garamond" w:cs="Times New Roman"/>
        </w:rPr>
        <w:footnoteReference w:id="801"/>
      </w:r>
      <w:r w:rsidRPr="003037D2">
        <w:rPr>
          <w:rFonts w:ascii="Garamond" w:eastAsia="Calibri" w:hAnsi="Garamond" w:cs="Times New Roman"/>
        </w:rPr>
        <w:t xml:space="preserve"> However, ‘now’ can be considered in a broader sense. As noted by </w:t>
      </w:r>
      <w:bookmarkStart w:id="96" w:name="_Hlk520125867"/>
      <w:r w:rsidRPr="003037D2">
        <w:rPr>
          <w:rFonts w:ascii="Garamond" w:eastAsia="Calibri" w:hAnsi="Garamond" w:cs="Times New Roman"/>
        </w:rPr>
        <w:t>George Lakoff, Mark Johnston</w:t>
      </w:r>
      <w:bookmarkEnd w:id="96"/>
      <w:r w:rsidRPr="003037D2">
        <w:rPr>
          <w:rFonts w:ascii="Garamond" w:eastAsia="Calibri" w:hAnsi="Garamond" w:cs="Times New Roman"/>
        </w:rPr>
        <w:t xml:space="preserve"> and Cram, many languages enable their speakers to talk about time through metaphors of space: we are </w:t>
      </w:r>
      <w:r w:rsidRPr="003037D2">
        <w:rPr>
          <w:rFonts w:ascii="Garamond" w:eastAsia="Calibri" w:hAnsi="Garamond" w:cs="Times New Roman"/>
          <w:i/>
        </w:rPr>
        <w:t xml:space="preserve">in </w:t>
      </w:r>
      <w:r w:rsidRPr="003037D2">
        <w:rPr>
          <w:rFonts w:ascii="Garamond" w:eastAsia="Calibri" w:hAnsi="Garamond" w:cs="Times New Roman"/>
        </w:rPr>
        <w:t>the present.</w:t>
      </w:r>
      <w:r w:rsidRPr="003037D2">
        <w:rPr>
          <w:rStyle w:val="FootnoteReference"/>
          <w:rFonts w:ascii="Garamond" w:eastAsia="Calibri" w:hAnsi="Garamond" w:cs="Times New Roman"/>
        </w:rPr>
        <w:footnoteReference w:id="802"/>
      </w:r>
      <w:r w:rsidRPr="003037D2">
        <w:rPr>
          <w:rFonts w:ascii="Garamond" w:eastAsia="Calibri" w:hAnsi="Garamond" w:cs="Times New Roman"/>
        </w:rPr>
        <w:t xml:space="preserve"> Philosophers describe this present, which has breadth or duration, as the ‘specious present’, specious as in fictitious as it is a useful but inaccurate cognitive construct. Barry </w:t>
      </w:r>
      <w:proofErr w:type="spellStart"/>
      <w:r w:rsidRPr="003037D2">
        <w:rPr>
          <w:rFonts w:ascii="Garamond" w:eastAsia="Calibri" w:hAnsi="Garamond" w:cs="Times New Roman"/>
        </w:rPr>
        <w:t>Dainton</w:t>
      </w:r>
      <w:proofErr w:type="spellEnd"/>
      <w:r w:rsidRPr="003037D2">
        <w:rPr>
          <w:rFonts w:ascii="Garamond" w:eastAsia="Calibri" w:hAnsi="Garamond" w:cs="Times New Roman"/>
        </w:rPr>
        <w:t xml:space="preserve"> states that ‘specious presents consist of (brief) temporal spreads of phenomenal contents that are unified by (diachronic) co</w:t>
      </w:r>
      <w:r w:rsidRPr="003037D2">
        <w:rPr>
          <w:rFonts w:ascii="Times New Roman" w:eastAsia="Calibri" w:hAnsi="Times New Roman" w:cs="Times New Roman"/>
        </w:rPr>
        <w:t>‐</w:t>
      </w:r>
      <w:r w:rsidRPr="003037D2">
        <w:rPr>
          <w:rFonts w:ascii="Garamond" w:eastAsia="Calibri" w:hAnsi="Garamond" w:cs="Times New Roman"/>
        </w:rPr>
        <w:t>consciousness’.</w:t>
      </w:r>
      <w:r w:rsidRPr="003037D2">
        <w:rPr>
          <w:rStyle w:val="FootnoteReference"/>
          <w:rFonts w:ascii="Garamond" w:eastAsia="Calibri" w:hAnsi="Garamond" w:cs="Times New Roman"/>
        </w:rPr>
        <w:footnoteReference w:id="803"/>
      </w:r>
      <w:r w:rsidRPr="003037D2">
        <w:rPr>
          <w:rFonts w:ascii="Garamond" w:eastAsia="Calibri" w:hAnsi="Garamond" w:cs="Times New Roman"/>
        </w:rPr>
        <w:t xml:space="preserve">As Cram discusses, the specious present, ‘straddles the punctual present on both sides’, including a small part of the past and a small part of the </w:t>
      </w:r>
      <w:r w:rsidRPr="003037D2">
        <w:rPr>
          <w:rFonts w:ascii="Garamond" w:eastAsia="Calibri" w:hAnsi="Garamond" w:cs="Times New Roman"/>
        </w:rPr>
        <w:lastRenderedPageBreak/>
        <w:t>future.</w:t>
      </w:r>
      <w:r w:rsidRPr="003037D2">
        <w:rPr>
          <w:rStyle w:val="FootnoteReference"/>
          <w:rFonts w:ascii="Garamond" w:eastAsia="Calibri" w:hAnsi="Garamond" w:cs="Times New Roman"/>
        </w:rPr>
        <w:footnoteReference w:id="804"/>
      </w:r>
      <w:r w:rsidRPr="003037D2">
        <w:rPr>
          <w:rFonts w:ascii="Garamond" w:eastAsia="Calibri" w:hAnsi="Garamond" w:cs="Times New Roman"/>
        </w:rPr>
        <w:t xml:space="preserve"> It is the fact that </w:t>
      </w:r>
      <w:r w:rsidRPr="003037D2">
        <w:rPr>
          <w:rFonts w:ascii="Garamond" w:eastAsia="Calibri" w:hAnsi="Garamond" w:cs="Times New Roman"/>
          <w:i/>
          <w:iCs/>
        </w:rPr>
        <w:t>now</w:t>
      </w:r>
      <w:r w:rsidRPr="003037D2">
        <w:rPr>
          <w:rFonts w:ascii="Garamond" w:eastAsia="Calibri" w:hAnsi="Garamond" w:cs="Times New Roman"/>
        </w:rPr>
        <w:t xml:space="preserve"> is constantly moving, straddling both past and future, that makes it so ‘spacious’ in Donne’s construction. </w:t>
      </w:r>
      <w:proofErr w:type="gramStart"/>
      <w:r w:rsidRPr="003037D2">
        <w:rPr>
          <w:rFonts w:ascii="Garamond" w:eastAsia="Calibri" w:hAnsi="Garamond" w:cs="Times New Roman"/>
        </w:rPr>
        <w:t>All of</w:t>
      </w:r>
      <w:proofErr w:type="gramEnd"/>
      <w:r w:rsidRPr="003037D2">
        <w:rPr>
          <w:rFonts w:ascii="Garamond" w:eastAsia="Calibri" w:hAnsi="Garamond" w:cs="Times New Roman"/>
        </w:rPr>
        <w:t xml:space="preserve"> the past and future will at one point have been part of a ‘now’, and for Donne can they can continue to be referred to in that way. </w:t>
      </w:r>
    </w:p>
    <w:p w14:paraId="59659A95" w14:textId="77777777" w:rsidR="00162224" w:rsidRPr="003037D2" w:rsidRDefault="00162224" w:rsidP="00162224">
      <w:pPr>
        <w:spacing w:after="200" w:line="360" w:lineRule="auto"/>
        <w:rPr>
          <w:rFonts w:ascii="Garamond" w:eastAsia="Calibri" w:hAnsi="Garamond" w:cs="Times New Roman"/>
        </w:rPr>
      </w:pPr>
    </w:p>
    <w:p w14:paraId="29E8236B" w14:textId="77777777" w:rsidR="00162224" w:rsidRPr="003037D2" w:rsidRDefault="00162224" w:rsidP="00667CD5">
      <w:pPr>
        <w:spacing w:line="360" w:lineRule="auto"/>
        <w:ind w:firstLine="720"/>
        <w:rPr>
          <w:rFonts w:ascii="Garamond" w:eastAsia="Calibri" w:hAnsi="Garamond" w:cs="Times New Roman"/>
        </w:rPr>
      </w:pPr>
      <w:r w:rsidRPr="003037D2">
        <w:rPr>
          <w:rFonts w:ascii="Garamond" w:eastAsia="Calibri" w:hAnsi="Garamond" w:cs="Times New Roman"/>
        </w:rPr>
        <w:t xml:space="preserve">Donne’s ambiguous deixis has been the subject of recent critical attention from Heather Dubrow, Danielle Hilaire and Angelika </w:t>
      </w:r>
      <w:proofErr w:type="spellStart"/>
      <w:r w:rsidRPr="003037D2">
        <w:rPr>
          <w:rFonts w:ascii="Garamond" w:eastAsia="Calibri" w:hAnsi="Garamond" w:cs="Times New Roman"/>
        </w:rPr>
        <w:t>Zirker</w:t>
      </w:r>
      <w:proofErr w:type="spellEnd"/>
      <w:r w:rsidRPr="003037D2">
        <w:rPr>
          <w:rFonts w:ascii="Garamond" w:eastAsia="Calibri" w:hAnsi="Garamond" w:cs="Times New Roman"/>
        </w:rPr>
        <w:t>.</w:t>
      </w:r>
      <w:r w:rsidRPr="003037D2">
        <w:rPr>
          <w:rFonts w:ascii="Garamond" w:eastAsia="Calibri" w:hAnsi="Garamond" w:cs="Times New Roman"/>
          <w:vertAlign w:val="superscript"/>
        </w:rPr>
        <w:footnoteReference w:id="805"/>
      </w:r>
      <w:r w:rsidRPr="003037D2">
        <w:rPr>
          <w:rFonts w:ascii="Garamond" w:eastAsia="Calibri" w:hAnsi="Garamond" w:cs="Times New Roman"/>
        </w:rPr>
        <w:t xml:space="preserve"> As discussed by </w:t>
      </w:r>
      <w:proofErr w:type="spellStart"/>
      <w:r w:rsidRPr="003037D2">
        <w:rPr>
          <w:rFonts w:ascii="Garamond" w:eastAsia="Calibri" w:hAnsi="Garamond" w:cs="Times New Roman"/>
        </w:rPr>
        <w:t>Zirker</w:t>
      </w:r>
      <w:proofErr w:type="spellEnd"/>
      <w:r w:rsidRPr="003037D2">
        <w:rPr>
          <w:rFonts w:ascii="Garamond" w:eastAsia="Calibri" w:hAnsi="Garamond" w:cs="Times New Roman"/>
        </w:rPr>
        <w:t xml:space="preserve">, the immediacy of Donne’s </w:t>
      </w:r>
      <w:r w:rsidRPr="003037D2">
        <w:rPr>
          <w:rFonts w:ascii="Garamond" w:eastAsia="Calibri" w:hAnsi="Garamond" w:cs="Times New Roman"/>
          <w:i/>
          <w:iCs/>
        </w:rPr>
        <w:t>Holy Sonnets</w:t>
      </w:r>
      <w:r w:rsidRPr="003037D2">
        <w:rPr>
          <w:rFonts w:ascii="Garamond" w:eastAsia="Calibri" w:hAnsi="Garamond" w:cs="Times New Roman"/>
        </w:rPr>
        <w:t xml:space="preserve"> is often mediated through abstruse language. ‘Holy Sonnet 6’ opens, ‘This is my play's last scene; here heavens appoint/ My pilgrimage's last mile’.</w:t>
      </w:r>
      <w:r w:rsidRPr="003037D2">
        <w:rPr>
          <w:rFonts w:ascii="Garamond" w:eastAsia="Calibri" w:hAnsi="Garamond" w:cs="Times New Roman"/>
          <w:vertAlign w:val="superscript"/>
        </w:rPr>
        <w:footnoteReference w:id="806"/>
      </w:r>
      <w:r w:rsidRPr="003037D2">
        <w:rPr>
          <w:rFonts w:ascii="Garamond" w:eastAsia="Calibri" w:hAnsi="Garamond" w:cs="Times New Roman"/>
        </w:rPr>
        <w:t xml:space="preserve"> Both ‘this’ and ‘here’ are what Dubrow would term ‘flashlights’: words that direct the reader’s attention, that point like </w:t>
      </w:r>
      <w:proofErr w:type="spellStart"/>
      <w:r w:rsidRPr="003037D2">
        <w:rPr>
          <w:rFonts w:ascii="Garamond" w:eastAsia="Calibri" w:hAnsi="Garamond" w:cs="Times New Roman"/>
        </w:rPr>
        <w:t>manicules</w:t>
      </w:r>
      <w:proofErr w:type="spellEnd"/>
      <w:r w:rsidRPr="003037D2">
        <w:rPr>
          <w:rFonts w:ascii="Garamond" w:eastAsia="Calibri" w:hAnsi="Garamond" w:cs="Times New Roman"/>
        </w:rPr>
        <w:t xml:space="preserve"> to a moment in time and space.</w:t>
      </w:r>
      <w:r w:rsidRPr="003037D2">
        <w:rPr>
          <w:rFonts w:ascii="Garamond" w:eastAsia="Calibri" w:hAnsi="Garamond" w:cs="Times New Roman"/>
          <w:vertAlign w:val="superscript"/>
        </w:rPr>
        <w:footnoteReference w:id="807"/>
      </w:r>
      <w:r w:rsidRPr="003037D2">
        <w:rPr>
          <w:rFonts w:ascii="Garamond" w:eastAsia="Calibri" w:hAnsi="Garamond" w:cs="Times New Roman"/>
        </w:rPr>
        <w:t xml:space="preserve"> Donne </w:t>
      </w:r>
      <w:proofErr w:type="spellStart"/>
      <w:r w:rsidRPr="003037D2">
        <w:rPr>
          <w:rFonts w:ascii="Garamond" w:eastAsia="Calibri" w:hAnsi="Garamond" w:cs="Times New Roman"/>
        </w:rPr>
        <w:t>emphasises</w:t>
      </w:r>
      <w:proofErr w:type="spellEnd"/>
      <w:r w:rsidRPr="003037D2">
        <w:rPr>
          <w:rFonts w:ascii="Garamond" w:eastAsia="Calibri" w:hAnsi="Garamond" w:cs="Times New Roman"/>
        </w:rPr>
        <w:t xml:space="preserve"> the brevity of this last scene, reducing it to only a single punctuation mark, ‘My span's last inch, my minute's latest point’. We are reminded of Augustine’s description of the present moment, diminishing as the past expands with each passing minute. The </w:t>
      </w:r>
      <w:proofErr w:type="spellStart"/>
      <w:r w:rsidRPr="003037D2">
        <w:rPr>
          <w:rFonts w:ascii="Garamond" w:eastAsia="Calibri" w:hAnsi="Garamond" w:cs="Times New Roman"/>
        </w:rPr>
        <w:t>volta</w:t>
      </w:r>
      <w:proofErr w:type="spellEnd"/>
      <w:r w:rsidRPr="003037D2">
        <w:rPr>
          <w:rFonts w:ascii="Garamond" w:eastAsia="Calibri" w:hAnsi="Garamond" w:cs="Times New Roman"/>
        </w:rPr>
        <w:t xml:space="preserve"> of the sonnet hinges on another deictic term: </w:t>
      </w:r>
    </w:p>
    <w:p w14:paraId="49A378D1" w14:textId="77777777" w:rsidR="00162224" w:rsidRPr="003037D2" w:rsidRDefault="00162224" w:rsidP="00162224">
      <w:pPr>
        <w:ind w:left="720" w:firstLine="720"/>
        <w:rPr>
          <w:rFonts w:ascii="Garamond" w:eastAsia="Calibri" w:hAnsi="Garamond" w:cs="Times New Roman"/>
        </w:rPr>
      </w:pPr>
      <w:r w:rsidRPr="003037D2">
        <w:rPr>
          <w:rFonts w:ascii="Garamond" w:eastAsia="Calibri" w:hAnsi="Garamond" w:cs="Times New Roman"/>
        </w:rPr>
        <w:t xml:space="preserve">Then, as my soul </w:t>
      </w:r>
      <w:proofErr w:type="spellStart"/>
      <w:r w:rsidRPr="003037D2">
        <w:rPr>
          <w:rFonts w:ascii="Garamond" w:eastAsia="Calibri" w:hAnsi="Garamond" w:cs="Times New Roman"/>
        </w:rPr>
        <w:t>to'heaven</w:t>
      </w:r>
      <w:proofErr w:type="spellEnd"/>
      <w:r w:rsidRPr="003037D2">
        <w:rPr>
          <w:rFonts w:ascii="Garamond" w:eastAsia="Calibri" w:hAnsi="Garamond" w:cs="Times New Roman"/>
        </w:rPr>
        <w:t xml:space="preserve">, her first seat, takes flight, </w:t>
      </w:r>
    </w:p>
    <w:p w14:paraId="1F5EC591" w14:textId="77777777" w:rsidR="00162224" w:rsidRPr="003037D2" w:rsidRDefault="00162224" w:rsidP="00162224">
      <w:pPr>
        <w:ind w:left="720" w:firstLine="720"/>
        <w:rPr>
          <w:rFonts w:ascii="Garamond" w:eastAsia="Calibri" w:hAnsi="Garamond" w:cs="Times New Roman"/>
        </w:rPr>
      </w:pPr>
      <w:r w:rsidRPr="003037D2">
        <w:rPr>
          <w:rFonts w:ascii="Garamond" w:eastAsia="Calibri" w:hAnsi="Garamond" w:cs="Times New Roman"/>
        </w:rPr>
        <w:t xml:space="preserve">And earth-born body in the earth shall dwell, </w:t>
      </w:r>
    </w:p>
    <w:p w14:paraId="11CE04C6" w14:textId="77777777" w:rsidR="00162224" w:rsidRPr="003037D2" w:rsidRDefault="00162224" w:rsidP="00162224">
      <w:pPr>
        <w:ind w:left="720" w:firstLine="720"/>
        <w:rPr>
          <w:rFonts w:ascii="Garamond" w:eastAsia="Calibri" w:hAnsi="Garamond" w:cs="Times New Roman"/>
        </w:rPr>
      </w:pPr>
      <w:proofErr w:type="gramStart"/>
      <w:r w:rsidRPr="003037D2">
        <w:rPr>
          <w:rFonts w:ascii="Garamond" w:eastAsia="Calibri" w:hAnsi="Garamond" w:cs="Times New Roman"/>
        </w:rPr>
        <w:t>So</w:t>
      </w:r>
      <w:proofErr w:type="gramEnd"/>
      <w:r w:rsidRPr="003037D2">
        <w:rPr>
          <w:rFonts w:ascii="Garamond" w:eastAsia="Calibri" w:hAnsi="Garamond" w:cs="Times New Roman"/>
        </w:rPr>
        <w:t xml:space="preserve"> fall my sins, that all may have their right, </w:t>
      </w:r>
    </w:p>
    <w:p w14:paraId="2799E324" w14:textId="77777777" w:rsidR="00162224" w:rsidRPr="003037D2" w:rsidRDefault="00162224" w:rsidP="00162224">
      <w:pPr>
        <w:ind w:left="720" w:firstLine="720"/>
        <w:rPr>
          <w:rFonts w:ascii="Garamond" w:eastAsia="Calibri" w:hAnsi="Garamond" w:cs="Times New Roman"/>
        </w:rPr>
      </w:pPr>
      <w:r w:rsidRPr="003037D2">
        <w:rPr>
          <w:rFonts w:ascii="Garamond" w:eastAsia="Calibri" w:hAnsi="Garamond" w:cs="Times New Roman"/>
        </w:rPr>
        <w:t xml:space="preserve">To where </w:t>
      </w:r>
      <w:proofErr w:type="spellStart"/>
      <w:r w:rsidRPr="003037D2">
        <w:rPr>
          <w:rFonts w:ascii="Garamond" w:eastAsia="Calibri" w:hAnsi="Garamond" w:cs="Times New Roman"/>
        </w:rPr>
        <w:t>they'are</w:t>
      </w:r>
      <w:proofErr w:type="spellEnd"/>
      <w:r w:rsidRPr="003037D2">
        <w:rPr>
          <w:rFonts w:ascii="Garamond" w:eastAsia="Calibri" w:hAnsi="Garamond" w:cs="Times New Roman"/>
        </w:rPr>
        <w:t xml:space="preserve"> bred, and would press me, to hell.</w:t>
      </w:r>
      <w:r w:rsidRPr="003037D2">
        <w:rPr>
          <w:rStyle w:val="FootnoteReference"/>
          <w:rFonts w:ascii="Garamond" w:eastAsia="Calibri" w:hAnsi="Garamond" w:cs="Times New Roman"/>
        </w:rPr>
        <w:footnoteReference w:id="808"/>
      </w:r>
    </w:p>
    <w:p w14:paraId="55ABB34B" w14:textId="77777777" w:rsidR="00162224" w:rsidRPr="003037D2" w:rsidRDefault="00162224" w:rsidP="00162224">
      <w:pPr>
        <w:spacing w:line="360" w:lineRule="auto"/>
        <w:ind w:left="720" w:firstLine="720"/>
        <w:rPr>
          <w:rFonts w:ascii="Garamond" w:eastAsia="Calibri" w:hAnsi="Garamond" w:cs="Times New Roman"/>
        </w:rPr>
      </w:pPr>
    </w:p>
    <w:p w14:paraId="370A2E92" w14:textId="77777777" w:rsidR="00162224" w:rsidRPr="003037D2" w:rsidRDefault="00162224" w:rsidP="00162224">
      <w:pPr>
        <w:spacing w:after="200" w:line="360" w:lineRule="auto"/>
        <w:rPr>
          <w:rFonts w:ascii="Garamond" w:eastAsia="Calibri" w:hAnsi="Garamond" w:cs="Times New Roman"/>
        </w:rPr>
      </w:pPr>
      <w:r w:rsidRPr="003037D2">
        <w:rPr>
          <w:rFonts w:ascii="Garamond" w:eastAsia="Calibri" w:hAnsi="Garamond" w:cs="Times New Roman"/>
        </w:rPr>
        <w:t xml:space="preserve">If we were situated with Donne in the present moment of ‘this’ at the beginning of the sonnet, the ‘then’ takes us into the future. This scans with the conditional ‘shall’, however, when we move on to ‘so fall my sins’, this is presented as a certainty, something that has already </w:t>
      </w:r>
      <w:proofErr w:type="gramStart"/>
      <w:r w:rsidRPr="003037D2">
        <w:rPr>
          <w:rFonts w:ascii="Garamond" w:eastAsia="Calibri" w:hAnsi="Garamond" w:cs="Times New Roman"/>
        </w:rPr>
        <w:t>happened</w:t>
      </w:r>
      <w:proofErr w:type="gramEnd"/>
      <w:r w:rsidRPr="003037D2">
        <w:rPr>
          <w:rFonts w:ascii="Garamond" w:eastAsia="Calibri" w:hAnsi="Garamond" w:cs="Times New Roman"/>
        </w:rPr>
        <w:t xml:space="preserve"> and we can look back on. Thus far, critical attention regarding the use of deixis has predominantly focused on Donne’s poetry, rather than his sermons. This seems a missed opportunity. The implicit addressee of the </w:t>
      </w:r>
      <w:r w:rsidRPr="003037D2">
        <w:rPr>
          <w:rFonts w:ascii="Garamond" w:eastAsia="Calibri" w:hAnsi="Garamond" w:cs="Times New Roman"/>
        </w:rPr>
        <w:lastRenderedPageBreak/>
        <w:t>poems, who is invited to look, stands in contrast to the very real and present audience of the sermons who could be directed by the actual movements of the preacher.</w:t>
      </w:r>
      <w:r w:rsidRPr="003037D2">
        <w:rPr>
          <w:rStyle w:val="FootnoteReference"/>
          <w:rFonts w:ascii="Garamond" w:eastAsia="Calibri" w:hAnsi="Garamond" w:cs="Times New Roman"/>
        </w:rPr>
        <w:footnoteReference w:id="809"/>
      </w:r>
      <w:r w:rsidRPr="003037D2">
        <w:rPr>
          <w:rFonts w:ascii="Garamond" w:eastAsia="Calibri" w:hAnsi="Garamond" w:cs="Times New Roman"/>
        </w:rPr>
        <w:t xml:space="preserve"> </w:t>
      </w:r>
    </w:p>
    <w:p w14:paraId="1CA96737" w14:textId="77777777" w:rsidR="00162224" w:rsidRPr="003037D2" w:rsidRDefault="00162224" w:rsidP="00162224">
      <w:pPr>
        <w:spacing w:after="200" w:line="360" w:lineRule="auto"/>
        <w:rPr>
          <w:rFonts w:ascii="Garamond" w:eastAsia="Calibri" w:hAnsi="Garamond" w:cs="Times New Roman"/>
        </w:rPr>
      </w:pPr>
    </w:p>
    <w:p w14:paraId="29E96A18" w14:textId="77777777" w:rsidR="00162224" w:rsidRPr="003037D2" w:rsidRDefault="00162224" w:rsidP="00667CD5">
      <w:pPr>
        <w:spacing w:line="360" w:lineRule="auto"/>
        <w:ind w:firstLine="720"/>
        <w:rPr>
          <w:rFonts w:ascii="Garamond" w:eastAsia="Calibri" w:hAnsi="Garamond" w:cs="Times New Roman"/>
        </w:rPr>
      </w:pPr>
      <w:r w:rsidRPr="003037D2">
        <w:rPr>
          <w:rFonts w:ascii="Garamond" w:eastAsia="Calibri" w:hAnsi="Garamond" w:cs="Times New Roman"/>
        </w:rPr>
        <w:t xml:space="preserve">The Heidelberg sermon continues, ‘We consider in the Church four </w:t>
      </w:r>
      <w:r w:rsidRPr="003037D2">
        <w:rPr>
          <w:rFonts w:ascii="Garamond" w:eastAsia="Calibri" w:hAnsi="Garamond" w:cs="Times New Roman"/>
          <w:i/>
        </w:rPr>
        <w:t xml:space="preserve">Advents </w:t>
      </w:r>
      <w:r w:rsidRPr="003037D2">
        <w:rPr>
          <w:rFonts w:ascii="Garamond" w:eastAsia="Calibri" w:hAnsi="Garamond" w:cs="Times New Roman"/>
        </w:rPr>
        <w:t xml:space="preserve">or Comings of Christ, of every one of which we may say </w:t>
      </w:r>
      <w:r w:rsidRPr="003037D2">
        <w:rPr>
          <w:rFonts w:ascii="Garamond" w:eastAsia="Calibri" w:hAnsi="Garamond" w:cs="Times New Roman"/>
          <w:i/>
        </w:rPr>
        <w:t xml:space="preserve">Now, </w:t>
      </w:r>
      <w:r w:rsidRPr="003037D2">
        <w:rPr>
          <w:rFonts w:ascii="Garamond" w:eastAsia="Calibri" w:hAnsi="Garamond" w:cs="Times New Roman"/>
        </w:rPr>
        <w:t xml:space="preserve">now it is otherwise then before’. This is a puzzling phrase, Donne seems to be suggesting that each of the four ‘Advents’ inhabit the same </w:t>
      </w:r>
      <w:r w:rsidRPr="003037D2">
        <w:rPr>
          <w:rFonts w:ascii="Garamond" w:eastAsia="Calibri" w:hAnsi="Garamond" w:cs="Times New Roman"/>
          <w:i/>
          <w:iCs/>
        </w:rPr>
        <w:t>now</w:t>
      </w:r>
      <w:r w:rsidRPr="003037D2">
        <w:rPr>
          <w:rFonts w:ascii="Garamond" w:eastAsia="Calibri" w:hAnsi="Garamond" w:cs="Times New Roman"/>
        </w:rPr>
        <w:t xml:space="preserve">, whilst also insisting on their separateness: that change is occurring </w:t>
      </w:r>
      <w:r w:rsidRPr="003037D2">
        <w:rPr>
          <w:rFonts w:ascii="Garamond" w:eastAsia="Calibri" w:hAnsi="Garamond" w:cs="Times New Roman"/>
          <w:i/>
          <w:iCs/>
        </w:rPr>
        <w:t xml:space="preserve">now, </w:t>
      </w:r>
      <w:r w:rsidRPr="003037D2">
        <w:rPr>
          <w:rFonts w:ascii="Garamond" w:eastAsia="Calibri" w:hAnsi="Garamond" w:cs="Times New Roman"/>
        </w:rPr>
        <w:t xml:space="preserve">at this moment, making things ‘otherwise then before’. The further deixis of this phrase, both the ‘it’ and ‘then before’, only adds to this lack of clarity. There is an attempt to illuminate where these events sit in time. Donne outlines the four Advents: </w:t>
      </w:r>
    </w:p>
    <w:p w14:paraId="7A97EEA3" w14:textId="77777777" w:rsidR="00162224" w:rsidRPr="003037D2" w:rsidRDefault="00162224" w:rsidP="00162224">
      <w:pPr>
        <w:spacing w:after="200"/>
        <w:ind w:left="737" w:right="737"/>
        <w:rPr>
          <w:rFonts w:ascii="Garamond" w:eastAsia="Calibri" w:hAnsi="Garamond" w:cs="Times New Roman"/>
        </w:rPr>
      </w:pPr>
      <w:r w:rsidRPr="003037D2">
        <w:rPr>
          <w:rFonts w:ascii="Garamond" w:eastAsia="Calibri" w:hAnsi="Garamond" w:cs="Times New Roman"/>
        </w:rPr>
        <w:t xml:space="preserve">For first there is </w:t>
      </w:r>
      <w:r w:rsidRPr="003037D2">
        <w:rPr>
          <w:rFonts w:ascii="Garamond" w:eastAsia="Calibri" w:hAnsi="Garamond" w:cs="Times New Roman"/>
          <w:i/>
        </w:rPr>
        <w:t xml:space="preserve">verbum in carne, </w:t>
      </w:r>
      <w:r w:rsidRPr="003037D2">
        <w:rPr>
          <w:rFonts w:ascii="Garamond" w:eastAsia="Calibri" w:hAnsi="Garamond" w:cs="Times New Roman"/>
        </w:rPr>
        <w:t xml:space="preserve">the word came in the flesh, in the Incarnation; and then there is </w:t>
      </w:r>
      <w:proofErr w:type="spellStart"/>
      <w:r w:rsidRPr="003037D2">
        <w:rPr>
          <w:rFonts w:ascii="Garamond" w:eastAsia="Calibri" w:hAnsi="Garamond" w:cs="Times New Roman"/>
          <w:i/>
        </w:rPr>
        <w:t>caro</w:t>
      </w:r>
      <w:proofErr w:type="spellEnd"/>
      <w:r w:rsidRPr="003037D2">
        <w:rPr>
          <w:rFonts w:ascii="Garamond" w:eastAsia="Calibri" w:hAnsi="Garamond" w:cs="Times New Roman"/>
          <w:i/>
        </w:rPr>
        <w:t xml:space="preserve"> in </w:t>
      </w:r>
      <w:proofErr w:type="spellStart"/>
      <w:r w:rsidRPr="003037D2">
        <w:rPr>
          <w:rFonts w:ascii="Garamond" w:eastAsia="Calibri" w:hAnsi="Garamond" w:cs="Times New Roman"/>
          <w:i/>
        </w:rPr>
        <w:t>verba</w:t>
      </w:r>
      <w:proofErr w:type="spellEnd"/>
      <w:r w:rsidRPr="003037D2">
        <w:rPr>
          <w:rFonts w:ascii="Garamond" w:eastAsia="Calibri" w:hAnsi="Garamond" w:cs="Times New Roman"/>
          <w:i/>
        </w:rPr>
        <w:t xml:space="preserve">, </w:t>
      </w:r>
      <w:r w:rsidRPr="003037D2">
        <w:rPr>
          <w:rFonts w:ascii="Garamond" w:eastAsia="Calibri" w:hAnsi="Garamond" w:cs="Times New Roman"/>
        </w:rPr>
        <w:t xml:space="preserve">he that is made flesh comes in the word, that is, Christ comes in the preaching whereof; and he comes again </w:t>
      </w:r>
      <w:r w:rsidRPr="003037D2">
        <w:rPr>
          <w:rFonts w:ascii="Garamond" w:eastAsia="Calibri" w:hAnsi="Garamond" w:cs="Times New Roman"/>
          <w:i/>
        </w:rPr>
        <w:t xml:space="preserve">in carne salute, </w:t>
      </w:r>
      <w:r w:rsidRPr="003037D2">
        <w:rPr>
          <w:rFonts w:ascii="Garamond" w:eastAsia="Calibri" w:hAnsi="Garamond" w:cs="Times New Roman"/>
        </w:rPr>
        <w:t xml:space="preserve">when at our dissolution and transmigration, at our death he comes by his spirit…. And </w:t>
      </w:r>
      <w:proofErr w:type="gramStart"/>
      <w:r w:rsidRPr="003037D2">
        <w:rPr>
          <w:rFonts w:ascii="Garamond" w:eastAsia="Calibri" w:hAnsi="Garamond" w:cs="Times New Roman"/>
        </w:rPr>
        <w:t>lastly</w:t>
      </w:r>
      <w:proofErr w:type="gramEnd"/>
      <w:r w:rsidRPr="003037D2">
        <w:rPr>
          <w:rFonts w:ascii="Garamond" w:eastAsia="Calibri" w:hAnsi="Garamond" w:cs="Times New Roman"/>
        </w:rPr>
        <w:t xml:space="preserve"> he comes </w:t>
      </w:r>
      <w:r w:rsidRPr="003037D2">
        <w:rPr>
          <w:rFonts w:ascii="Garamond" w:eastAsia="Calibri" w:hAnsi="Garamond" w:cs="Times New Roman"/>
          <w:i/>
        </w:rPr>
        <w:t xml:space="preserve">in carne </w:t>
      </w:r>
      <w:proofErr w:type="spellStart"/>
      <w:r w:rsidRPr="003037D2">
        <w:rPr>
          <w:rFonts w:ascii="Garamond" w:eastAsia="Calibri" w:hAnsi="Garamond" w:cs="Times New Roman"/>
          <w:i/>
        </w:rPr>
        <w:t>reddita</w:t>
      </w:r>
      <w:proofErr w:type="spellEnd"/>
      <w:r w:rsidRPr="003037D2">
        <w:rPr>
          <w:rFonts w:ascii="Garamond" w:eastAsia="Calibri" w:hAnsi="Garamond" w:cs="Times New Roman"/>
          <w:i/>
        </w:rPr>
        <w:t xml:space="preserve">, </w:t>
      </w:r>
      <w:r w:rsidRPr="003037D2">
        <w:rPr>
          <w:rFonts w:ascii="Garamond" w:eastAsia="Calibri" w:hAnsi="Garamond" w:cs="Times New Roman"/>
        </w:rPr>
        <w:t>when he shall come at the Resurrection, to redeliver our bodies to our souls, and to deliver everlasting glory to both.</w:t>
      </w:r>
      <w:r w:rsidRPr="003037D2">
        <w:rPr>
          <w:rStyle w:val="FootnoteReference"/>
          <w:rFonts w:ascii="Garamond" w:eastAsia="Calibri" w:hAnsi="Garamond" w:cs="Times New Roman"/>
        </w:rPr>
        <w:footnoteReference w:id="810"/>
      </w:r>
    </w:p>
    <w:p w14:paraId="31AACDD7" w14:textId="77777777" w:rsidR="00162224" w:rsidRPr="003037D2" w:rsidRDefault="00162224" w:rsidP="00162224">
      <w:pPr>
        <w:spacing w:after="200" w:line="360" w:lineRule="auto"/>
        <w:rPr>
          <w:rFonts w:ascii="Garamond" w:eastAsia="Calibri" w:hAnsi="Garamond" w:cs="Times New Roman"/>
        </w:rPr>
      </w:pPr>
      <w:r w:rsidRPr="003037D2">
        <w:rPr>
          <w:rFonts w:ascii="Garamond" w:eastAsia="Calibri" w:hAnsi="Garamond" w:cs="Times New Roman"/>
        </w:rPr>
        <w:t>Whilst one of these advents, one of the ‘</w:t>
      </w:r>
      <w:proofErr w:type="spellStart"/>
      <w:r w:rsidRPr="003037D2">
        <w:rPr>
          <w:rFonts w:ascii="Garamond" w:eastAsia="Calibri" w:hAnsi="Garamond" w:cs="Times New Roman"/>
        </w:rPr>
        <w:t>nows</w:t>
      </w:r>
      <w:proofErr w:type="spellEnd"/>
      <w:r w:rsidRPr="003037D2">
        <w:rPr>
          <w:rFonts w:ascii="Garamond" w:eastAsia="Calibri" w:hAnsi="Garamond" w:cs="Times New Roman"/>
        </w:rPr>
        <w:t xml:space="preserve">’, is fixed in history (the Incarnation) the others occur multiple times. </w:t>
      </w:r>
      <w:r w:rsidRPr="003037D2">
        <w:rPr>
          <w:rFonts w:ascii="Garamond" w:eastAsia="Calibri" w:hAnsi="Garamond" w:cs="Times New Roman"/>
          <w:i/>
        </w:rPr>
        <w:t xml:space="preserve">Caro in </w:t>
      </w:r>
      <w:proofErr w:type="spellStart"/>
      <w:r w:rsidRPr="003037D2">
        <w:rPr>
          <w:rFonts w:ascii="Garamond" w:eastAsia="Calibri" w:hAnsi="Garamond" w:cs="Times New Roman"/>
          <w:i/>
        </w:rPr>
        <w:t>verba</w:t>
      </w:r>
      <w:proofErr w:type="spellEnd"/>
      <w:r w:rsidRPr="003037D2">
        <w:rPr>
          <w:rFonts w:ascii="Garamond" w:eastAsia="Calibri" w:hAnsi="Garamond" w:cs="Times New Roman"/>
          <w:i/>
        </w:rPr>
        <w:t xml:space="preserve">, </w:t>
      </w:r>
      <w:r w:rsidRPr="003037D2">
        <w:rPr>
          <w:rFonts w:ascii="Garamond" w:eastAsia="Calibri" w:hAnsi="Garamond" w:cs="Times New Roman"/>
        </w:rPr>
        <w:t xml:space="preserve">or advent by preaching, would be occurring continuously and regularly with the pattern of the church week. Moreover, though the ‘preaching-now’ would at least be experienced communally, the ‘now’ of death would be particular to </w:t>
      </w:r>
      <w:proofErr w:type="gramStart"/>
      <w:r w:rsidRPr="003037D2">
        <w:rPr>
          <w:rFonts w:ascii="Garamond" w:eastAsia="Calibri" w:hAnsi="Garamond" w:cs="Times New Roman"/>
        </w:rPr>
        <w:t>each individual</w:t>
      </w:r>
      <w:proofErr w:type="gramEnd"/>
      <w:r w:rsidRPr="003037D2">
        <w:rPr>
          <w:rFonts w:ascii="Garamond" w:eastAsia="Calibri" w:hAnsi="Garamond" w:cs="Times New Roman"/>
        </w:rPr>
        <w:t xml:space="preserve">. However, it is with the fourth ‘now’ that Donne points out a problem, saying, ‘but the Apostle could not properly use this present word </w:t>
      </w:r>
      <w:r w:rsidRPr="003037D2">
        <w:rPr>
          <w:rFonts w:ascii="Garamond" w:eastAsia="Calibri" w:hAnsi="Garamond" w:cs="Times New Roman"/>
          <w:i/>
        </w:rPr>
        <w:t xml:space="preserve">Now, </w:t>
      </w:r>
      <w:r w:rsidRPr="003037D2">
        <w:rPr>
          <w:rFonts w:ascii="Garamond" w:eastAsia="Calibri" w:hAnsi="Garamond" w:cs="Times New Roman"/>
        </w:rPr>
        <w:t>with relation to that which is not now, that is, to future glory’. The solution to this logical inconsistency, at least for Donne, is ‘that future glory hath a preparation and an inchoation in present grace’.</w:t>
      </w:r>
      <w:r w:rsidRPr="003037D2">
        <w:rPr>
          <w:rStyle w:val="FootnoteReference"/>
          <w:rFonts w:ascii="Garamond" w:eastAsia="Calibri" w:hAnsi="Garamond" w:cs="Times New Roman"/>
        </w:rPr>
        <w:footnoteReference w:id="811"/>
      </w:r>
      <w:r w:rsidRPr="003037D2">
        <w:rPr>
          <w:rFonts w:ascii="Garamond" w:eastAsia="Calibri" w:hAnsi="Garamond" w:cs="Times New Roman"/>
        </w:rPr>
        <w:t xml:space="preserve"> The unusual lexical choice of ‘inchoation’ continues Donne’s focus on the grammar of salvation, as in seventeenth-century usage it could be both a general beginning and the prefix of a word.</w:t>
      </w:r>
      <w:r w:rsidRPr="003037D2">
        <w:rPr>
          <w:rStyle w:val="FootnoteReference"/>
          <w:rFonts w:ascii="Garamond" w:eastAsia="Calibri" w:hAnsi="Garamond" w:cs="Times New Roman"/>
        </w:rPr>
        <w:footnoteReference w:id="812"/>
      </w:r>
      <w:r w:rsidRPr="003037D2">
        <w:rPr>
          <w:rFonts w:ascii="Garamond" w:eastAsia="Calibri" w:hAnsi="Garamond" w:cs="Times New Roman"/>
        </w:rPr>
        <w:t xml:space="preserve"> It is the ambiguity of this phrase that Donne celebrates and hence the variety of times it can refer to. </w:t>
      </w:r>
    </w:p>
    <w:p w14:paraId="00A776DE" w14:textId="77777777" w:rsidR="00162224" w:rsidRPr="003037D2" w:rsidRDefault="00162224" w:rsidP="00162224">
      <w:pPr>
        <w:spacing w:after="200" w:line="360" w:lineRule="auto"/>
        <w:rPr>
          <w:rFonts w:ascii="Garamond" w:eastAsia="Calibri" w:hAnsi="Garamond" w:cs="Times New Roman"/>
        </w:rPr>
      </w:pPr>
    </w:p>
    <w:p w14:paraId="3387DA3F" w14:textId="77777777" w:rsidR="00162224" w:rsidRPr="003037D2" w:rsidRDefault="00162224" w:rsidP="00162224">
      <w:pPr>
        <w:spacing w:after="200" w:line="360" w:lineRule="auto"/>
        <w:rPr>
          <w:rFonts w:ascii="Garamond" w:eastAsia="Calibri" w:hAnsi="Garamond" w:cs="Times New Roman"/>
        </w:rPr>
      </w:pPr>
      <w:r w:rsidRPr="003037D2">
        <w:rPr>
          <w:rFonts w:ascii="Garamond" w:eastAsia="Calibri" w:hAnsi="Garamond" w:cs="Times New Roman"/>
        </w:rPr>
        <w:tab/>
        <w:t>In the previously discussed sermon on Ecclesiastes 12.1, given at Lincoln’s Inn prior to Donne’s departure to Germany, Donne mapped the seven days of creation on to the Christian’s life: ‘This remembrance of God is our regeneration, by which we are new creatures; and therefore we may consider as many days in it, as in the first creation’.</w:t>
      </w:r>
      <w:r w:rsidRPr="003037D2">
        <w:rPr>
          <w:rStyle w:val="FootnoteReference"/>
          <w:rFonts w:ascii="Garamond" w:eastAsia="Calibri" w:hAnsi="Garamond" w:cs="Times New Roman"/>
        </w:rPr>
        <w:footnoteReference w:id="813"/>
      </w:r>
      <w:r w:rsidRPr="003037D2">
        <w:rPr>
          <w:rFonts w:ascii="Garamond" w:eastAsia="Calibri" w:hAnsi="Garamond" w:cs="Times New Roman"/>
        </w:rPr>
        <w:t xml:space="preserve"> The creation of light on the first day is likened to ‘the light and love of the Gospel… that light shed upon us in our baptism’.</w:t>
      </w:r>
      <w:r w:rsidRPr="003037D2">
        <w:rPr>
          <w:rStyle w:val="FootnoteReference"/>
          <w:rFonts w:ascii="Garamond" w:eastAsia="Calibri" w:hAnsi="Garamond" w:cs="Times New Roman"/>
        </w:rPr>
        <w:footnoteReference w:id="814"/>
      </w:r>
      <w:r w:rsidRPr="003037D2">
        <w:rPr>
          <w:rFonts w:ascii="Garamond" w:eastAsia="Calibri" w:hAnsi="Garamond" w:cs="Times New Roman"/>
        </w:rPr>
        <w:t xml:space="preserve"> Already operating on multiple temporal levels, after spending some time expounding on this first day, Donne draws his congregation’s attention to the swiftly passing time of the sermon, saying he must ‘make shorter days of the rest, (for we must pass through all the six days in a few minutes)'.</w:t>
      </w:r>
      <w:r w:rsidRPr="003037D2">
        <w:rPr>
          <w:rStyle w:val="FootnoteReference"/>
          <w:rFonts w:ascii="Garamond" w:eastAsia="Calibri" w:hAnsi="Garamond" w:cs="Times New Roman"/>
        </w:rPr>
        <w:footnoteReference w:id="815"/>
      </w:r>
      <w:r w:rsidRPr="003037D2">
        <w:rPr>
          <w:rFonts w:ascii="Garamond" w:eastAsia="Calibri" w:hAnsi="Garamond" w:cs="Times New Roman"/>
        </w:rPr>
        <w:t xml:space="preserve"> The necessary contraction of this cycle is acknowledged, ‘now all these </w:t>
      </w:r>
      <w:proofErr w:type="spellStart"/>
      <w:r w:rsidRPr="003037D2">
        <w:rPr>
          <w:rFonts w:ascii="Garamond" w:eastAsia="Calibri" w:hAnsi="Garamond" w:cs="Times New Roman"/>
        </w:rPr>
        <w:t>daies</w:t>
      </w:r>
      <w:proofErr w:type="spellEnd"/>
      <w:r w:rsidRPr="003037D2">
        <w:rPr>
          <w:rFonts w:ascii="Garamond" w:eastAsia="Calibri" w:hAnsi="Garamond" w:cs="Times New Roman"/>
        </w:rPr>
        <w:t xml:space="preserve"> are contracted into less room in this text, </w:t>
      </w:r>
      <w:r w:rsidRPr="003037D2">
        <w:rPr>
          <w:rFonts w:ascii="Garamond" w:eastAsia="Calibri" w:hAnsi="Garamond" w:cs="Times New Roman"/>
          <w:i/>
        </w:rPr>
        <w:t xml:space="preserve">In </w:t>
      </w:r>
      <w:proofErr w:type="spellStart"/>
      <w:r w:rsidRPr="003037D2">
        <w:rPr>
          <w:rFonts w:ascii="Garamond" w:eastAsia="Calibri" w:hAnsi="Garamond" w:cs="Times New Roman"/>
          <w:i/>
        </w:rPr>
        <w:t>diebus</w:t>
      </w:r>
      <w:proofErr w:type="spellEnd"/>
      <w:r w:rsidRPr="003037D2">
        <w:rPr>
          <w:rFonts w:ascii="Garamond" w:eastAsia="Calibri" w:hAnsi="Garamond" w:cs="Times New Roman"/>
          <w:i/>
        </w:rPr>
        <w:t xml:space="preserve"> </w:t>
      </w:r>
      <w:proofErr w:type="spellStart"/>
      <w:r w:rsidRPr="003037D2">
        <w:rPr>
          <w:rFonts w:ascii="Garamond" w:eastAsia="Calibri" w:hAnsi="Garamond" w:cs="Times New Roman"/>
          <w:i/>
        </w:rPr>
        <w:t>Bechurothieica</w:t>
      </w:r>
      <w:proofErr w:type="spellEnd"/>
      <w:r w:rsidRPr="003037D2">
        <w:rPr>
          <w:rFonts w:ascii="Garamond" w:eastAsia="Calibri" w:hAnsi="Garamond" w:cs="Times New Roman"/>
          <w:i/>
        </w:rPr>
        <w:t xml:space="preserve">, </w:t>
      </w:r>
      <w:r w:rsidRPr="003037D2">
        <w:rPr>
          <w:rFonts w:ascii="Garamond" w:eastAsia="Calibri" w:hAnsi="Garamond" w:cs="Times New Roman"/>
        </w:rPr>
        <w:t xml:space="preserve">is either, </w:t>
      </w:r>
      <w:r w:rsidRPr="003037D2">
        <w:rPr>
          <w:rFonts w:ascii="Garamond" w:eastAsia="Calibri" w:hAnsi="Garamond" w:cs="Times New Roman"/>
          <w:i/>
        </w:rPr>
        <w:t xml:space="preserve">in the </w:t>
      </w:r>
      <w:proofErr w:type="spellStart"/>
      <w:r w:rsidRPr="003037D2">
        <w:rPr>
          <w:rFonts w:ascii="Garamond" w:eastAsia="Calibri" w:hAnsi="Garamond" w:cs="Times New Roman"/>
          <w:i/>
        </w:rPr>
        <w:t>daies</w:t>
      </w:r>
      <w:proofErr w:type="spellEnd"/>
      <w:r w:rsidRPr="003037D2">
        <w:rPr>
          <w:rFonts w:ascii="Garamond" w:eastAsia="Calibri" w:hAnsi="Garamond" w:cs="Times New Roman"/>
          <w:i/>
        </w:rPr>
        <w:t xml:space="preserve"> of thy youth, </w:t>
      </w:r>
      <w:r w:rsidRPr="003037D2">
        <w:rPr>
          <w:rFonts w:ascii="Garamond" w:eastAsia="Calibri" w:hAnsi="Garamond" w:cs="Times New Roman"/>
        </w:rPr>
        <w:t xml:space="preserve">or </w:t>
      </w:r>
      <w:proofErr w:type="spellStart"/>
      <w:r w:rsidRPr="003037D2">
        <w:rPr>
          <w:rFonts w:ascii="Garamond" w:eastAsia="Calibri" w:hAnsi="Garamond" w:cs="Times New Roman"/>
          <w:i/>
        </w:rPr>
        <w:t>electionum</w:t>
      </w:r>
      <w:proofErr w:type="spellEnd"/>
      <w:r w:rsidRPr="003037D2">
        <w:rPr>
          <w:rFonts w:ascii="Garamond" w:eastAsia="Calibri" w:hAnsi="Garamond" w:cs="Times New Roman"/>
          <w:i/>
        </w:rPr>
        <w:t xml:space="preserve"> </w:t>
      </w:r>
      <w:proofErr w:type="spellStart"/>
      <w:r w:rsidRPr="003037D2">
        <w:rPr>
          <w:rFonts w:ascii="Garamond" w:eastAsia="Calibri" w:hAnsi="Garamond" w:cs="Times New Roman"/>
          <w:i/>
        </w:rPr>
        <w:t>tuarum</w:t>
      </w:r>
      <w:proofErr w:type="spellEnd"/>
      <w:r w:rsidRPr="003037D2">
        <w:rPr>
          <w:rFonts w:ascii="Garamond" w:eastAsia="Calibri" w:hAnsi="Garamond" w:cs="Times New Roman"/>
          <w:i/>
        </w:rPr>
        <w:t xml:space="preserve">, in the </w:t>
      </w:r>
      <w:proofErr w:type="spellStart"/>
      <w:r w:rsidRPr="003037D2">
        <w:rPr>
          <w:rFonts w:ascii="Garamond" w:eastAsia="Calibri" w:hAnsi="Garamond" w:cs="Times New Roman"/>
          <w:i/>
        </w:rPr>
        <w:t>daies</w:t>
      </w:r>
      <w:proofErr w:type="spellEnd"/>
      <w:r w:rsidRPr="003037D2">
        <w:rPr>
          <w:rFonts w:ascii="Garamond" w:eastAsia="Calibri" w:hAnsi="Garamond" w:cs="Times New Roman"/>
          <w:i/>
        </w:rPr>
        <w:t xml:space="preserve"> of thy </w:t>
      </w:r>
      <w:proofErr w:type="spellStart"/>
      <w:r w:rsidRPr="003037D2">
        <w:rPr>
          <w:rFonts w:ascii="Garamond" w:eastAsia="Calibri" w:hAnsi="Garamond" w:cs="Times New Roman"/>
          <w:i/>
        </w:rPr>
        <w:t>hearts desire</w:t>
      </w:r>
      <w:proofErr w:type="spellEnd"/>
      <w:r w:rsidRPr="003037D2">
        <w:rPr>
          <w:rFonts w:ascii="Garamond" w:eastAsia="Calibri" w:hAnsi="Garamond" w:cs="Times New Roman"/>
          <w:i/>
        </w:rPr>
        <w:t>’</w:t>
      </w:r>
      <w:r w:rsidRPr="003037D2">
        <w:rPr>
          <w:rFonts w:ascii="Garamond" w:eastAsia="Calibri" w:hAnsi="Garamond" w:cs="Times New Roman"/>
        </w:rPr>
        <w:t>.</w:t>
      </w:r>
      <w:r w:rsidRPr="003037D2">
        <w:rPr>
          <w:rStyle w:val="FootnoteReference"/>
          <w:rFonts w:ascii="Garamond" w:eastAsia="Calibri" w:hAnsi="Garamond" w:cs="Times New Roman"/>
        </w:rPr>
        <w:footnoteReference w:id="816"/>
      </w:r>
      <w:r w:rsidRPr="003037D2">
        <w:rPr>
          <w:rFonts w:ascii="Garamond" w:eastAsia="Calibri" w:hAnsi="Garamond" w:cs="Times New Roman"/>
        </w:rPr>
        <w:t xml:space="preserve"> Donne not only offers a guide to devotion for the course of a life span, but also for every week mirroring the original week of creation. </w:t>
      </w:r>
    </w:p>
    <w:p w14:paraId="7DCC742F" w14:textId="77777777" w:rsidR="00162224" w:rsidRPr="003037D2" w:rsidRDefault="00162224" w:rsidP="00162224">
      <w:pPr>
        <w:spacing w:after="200" w:line="360" w:lineRule="auto"/>
        <w:rPr>
          <w:rFonts w:ascii="Garamond" w:eastAsia="Calibri" w:hAnsi="Garamond" w:cs="Times New Roman"/>
        </w:rPr>
      </w:pPr>
    </w:p>
    <w:p w14:paraId="2792177D" w14:textId="77777777" w:rsidR="00162224" w:rsidRPr="003037D2" w:rsidRDefault="00162224" w:rsidP="00667CD5">
      <w:pPr>
        <w:spacing w:line="360" w:lineRule="auto"/>
        <w:contextualSpacing/>
        <w:rPr>
          <w:rFonts w:ascii="Garamond" w:eastAsia="Calibri" w:hAnsi="Garamond" w:cs="Times New Roman"/>
        </w:rPr>
      </w:pPr>
      <w:r w:rsidRPr="003037D2">
        <w:rPr>
          <w:rFonts w:ascii="Garamond" w:eastAsia="Calibri" w:hAnsi="Garamond" w:cs="Times New Roman"/>
        </w:rPr>
        <w:tab/>
        <w:t xml:space="preserve">In the sermon on Romans 13.11, following a rather convoluted discussion of the different temporal frames of grace Donne continually uses ‘flashlights’ (to use Dubrow’s terminology) to direct his congregation’s attention: ‘Behold thy Salvation </w:t>
      </w:r>
      <w:proofErr w:type="spellStart"/>
      <w:r w:rsidRPr="003037D2">
        <w:rPr>
          <w:rFonts w:ascii="Garamond" w:eastAsia="Calibri" w:hAnsi="Garamond" w:cs="Times New Roman"/>
        </w:rPr>
        <w:t>commeth</w:t>
      </w:r>
      <w:proofErr w:type="spellEnd"/>
      <w:r w:rsidRPr="003037D2">
        <w:rPr>
          <w:rFonts w:ascii="Garamond" w:eastAsia="Calibri" w:hAnsi="Garamond" w:cs="Times New Roman"/>
        </w:rPr>
        <w:t xml:space="preserve">… </w:t>
      </w:r>
      <w:r w:rsidRPr="003037D2">
        <w:rPr>
          <w:rFonts w:ascii="Garamond" w:eastAsia="Calibri" w:hAnsi="Garamond" w:cs="Times New Roman"/>
          <w:i/>
        </w:rPr>
        <w:t xml:space="preserve">Ecce, </w:t>
      </w:r>
      <w:r w:rsidRPr="003037D2">
        <w:rPr>
          <w:rFonts w:ascii="Garamond" w:eastAsia="Calibri" w:hAnsi="Garamond" w:cs="Times New Roman"/>
        </w:rPr>
        <w:t>behold it now, when thou canst behold nothing else’.</w:t>
      </w:r>
      <w:r w:rsidRPr="003037D2">
        <w:rPr>
          <w:rStyle w:val="FootnoteReference"/>
          <w:rFonts w:ascii="Garamond" w:eastAsia="Calibri" w:hAnsi="Garamond" w:cs="Times New Roman"/>
        </w:rPr>
        <w:footnoteReference w:id="817"/>
      </w:r>
      <w:r w:rsidRPr="003037D2">
        <w:rPr>
          <w:rFonts w:ascii="Garamond" w:eastAsia="Calibri" w:hAnsi="Garamond" w:cs="Times New Roman"/>
        </w:rPr>
        <w:t xml:space="preserve"> The direct instructions compel the auditors to engage in a work of imagination, to </w:t>
      </w:r>
      <w:proofErr w:type="spellStart"/>
      <w:r w:rsidRPr="003037D2">
        <w:rPr>
          <w:rFonts w:ascii="Garamond" w:eastAsia="Calibri" w:hAnsi="Garamond" w:cs="Times New Roman"/>
        </w:rPr>
        <w:t>visualise</w:t>
      </w:r>
      <w:proofErr w:type="spellEnd"/>
      <w:r w:rsidRPr="003037D2">
        <w:rPr>
          <w:rFonts w:ascii="Garamond" w:eastAsia="Calibri" w:hAnsi="Garamond" w:cs="Times New Roman"/>
        </w:rPr>
        <w:t xml:space="preserve"> their coming salvation. Donne offers them a means to do so, providing an evocative description of the gradual loss of possessions and senses: </w:t>
      </w:r>
    </w:p>
    <w:p w14:paraId="2A9BE191" w14:textId="77777777" w:rsidR="00162224" w:rsidRPr="003037D2" w:rsidRDefault="00162224" w:rsidP="00162224">
      <w:pPr>
        <w:ind w:left="737" w:right="737"/>
        <w:rPr>
          <w:rFonts w:ascii="Garamond" w:eastAsia="Calibri" w:hAnsi="Garamond" w:cs="Times New Roman"/>
        </w:rPr>
      </w:pPr>
      <w:r w:rsidRPr="003037D2">
        <w:rPr>
          <w:rFonts w:ascii="Garamond" w:eastAsia="Calibri" w:hAnsi="Garamond" w:cs="Times New Roman"/>
        </w:rPr>
        <w:t xml:space="preserve">The sun is setting to thee, and that </w:t>
      </w:r>
      <w:proofErr w:type="spellStart"/>
      <w:r w:rsidRPr="003037D2">
        <w:rPr>
          <w:rFonts w:ascii="Garamond" w:eastAsia="Calibri" w:hAnsi="Garamond" w:cs="Times New Roman"/>
        </w:rPr>
        <w:t>for ever</w:t>
      </w:r>
      <w:proofErr w:type="spellEnd"/>
      <w:r w:rsidRPr="003037D2">
        <w:rPr>
          <w:rFonts w:ascii="Garamond" w:eastAsia="Calibri" w:hAnsi="Garamond" w:cs="Times New Roman"/>
        </w:rPr>
        <w:t xml:space="preserve">; thy houses and </w:t>
      </w:r>
      <w:proofErr w:type="spellStart"/>
      <w:r w:rsidRPr="003037D2">
        <w:rPr>
          <w:rFonts w:ascii="Garamond" w:eastAsia="Calibri" w:hAnsi="Garamond" w:cs="Times New Roman"/>
        </w:rPr>
        <w:t>furnitures</w:t>
      </w:r>
      <w:proofErr w:type="spellEnd"/>
      <w:r w:rsidRPr="003037D2">
        <w:rPr>
          <w:rFonts w:ascii="Garamond" w:eastAsia="Calibri" w:hAnsi="Garamond" w:cs="Times New Roman"/>
        </w:rPr>
        <w:t xml:space="preserve">, thy gardens and orchards, thy titles and offices, thy wife and children are departing from thee, and that </w:t>
      </w:r>
      <w:proofErr w:type="spellStart"/>
      <w:r w:rsidRPr="003037D2">
        <w:rPr>
          <w:rFonts w:ascii="Garamond" w:eastAsia="Calibri" w:hAnsi="Garamond" w:cs="Times New Roman"/>
        </w:rPr>
        <w:t>for ever</w:t>
      </w:r>
      <w:proofErr w:type="spellEnd"/>
      <w:r w:rsidRPr="003037D2">
        <w:rPr>
          <w:rFonts w:ascii="Garamond" w:eastAsia="Calibri" w:hAnsi="Garamond" w:cs="Times New Roman"/>
        </w:rPr>
        <w:t xml:space="preserve"> a cloud of faintness is come over thine eyes, and a cloud of sorrow over theirs; when his hand that loves </w:t>
      </w:r>
      <w:proofErr w:type="spellStart"/>
      <w:r w:rsidRPr="003037D2">
        <w:rPr>
          <w:rFonts w:ascii="Garamond" w:eastAsia="Calibri" w:hAnsi="Garamond" w:cs="Times New Roman"/>
        </w:rPr>
        <w:t>thee</w:t>
      </w:r>
      <w:proofErr w:type="spellEnd"/>
      <w:r w:rsidRPr="003037D2">
        <w:rPr>
          <w:rFonts w:ascii="Garamond" w:eastAsia="Calibri" w:hAnsi="Garamond" w:cs="Times New Roman"/>
        </w:rPr>
        <w:t xml:space="preserve"> best hangs tremblingly over thee to close thine eyes.</w:t>
      </w:r>
      <w:r w:rsidRPr="003037D2">
        <w:rPr>
          <w:rStyle w:val="FootnoteReference"/>
          <w:rFonts w:ascii="Garamond" w:eastAsia="Calibri" w:hAnsi="Garamond" w:cs="Times New Roman"/>
        </w:rPr>
        <w:footnoteReference w:id="818"/>
      </w:r>
      <w:r w:rsidRPr="003037D2">
        <w:rPr>
          <w:rFonts w:ascii="Garamond" w:eastAsia="Calibri" w:hAnsi="Garamond" w:cs="Times New Roman"/>
        </w:rPr>
        <w:t xml:space="preserve"> </w:t>
      </w:r>
    </w:p>
    <w:p w14:paraId="39293245" w14:textId="77777777" w:rsidR="00162224" w:rsidRPr="003037D2" w:rsidRDefault="00162224" w:rsidP="00162224">
      <w:pPr>
        <w:spacing w:line="360" w:lineRule="auto"/>
        <w:ind w:left="737" w:right="737"/>
        <w:rPr>
          <w:rFonts w:ascii="Garamond" w:eastAsia="Calibri" w:hAnsi="Garamond" w:cs="Times New Roman"/>
        </w:rPr>
      </w:pPr>
    </w:p>
    <w:p w14:paraId="7C7A5C8D" w14:textId="77777777"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lastRenderedPageBreak/>
        <w:t xml:space="preserve">Considering Donne seems to have genuinely feared that he might not return from his trip to Germany, this description of death, surrounded by homely possessions and family is particularly resonant. This death scene, whilst concerning, is in a certain sense a best-case scenario for one who was fearing death in an unfamiliar land. Donne then uses another deictic pointer, directing the congregation both where and how to see: </w:t>
      </w:r>
    </w:p>
    <w:p w14:paraId="715D26AA" w14:textId="1C66F1BF" w:rsidR="00162224" w:rsidRDefault="00162224" w:rsidP="00667CD5">
      <w:pPr>
        <w:ind w:left="737" w:right="737"/>
        <w:rPr>
          <w:rFonts w:ascii="Garamond" w:eastAsia="Calibri" w:hAnsi="Garamond" w:cs="Times New Roman"/>
        </w:rPr>
      </w:pPr>
      <w:r w:rsidRPr="003037D2">
        <w:rPr>
          <w:rFonts w:ascii="Garamond" w:eastAsia="Calibri" w:hAnsi="Garamond" w:cs="Times New Roman"/>
        </w:rPr>
        <w:t xml:space="preserve">behold then a new light, thy </w:t>
      </w:r>
      <w:proofErr w:type="spellStart"/>
      <w:r w:rsidRPr="003037D2">
        <w:rPr>
          <w:rFonts w:ascii="Garamond" w:eastAsia="Calibri" w:hAnsi="Garamond" w:cs="Times New Roman"/>
        </w:rPr>
        <w:t>Saviours</w:t>
      </w:r>
      <w:proofErr w:type="spellEnd"/>
      <w:r w:rsidRPr="003037D2">
        <w:rPr>
          <w:rFonts w:ascii="Garamond" w:eastAsia="Calibri" w:hAnsi="Garamond" w:cs="Times New Roman"/>
        </w:rPr>
        <w:t xml:space="preserve"> hand shall open thine eyes… and thus shalt see that though in the eyes of men thou lye upon that bed, as a Statue on a Tomb, yet in the eyes of God, thou </w:t>
      </w:r>
      <w:proofErr w:type="spellStart"/>
      <w:r w:rsidRPr="003037D2">
        <w:rPr>
          <w:rFonts w:ascii="Garamond" w:eastAsia="Calibri" w:hAnsi="Garamond" w:cs="Times New Roman"/>
        </w:rPr>
        <w:t>standest</w:t>
      </w:r>
      <w:proofErr w:type="spellEnd"/>
      <w:r w:rsidRPr="003037D2">
        <w:rPr>
          <w:rFonts w:ascii="Garamond" w:eastAsia="Calibri" w:hAnsi="Garamond" w:cs="Times New Roman"/>
        </w:rPr>
        <w:t xml:space="preserve"> as a </w:t>
      </w:r>
      <w:r w:rsidRPr="003037D2">
        <w:rPr>
          <w:rFonts w:ascii="Garamond" w:eastAsia="Calibri" w:hAnsi="Garamond" w:cs="Times New Roman"/>
          <w:i/>
        </w:rPr>
        <w:t xml:space="preserve">Colossus… </w:t>
      </w:r>
      <w:r w:rsidRPr="003037D2">
        <w:rPr>
          <w:rFonts w:ascii="Garamond" w:eastAsia="Calibri" w:hAnsi="Garamond" w:cs="Times New Roman"/>
        </w:rPr>
        <w:t xml:space="preserve">one foot in the grave, but the other in heaven; one hand in the womb of the earth, and the other in </w:t>
      </w:r>
      <w:r w:rsidRPr="003037D2">
        <w:rPr>
          <w:rFonts w:ascii="Garamond" w:eastAsia="Calibri" w:hAnsi="Garamond" w:cs="Times New Roman"/>
          <w:i/>
        </w:rPr>
        <w:t xml:space="preserve">Abrahams </w:t>
      </w:r>
      <w:proofErr w:type="spellStart"/>
      <w:r w:rsidRPr="003037D2">
        <w:rPr>
          <w:rFonts w:ascii="Garamond" w:eastAsia="Calibri" w:hAnsi="Garamond" w:cs="Times New Roman"/>
        </w:rPr>
        <w:t>bosome</w:t>
      </w:r>
      <w:proofErr w:type="spellEnd"/>
      <w:r w:rsidRPr="003037D2">
        <w:rPr>
          <w:rFonts w:ascii="Garamond" w:eastAsia="Calibri" w:hAnsi="Garamond" w:cs="Times New Roman"/>
        </w:rPr>
        <w:t xml:space="preserve">: And then </w:t>
      </w:r>
      <w:proofErr w:type="spellStart"/>
      <w:r w:rsidRPr="003037D2">
        <w:rPr>
          <w:rFonts w:ascii="Garamond" w:eastAsia="Calibri" w:hAnsi="Garamond" w:cs="Times New Roman"/>
          <w:i/>
        </w:rPr>
        <w:t>vere</w:t>
      </w:r>
      <w:proofErr w:type="spellEnd"/>
      <w:r w:rsidRPr="003037D2">
        <w:rPr>
          <w:rFonts w:ascii="Garamond" w:eastAsia="Calibri" w:hAnsi="Garamond" w:cs="Times New Roman"/>
          <w:i/>
        </w:rPr>
        <w:t xml:space="preserve"> </w:t>
      </w:r>
      <w:proofErr w:type="spellStart"/>
      <w:r w:rsidRPr="003037D2">
        <w:rPr>
          <w:rFonts w:ascii="Garamond" w:eastAsia="Calibri" w:hAnsi="Garamond" w:cs="Times New Roman"/>
          <w:i/>
        </w:rPr>
        <w:t>prope</w:t>
      </w:r>
      <w:proofErr w:type="spellEnd"/>
      <w:r w:rsidRPr="003037D2">
        <w:rPr>
          <w:rFonts w:ascii="Garamond" w:eastAsia="Calibri" w:hAnsi="Garamond" w:cs="Times New Roman"/>
        </w:rPr>
        <w:t xml:space="preserve">, Salvation is truly </w:t>
      </w:r>
      <w:proofErr w:type="spellStart"/>
      <w:r w:rsidRPr="003037D2">
        <w:rPr>
          <w:rFonts w:ascii="Garamond" w:eastAsia="Calibri" w:hAnsi="Garamond" w:cs="Times New Roman"/>
        </w:rPr>
        <w:t>neer</w:t>
      </w:r>
      <w:proofErr w:type="spellEnd"/>
      <w:r w:rsidRPr="003037D2">
        <w:rPr>
          <w:rFonts w:ascii="Garamond" w:eastAsia="Calibri" w:hAnsi="Garamond" w:cs="Times New Roman"/>
        </w:rPr>
        <w:t xml:space="preserve"> thee, and nearer than when thou </w:t>
      </w:r>
      <w:proofErr w:type="spellStart"/>
      <w:r w:rsidRPr="003037D2">
        <w:rPr>
          <w:rFonts w:ascii="Garamond" w:eastAsia="Calibri" w:hAnsi="Garamond" w:cs="Times New Roman"/>
        </w:rPr>
        <w:t>belevedst</w:t>
      </w:r>
      <w:proofErr w:type="spellEnd"/>
      <w:r w:rsidRPr="003037D2">
        <w:rPr>
          <w:rFonts w:ascii="Garamond" w:eastAsia="Calibri" w:hAnsi="Garamond" w:cs="Times New Roman"/>
        </w:rPr>
        <w:t>, which is our last word.</w:t>
      </w:r>
      <w:r w:rsidRPr="003037D2">
        <w:rPr>
          <w:rStyle w:val="FootnoteReference"/>
          <w:rFonts w:ascii="Garamond" w:eastAsia="Calibri" w:hAnsi="Garamond" w:cs="Times New Roman"/>
        </w:rPr>
        <w:footnoteReference w:id="819"/>
      </w:r>
      <w:r w:rsidR="00667CD5">
        <w:rPr>
          <w:rFonts w:ascii="Garamond" w:eastAsia="Calibri" w:hAnsi="Garamond" w:cs="Times New Roman"/>
        </w:rPr>
        <w:t xml:space="preserve">  </w:t>
      </w:r>
    </w:p>
    <w:p w14:paraId="3454F572" w14:textId="77777777" w:rsidR="00667CD5" w:rsidRPr="003037D2" w:rsidRDefault="00667CD5" w:rsidP="00667CD5">
      <w:pPr>
        <w:ind w:left="737" w:right="737"/>
        <w:rPr>
          <w:rFonts w:ascii="Garamond" w:eastAsia="Calibri" w:hAnsi="Garamond" w:cs="Times New Roman"/>
        </w:rPr>
      </w:pPr>
    </w:p>
    <w:p w14:paraId="1DA14018" w14:textId="77777777" w:rsidR="00162224" w:rsidRPr="003037D2" w:rsidRDefault="00162224" w:rsidP="00162224">
      <w:pPr>
        <w:spacing w:line="360" w:lineRule="auto"/>
        <w:rPr>
          <w:rFonts w:ascii="Garamond" w:eastAsia="Calibri" w:hAnsi="Garamond" w:cs="Times New Roman"/>
        </w:rPr>
      </w:pPr>
      <w:r w:rsidRPr="003037D2">
        <w:rPr>
          <w:rFonts w:ascii="Garamond" w:eastAsia="Calibri" w:hAnsi="Garamond" w:cs="Times New Roman"/>
        </w:rPr>
        <w:t xml:space="preserve">The congregation are given three ways to see: as themselves entering the afterlife, through the eyes of those they left behind, and with God’s vision. It is this imagined future that offers true nearness. Donne closes the sermon with a vision of how this future can be brought closer, ‘when the best Instrument, and the best song shall meet together, and thy bell shall </w:t>
      </w:r>
      <w:proofErr w:type="spellStart"/>
      <w:r w:rsidRPr="003037D2">
        <w:rPr>
          <w:rFonts w:ascii="Garamond" w:eastAsia="Calibri" w:hAnsi="Garamond" w:cs="Times New Roman"/>
        </w:rPr>
        <w:t>towl</w:t>
      </w:r>
      <w:proofErr w:type="spellEnd"/>
      <w:r w:rsidRPr="003037D2">
        <w:rPr>
          <w:rFonts w:ascii="Garamond" w:eastAsia="Calibri" w:hAnsi="Garamond" w:cs="Times New Roman"/>
        </w:rPr>
        <w:t xml:space="preserve">… behold thy </w:t>
      </w:r>
      <w:proofErr w:type="spellStart"/>
      <w:r w:rsidRPr="003037D2">
        <w:rPr>
          <w:rFonts w:ascii="Garamond" w:eastAsia="Calibri" w:hAnsi="Garamond" w:cs="Times New Roman"/>
        </w:rPr>
        <w:t>Saviour</w:t>
      </w:r>
      <w:proofErr w:type="spellEnd"/>
      <w:r w:rsidRPr="003037D2">
        <w:rPr>
          <w:rFonts w:ascii="Garamond" w:eastAsia="Calibri" w:hAnsi="Garamond" w:cs="Times New Roman"/>
        </w:rPr>
        <w:t xml:space="preserve"> cometh, thou </w:t>
      </w:r>
      <w:proofErr w:type="spellStart"/>
      <w:r w:rsidRPr="003037D2">
        <w:rPr>
          <w:rFonts w:ascii="Garamond" w:eastAsia="Calibri" w:hAnsi="Garamond" w:cs="Times New Roman"/>
        </w:rPr>
        <w:t>maist</w:t>
      </w:r>
      <w:proofErr w:type="spellEnd"/>
      <w:r w:rsidRPr="003037D2">
        <w:rPr>
          <w:rFonts w:ascii="Garamond" w:eastAsia="Calibri" w:hAnsi="Garamond" w:cs="Times New Roman"/>
        </w:rPr>
        <w:t xml:space="preserve"> bear a part, and cheerfully make up that </w:t>
      </w:r>
      <w:proofErr w:type="spellStart"/>
      <w:r w:rsidRPr="003037D2">
        <w:rPr>
          <w:rFonts w:ascii="Garamond" w:eastAsia="Calibri" w:hAnsi="Garamond" w:cs="Times New Roman"/>
        </w:rPr>
        <w:t>musick</w:t>
      </w:r>
      <w:proofErr w:type="spellEnd"/>
      <w:r w:rsidRPr="003037D2">
        <w:rPr>
          <w:rFonts w:ascii="Garamond" w:eastAsia="Calibri" w:hAnsi="Garamond" w:cs="Times New Roman"/>
        </w:rPr>
        <w:t xml:space="preserve">, with a </w:t>
      </w:r>
      <w:proofErr w:type="spellStart"/>
      <w:r w:rsidRPr="003037D2">
        <w:rPr>
          <w:rFonts w:ascii="Garamond" w:eastAsia="Calibri" w:hAnsi="Garamond" w:cs="Times New Roman"/>
          <w:i/>
        </w:rPr>
        <w:t>veni</w:t>
      </w:r>
      <w:proofErr w:type="spellEnd"/>
      <w:r w:rsidRPr="003037D2">
        <w:rPr>
          <w:rFonts w:ascii="Garamond" w:eastAsia="Calibri" w:hAnsi="Garamond" w:cs="Times New Roman"/>
          <w:i/>
        </w:rPr>
        <w:t xml:space="preserve"> </w:t>
      </w:r>
      <w:proofErr w:type="spellStart"/>
      <w:r w:rsidRPr="003037D2">
        <w:rPr>
          <w:rFonts w:ascii="Garamond" w:eastAsia="Calibri" w:hAnsi="Garamond" w:cs="Times New Roman"/>
          <w:i/>
        </w:rPr>
        <w:t>Domine</w:t>
      </w:r>
      <w:proofErr w:type="spellEnd"/>
      <w:r w:rsidRPr="003037D2">
        <w:rPr>
          <w:rFonts w:ascii="Garamond" w:eastAsia="Calibri" w:hAnsi="Garamond" w:cs="Times New Roman"/>
          <w:i/>
        </w:rPr>
        <w:t xml:space="preserve"> Jesu</w:t>
      </w:r>
      <w:r w:rsidRPr="003037D2">
        <w:rPr>
          <w:rFonts w:ascii="Garamond" w:eastAsia="Calibri" w:hAnsi="Garamond" w:cs="Times New Roman"/>
        </w:rPr>
        <w:t>, Come Lord Jesu, come quickly, come now’.</w:t>
      </w:r>
      <w:r w:rsidRPr="003037D2">
        <w:rPr>
          <w:rStyle w:val="FootnoteReference"/>
          <w:rFonts w:ascii="Garamond" w:eastAsia="Calibri" w:hAnsi="Garamond" w:cs="Times New Roman"/>
        </w:rPr>
        <w:footnoteReference w:id="820"/>
      </w:r>
      <w:r w:rsidRPr="003037D2">
        <w:rPr>
          <w:rFonts w:ascii="Garamond" w:eastAsia="Calibri" w:hAnsi="Garamond" w:cs="Times New Roman"/>
        </w:rPr>
        <w:t xml:space="preserve"> The sermon ends with the same deictic marker that began it, ‘now’. However, Donne’s congregation has gained an awareness of both the expansiveness and the futurity of how he views this </w:t>
      </w:r>
      <w:r w:rsidRPr="003037D2">
        <w:rPr>
          <w:rFonts w:ascii="Garamond" w:eastAsia="Calibri" w:hAnsi="Garamond" w:cs="Times New Roman"/>
          <w:i/>
          <w:iCs/>
        </w:rPr>
        <w:t>now</w:t>
      </w:r>
      <w:r w:rsidRPr="003037D2">
        <w:rPr>
          <w:rFonts w:ascii="Garamond" w:eastAsia="Calibri" w:hAnsi="Garamond" w:cs="Times New Roman"/>
        </w:rPr>
        <w:t xml:space="preserve">. The use of this deictic invocation anchors the ending of the sermon in the present moment. </w:t>
      </w:r>
    </w:p>
    <w:p w14:paraId="4E24A7C4" w14:textId="77777777" w:rsidR="00162224" w:rsidRPr="003037D2" w:rsidRDefault="00162224" w:rsidP="00162224">
      <w:pPr>
        <w:spacing w:line="360" w:lineRule="auto"/>
        <w:rPr>
          <w:rFonts w:ascii="Garamond" w:eastAsia="Calibri" w:hAnsi="Garamond" w:cs="Times New Roman"/>
        </w:rPr>
      </w:pPr>
    </w:p>
    <w:p w14:paraId="6F44FC3E" w14:textId="77777777" w:rsidR="00162224" w:rsidRPr="003037D2" w:rsidRDefault="00162224" w:rsidP="00162224">
      <w:pPr>
        <w:spacing w:line="360" w:lineRule="auto"/>
        <w:rPr>
          <w:rFonts w:ascii="Garamond" w:eastAsia="Calibri" w:hAnsi="Garamond" w:cs="Times New Roman"/>
        </w:rPr>
      </w:pPr>
    </w:p>
    <w:p w14:paraId="448DC1E5" w14:textId="77777777" w:rsidR="00162224" w:rsidRPr="003037D2" w:rsidRDefault="00162224" w:rsidP="00162224">
      <w:pPr>
        <w:spacing w:line="360" w:lineRule="auto"/>
        <w:rPr>
          <w:rFonts w:ascii="Garamond" w:eastAsia="Calibri" w:hAnsi="Garamond" w:cs="Times New Roman"/>
        </w:rPr>
        <w:sectPr w:rsidR="00162224" w:rsidRPr="003037D2" w:rsidSect="00162224">
          <w:footnotePr>
            <w:numRestart w:val="eachSect"/>
          </w:footnotePr>
          <w:pgSz w:w="11906" w:h="16838"/>
          <w:pgMar w:top="1440" w:right="1440" w:bottom="1440" w:left="1440" w:header="709" w:footer="709" w:gutter="851"/>
          <w:cols w:space="708"/>
          <w:docGrid w:linePitch="360"/>
        </w:sectPr>
      </w:pPr>
      <w:r w:rsidRPr="003037D2">
        <w:rPr>
          <w:rFonts w:ascii="Garamond" w:eastAsia="Calibri" w:hAnsi="Garamond" w:cs="Times New Roman"/>
        </w:rPr>
        <w:tab/>
        <w:t xml:space="preserve">Donne’s focus on the performative present in his sermons helps his audience connect with the past of scripture. By bringing together a congregation in one place and at one time, he and other preachers created emotionally resonant ‘temporal landmarks’ which would help structure personal and communal memories. The focus on occasionality in the marketing of sermons also suggests that the book-buying public were keen to purchase texts that similarly held the promise of being a memorable moment in time. Both the space and time of the sermon as performed can be gathered together in the form of the sermon book, a text which can be used to recall this one-off event, even for those who were not present for the original.  As Donne argues, the most ‘encompassing’, ‘embracing word in all religion is… Now’. The printed sermon </w:t>
      </w:r>
      <w:r w:rsidRPr="003037D2">
        <w:rPr>
          <w:rFonts w:ascii="Garamond" w:eastAsia="Calibri" w:hAnsi="Garamond" w:cs="Times New Roman"/>
        </w:rPr>
        <w:lastRenderedPageBreak/>
        <w:t xml:space="preserve">books attempt to recapture the ‘now’ of the sermon, in which a community was brought together in a </w:t>
      </w:r>
      <w:proofErr w:type="gramStart"/>
      <w:r w:rsidRPr="003037D2">
        <w:rPr>
          <w:rFonts w:ascii="Garamond" w:eastAsia="Calibri" w:hAnsi="Garamond" w:cs="Times New Roman"/>
        </w:rPr>
        <w:t>particular time</w:t>
      </w:r>
      <w:proofErr w:type="gramEnd"/>
      <w:r w:rsidRPr="003037D2">
        <w:rPr>
          <w:rFonts w:ascii="Garamond" w:eastAsia="Calibri" w:hAnsi="Garamond" w:cs="Times New Roman"/>
        </w:rPr>
        <w:t xml:space="preserve"> and space, </w:t>
      </w:r>
      <w:proofErr w:type="spellStart"/>
      <w:r w:rsidRPr="003037D2">
        <w:rPr>
          <w:rFonts w:ascii="Garamond" w:eastAsia="Calibri" w:hAnsi="Garamond" w:cs="Times New Roman"/>
        </w:rPr>
        <w:t>sacralising</w:t>
      </w:r>
      <w:proofErr w:type="spellEnd"/>
      <w:r w:rsidRPr="003037D2">
        <w:rPr>
          <w:rFonts w:ascii="Garamond" w:eastAsia="Calibri" w:hAnsi="Garamond" w:cs="Times New Roman"/>
        </w:rPr>
        <w:t xml:space="preserve"> it by their presence and by the occasion, in the same way that the sacrament is made divine by use and intention. Rigney suggests that in sermon books ‘the technology of print makes the printed page into a public space’ in which ideas can be debated.</w:t>
      </w:r>
      <w:r w:rsidRPr="003037D2">
        <w:rPr>
          <w:rStyle w:val="FootnoteReference"/>
          <w:rFonts w:ascii="Garamond" w:eastAsia="Calibri" w:hAnsi="Garamond" w:cs="Times New Roman"/>
        </w:rPr>
        <w:footnoteReference w:id="821"/>
      </w:r>
      <w:r w:rsidRPr="003037D2">
        <w:rPr>
          <w:rFonts w:ascii="Garamond" w:eastAsia="Calibri" w:hAnsi="Garamond" w:cs="Times New Roman"/>
        </w:rPr>
        <w:t xml:space="preserve"> More importantly, the printed sermon makes the page into a privately accessible space to connect with the past, publicly experienced communal time of the performed sermon.            </w:t>
      </w:r>
    </w:p>
    <w:p w14:paraId="0D545346" w14:textId="77777777" w:rsidR="00162224" w:rsidRPr="003037D2" w:rsidRDefault="00162224" w:rsidP="00162224">
      <w:pPr>
        <w:keepNext/>
        <w:keepLines/>
        <w:spacing w:before="240" w:line="360" w:lineRule="auto"/>
        <w:outlineLvl w:val="0"/>
        <w:rPr>
          <w:rFonts w:ascii="Garamond" w:eastAsia="SimSun" w:hAnsi="Garamond" w:cs="Times New Roman"/>
          <w:b/>
          <w:bCs/>
          <w:color w:val="4472C4" w:themeColor="accent1"/>
          <w:sz w:val="28"/>
          <w:szCs w:val="28"/>
        </w:rPr>
      </w:pPr>
      <w:bookmarkStart w:id="100" w:name="_Toc3967196"/>
      <w:r w:rsidRPr="003037D2">
        <w:rPr>
          <w:rFonts w:ascii="Garamond" w:eastAsia="SimSun" w:hAnsi="Garamond" w:cs="Times New Roman"/>
          <w:b/>
          <w:bCs/>
          <w:color w:val="4472C4" w:themeColor="accent1"/>
          <w:sz w:val="28"/>
          <w:szCs w:val="28"/>
        </w:rPr>
        <w:lastRenderedPageBreak/>
        <w:t>CONCLUSION</w:t>
      </w:r>
      <w:bookmarkEnd w:id="100"/>
    </w:p>
    <w:p w14:paraId="770B592D" w14:textId="77777777" w:rsidR="00162224" w:rsidRPr="003037D2" w:rsidRDefault="00E04035" w:rsidP="00162224">
      <w:pPr>
        <w:spacing w:after="200" w:line="360" w:lineRule="auto"/>
        <w:rPr>
          <w:rFonts w:ascii="Garamond" w:eastAsia="SimSun" w:hAnsi="Garamond" w:cs="Arial"/>
          <w:lang w:eastAsia="en-GB"/>
        </w:rPr>
      </w:pPr>
      <w:r>
        <w:rPr>
          <w:rFonts w:ascii="Garamond" w:eastAsia="SimSun" w:hAnsi="Garamond" w:cs="Arial"/>
          <w:lang w:eastAsia="en-GB"/>
        </w:rPr>
        <w:pict w14:anchorId="6213618F">
          <v:rect id="_x0000_i1030" style="width:0;height:1.5pt" o:hralign="center" o:hrstd="t" o:hr="t" fillcolor="#a0a0a0" stroked="f"/>
        </w:pict>
      </w:r>
    </w:p>
    <w:p w14:paraId="09690EC2" w14:textId="77777777" w:rsidR="00162224" w:rsidRPr="003037D2" w:rsidRDefault="00162224" w:rsidP="00162224">
      <w:pPr>
        <w:spacing w:after="200" w:line="360" w:lineRule="auto"/>
        <w:rPr>
          <w:rFonts w:ascii="Garamond" w:eastAsia="SimSun" w:hAnsi="Garamond" w:cs="Arial"/>
          <w:lang w:eastAsia="en-GB"/>
        </w:rPr>
      </w:pPr>
      <w:r w:rsidRPr="003037D2">
        <w:rPr>
          <w:rFonts w:ascii="Garamond" w:eastAsia="SimSun" w:hAnsi="Garamond" w:cs="Arial"/>
          <w:lang w:eastAsia="en-GB"/>
        </w:rPr>
        <w:tab/>
      </w:r>
    </w:p>
    <w:p w14:paraId="1E67E240" w14:textId="2CCC6079" w:rsidR="00162224" w:rsidRDefault="00162224" w:rsidP="00667CD5">
      <w:pPr>
        <w:spacing w:line="360" w:lineRule="auto"/>
        <w:ind w:firstLine="720"/>
        <w:rPr>
          <w:rFonts w:ascii="Garamond" w:eastAsia="SimSun" w:hAnsi="Garamond" w:cs="Arial"/>
          <w:lang w:eastAsia="en-GB"/>
        </w:rPr>
      </w:pPr>
      <w:r w:rsidRPr="003037D2">
        <w:rPr>
          <w:rFonts w:ascii="Garamond" w:eastAsia="SimSun" w:hAnsi="Garamond" w:cs="Arial"/>
          <w:lang w:eastAsia="en-GB"/>
        </w:rPr>
        <w:t xml:space="preserve">In T.S. Eliot’s poem ‘Little </w:t>
      </w:r>
      <w:proofErr w:type="spellStart"/>
      <w:r w:rsidRPr="003037D2">
        <w:rPr>
          <w:rFonts w:ascii="Garamond" w:eastAsia="SimSun" w:hAnsi="Garamond" w:cs="Arial"/>
          <w:lang w:eastAsia="en-GB"/>
        </w:rPr>
        <w:t>Gidding</w:t>
      </w:r>
      <w:proofErr w:type="spellEnd"/>
      <w:r w:rsidRPr="003037D2">
        <w:rPr>
          <w:rFonts w:ascii="Garamond" w:eastAsia="SimSun" w:hAnsi="Garamond" w:cs="Arial"/>
          <w:lang w:eastAsia="en-GB"/>
        </w:rPr>
        <w:t xml:space="preserve">’, the last of </w:t>
      </w:r>
      <w:r w:rsidRPr="003037D2">
        <w:rPr>
          <w:rFonts w:ascii="Garamond" w:eastAsia="SimSun" w:hAnsi="Garamond" w:cs="Arial"/>
          <w:i/>
          <w:lang w:eastAsia="en-GB"/>
        </w:rPr>
        <w:t xml:space="preserve">Four Quartets, </w:t>
      </w:r>
      <w:r w:rsidRPr="003037D2">
        <w:rPr>
          <w:rFonts w:ascii="Garamond" w:eastAsia="SimSun" w:hAnsi="Garamond" w:cs="Arial"/>
          <w:lang w:eastAsia="en-GB"/>
        </w:rPr>
        <w:t xml:space="preserve">he imagines the ransacking of Nicholas </w:t>
      </w:r>
      <w:proofErr w:type="spellStart"/>
      <w:r w:rsidRPr="003037D2">
        <w:rPr>
          <w:rFonts w:ascii="Garamond" w:eastAsia="SimSun" w:hAnsi="Garamond" w:cs="Arial"/>
          <w:lang w:eastAsia="en-GB"/>
        </w:rPr>
        <w:t>Ferrar’s</w:t>
      </w:r>
      <w:proofErr w:type="spellEnd"/>
      <w:r w:rsidRPr="003037D2">
        <w:rPr>
          <w:rFonts w:ascii="Garamond" w:eastAsia="SimSun" w:hAnsi="Garamond" w:cs="Arial"/>
          <w:lang w:eastAsia="en-GB"/>
        </w:rPr>
        <w:t xml:space="preserve"> manor house in 1646 by Puritan soldiers. The destruction of the house, and by extension the religious community that had been established there, is presented as a rift in time, a wound that cannot be healed: </w:t>
      </w:r>
    </w:p>
    <w:p w14:paraId="125F6674"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 xml:space="preserve">Ash on an old man’s sleeve </w:t>
      </w:r>
    </w:p>
    <w:p w14:paraId="70EA2244"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 xml:space="preserve">Is all the ash the burnt roses leave. </w:t>
      </w:r>
    </w:p>
    <w:p w14:paraId="61317865"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 xml:space="preserve">Dust in the air suspended </w:t>
      </w:r>
    </w:p>
    <w:p w14:paraId="41E4B7E6"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Marks the place where a story ended.</w:t>
      </w:r>
      <w:r w:rsidRPr="003037D2">
        <w:rPr>
          <w:rFonts w:ascii="Garamond" w:eastAsia="SimSun" w:hAnsi="Garamond" w:cs="Arial"/>
          <w:vertAlign w:val="superscript"/>
          <w:lang w:eastAsia="en-GB"/>
        </w:rPr>
        <w:footnoteReference w:id="822"/>
      </w:r>
      <w:r w:rsidRPr="003037D2">
        <w:rPr>
          <w:rFonts w:ascii="Garamond" w:eastAsia="SimSun" w:hAnsi="Garamond" w:cs="Arial"/>
          <w:lang w:eastAsia="en-GB"/>
        </w:rPr>
        <w:t xml:space="preserve"> </w:t>
      </w:r>
    </w:p>
    <w:p w14:paraId="7E6FBA08" w14:textId="77777777" w:rsidR="00162224" w:rsidRPr="003037D2" w:rsidRDefault="00162224" w:rsidP="00162224">
      <w:pPr>
        <w:ind w:left="2160"/>
        <w:rPr>
          <w:rFonts w:ascii="Garamond" w:eastAsia="SimSun" w:hAnsi="Garamond" w:cs="Arial"/>
          <w:lang w:eastAsia="en-GB"/>
        </w:rPr>
      </w:pPr>
    </w:p>
    <w:p w14:paraId="1F40D00D" w14:textId="77777777" w:rsidR="00162224" w:rsidRPr="003037D2" w:rsidRDefault="00162224" w:rsidP="00162224">
      <w:pPr>
        <w:spacing w:after="200" w:line="360" w:lineRule="auto"/>
        <w:rPr>
          <w:rFonts w:ascii="Garamond" w:eastAsia="SimSun" w:hAnsi="Garamond" w:cs="Arial"/>
          <w:lang w:eastAsia="en-GB"/>
        </w:rPr>
      </w:pPr>
      <w:r w:rsidRPr="003037D2">
        <w:rPr>
          <w:rFonts w:ascii="Garamond" w:eastAsia="SimSun" w:hAnsi="Garamond" w:cs="Arial"/>
          <w:lang w:eastAsia="en-GB"/>
        </w:rPr>
        <w:t xml:space="preserve">In Eliot’s lyric the religious controversies of the 1640s become disruptions to a cultural narrative, ruptures in the story of English cultural life. In a recent article, Trevor Cooper demonstrates that many of the myths surrounding the sacking of Little </w:t>
      </w:r>
      <w:proofErr w:type="spellStart"/>
      <w:r w:rsidRPr="003037D2">
        <w:rPr>
          <w:rFonts w:ascii="Garamond" w:eastAsia="SimSun" w:hAnsi="Garamond" w:cs="Arial"/>
          <w:lang w:eastAsia="en-GB"/>
        </w:rPr>
        <w:t>Gidding</w:t>
      </w:r>
      <w:proofErr w:type="spellEnd"/>
      <w:r w:rsidRPr="003037D2">
        <w:rPr>
          <w:rFonts w:ascii="Garamond" w:eastAsia="SimSun" w:hAnsi="Garamond" w:cs="Arial"/>
          <w:lang w:eastAsia="en-GB"/>
        </w:rPr>
        <w:t xml:space="preserve"> are false: the </w:t>
      </w:r>
      <w:proofErr w:type="spellStart"/>
      <w:r w:rsidRPr="003037D2">
        <w:rPr>
          <w:rFonts w:ascii="Garamond" w:eastAsia="SimSun" w:hAnsi="Garamond" w:cs="Arial"/>
          <w:lang w:eastAsia="en-GB"/>
        </w:rPr>
        <w:t>Ferrars</w:t>
      </w:r>
      <w:proofErr w:type="spellEnd"/>
      <w:r w:rsidRPr="003037D2">
        <w:rPr>
          <w:rFonts w:ascii="Garamond" w:eastAsia="SimSun" w:hAnsi="Garamond" w:cs="Arial"/>
          <w:lang w:eastAsia="en-GB"/>
        </w:rPr>
        <w:t xml:space="preserve"> were dispersed in 1643 rather than 1646, tales of manuscripts and the church being destroyed are unsubstantiated, and this attack was not intended to destroy the religious community.</w:t>
      </w:r>
      <w:r w:rsidRPr="003037D2">
        <w:rPr>
          <w:rFonts w:ascii="Garamond" w:eastAsia="SimSun" w:hAnsi="Garamond" w:cs="Arial"/>
          <w:vertAlign w:val="superscript"/>
          <w:lang w:eastAsia="en-GB"/>
        </w:rPr>
        <w:footnoteReference w:id="823"/>
      </w:r>
      <w:r w:rsidRPr="003037D2">
        <w:rPr>
          <w:rFonts w:ascii="Garamond" w:eastAsia="SimSun" w:hAnsi="Garamond" w:cs="Arial"/>
          <w:lang w:eastAsia="en-GB"/>
        </w:rPr>
        <w:t xml:space="preserve"> Nevertheless, Eliot’s poem speaks to an abiding cultural narrative about the sixteenth and seventeenth centuries. 2017 saw a year of commemorative activities for The Reformation – often presented as a moment of historical rupture, when old and new were cleaved apart. The seventeenth century is seen as a time when society was restructured, with a new merchant class emerging. The ‘place where a story ended’ is one of loss and destruction, the memory of a previously humane community left suspended on the air. Eliot gestures back to Shakespeare’s Sonnet 73: ‘That time of year thou mayst in me behold / When yellow leaves, or none, or few, do hang / Upon those boughs which shake against the cold, / Bare ruined choirs, where late the sweet birds sang’.</w:t>
      </w:r>
      <w:r w:rsidRPr="003037D2">
        <w:rPr>
          <w:rFonts w:ascii="Garamond" w:eastAsia="SimSun" w:hAnsi="Garamond" w:cs="Arial"/>
          <w:vertAlign w:val="superscript"/>
          <w:lang w:eastAsia="en-GB"/>
        </w:rPr>
        <w:footnoteReference w:id="824"/>
      </w:r>
      <w:r w:rsidRPr="003037D2">
        <w:rPr>
          <w:rFonts w:ascii="Garamond" w:eastAsia="SimSun" w:hAnsi="Garamond" w:cs="Arial"/>
          <w:lang w:eastAsia="en-GB"/>
        </w:rPr>
        <w:t xml:space="preserve"> In ‘Little </w:t>
      </w:r>
      <w:proofErr w:type="spellStart"/>
      <w:r w:rsidRPr="003037D2">
        <w:rPr>
          <w:rFonts w:ascii="Garamond" w:eastAsia="SimSun" w:hAnsi="Garamond" w:cs="Arial"/>
          <w:lang w:eastAsia="en-GB"/>
        </w:rPr>
        <w:t>Gidding</w:t>
      </w:r>
      <w:proofErr w:type="spellEnd"/>
      <w:r w:rsidRPr="003037D2">
        <w:rPr>
          <w:rFonts w:ascii="Garamond" w:eastAsia="SimSun" w:hAnsi="Garamond" w:cs="Arial"/>
          <w:lang w:eastAsia="en-GB"/>
        </w:rPr>
        <w:t>’, this language is further deadened by the introduction of man-made metal, as ‘the dead leaves still rattled on like tin/ Over the asphalt’.</w:t>
      </w:r>
      <w:r w:rsidRPr="003037D2">
        <w:rPr>
          <w:rFonts w:ascii="Garamond" w:eastAsia="SimSun" w:hAnsi="Garamond" w:cs="Arial"/>
          <w:vertAlign w:val="superscript"/>
          <w:lang w:eastAsia="en-GB"/>
        </w:rPr>
        <w:footnoteReference w:id="825"/>
      </w:r>
      <w:r w:rsidRPr="003037D2">
        <w:rPr>
          <w:rFonts w:ascii="Garamond" w:eastAsia="SimSun" w:hAnsi="Garamond" w:cs="Arial"/>
          <w:lang w:eastAsia="en-GB"/>
        </w:rPr>
        <w:t xml:space="preserve"> In both poems, the cycles of nature are suspended, held at a moment of destruction and decay due to attacks by human forces. This has often been </w:t>
      </w:r>
      <w:r w:rsidRPr="003037D2">
        <w:rPr>
          <w:rFonts w:ascii="Garamond" w:eastAsia="SimSun" w:hAnsi="Garamond" w:cs="Arial"/>
          <w:lang w:eastAsia="en-GB"/>
        </w:rPr>
        <w:lastRenderedPageBreak/>
        <w:t xml:space="preserve">the critical understanding of time in the early modern period, </w:t>
      </w:r>
      <w:proofErr w:type="spellStart"/>
      <w:r w:rsidRPr="003037D2">
        <w:rPr>
          <w:rFonts w:ascii="Garamond" w:eastAsia="SimSun" w:hAnsi="Garamond" w:cs="Arial"/>
          <w:lang w:eastAsia="en-GB"/>
        </w:rPr>
        <w:t>characterised</w:t>
      </w:r>
      <w:proofErr w:type="spellEnd"/>
      <w:r w:rsidRPr="003037D2">
        <w:rPr>
          <w:rFonts w:ascii="Garamond" w:eastAsia="SimSun" w:hAnsi="Garamond" w:cs="Arial"/>
          <w:lang w:eastAsia="en-GB"/>
        </w:rPr>
        <w:t xml:space="preserve"> as being ‘all at war with time’, as seen in G.F. Waller’s </w:t>
      </w:r>
      <w:r w:rsidRPr="003037D2">
        <w:rPr>
          <w:rFonts w:ascii="Garamond" w:eastAsia="SimSun" w:hAnsi="Garamond" w:cs="Arial"/>
          <w:i/>
          <w:lang w:eastAsia="en-GB"/>
        </w:rPr>
        <w:t xml:space="preserve">The Strong Necessity of Time </w:t>
      </w:r>
      <w:r w:rsidRPr="003037D2">
        <w:rPr>
          <w:rFonts w:ascii="Garamond" w:eastAsia="SimSun" w:hAnsi="Garamond" w:cs="Arial"/>
          <w:lang w:eastAsia="en-GB"/>
        </w:rPr>
        <w:t xml:space="preserve">and Ricardo J. Quinones’s </w:t>
      </w:r>
      <w:r w:rsidRPr="003037D2">
        <w:rPr>
          <w:rFonts w:ascii="Garamond" w:eastAsia="SimSun" w:hAnsi="Garamond" w:cs="Arial"/>
          <w:i/>
          <w:lang w:eastAsia="en-GB"/>
        </w:rPr>
        <w:t>The Renaissance Discovery of Time.</w:t>
      </w:r>
      <w:r w:rsidRPr="003037D2">
        <w:rPr>
          <w:rFonts w:ascii="Garamond" w:eastAsia="SimSun" w:hAnsi="Garamond" w:cs="Arial"/>
          <w:vertAlign w:val="superscript"/>
          <w:lang w:eastAsia="en-GB"/>
        </w:rPr>
        <w:footnoteReference w:id="826"/>
      </w:r>
    </w:p>
    <w:p w14:paraId="147A420A" w14:textId="77777777" w:rsidR="00162224" w:rsidRPr="003037D2" w:rsidRDefault="00162224" w:rsidP="00162224">
      <w:pPr>
        <w:spacing w:after="200" w:line="360" w:lineRule="auto"/>
        <w:rPr>
          <w:rFonts w:ascii="Garamond" w:eastAsia="SimSun" w:hAnsi="Garamond" w:cs="Arial"/>
          <w:lang w:eastAsia="en-GB"/>
        </w:rPr>
      </w:pPr>
      <w:r w:rsidRPr="003037D2">
        <w:rPr>
          <w:rFonts w:ascii="Garamond" w:eastAsia="SimSun" w:hAnsi="Garamond" w:cs="Arial"/>
          <w:lang w:eastAsia="en-GB"/>
        </w:rPr>
        <w:tab/>
      </w:r>
    </w:p>
    <w:p w14:paraId="31443FC4" w14:textId="77777777" w:rsidR="00162224" w:rsidRPr="003037D2" w:rsidRDefault="00162224" w:rsidP="00667CD5">
      <w:pPr>
        <w:spacing w:line="360" w:lineRule="auto"/>
        <w:ind w:firstLine="720"/>
        <w:rPr>
          <w:rFonts w:ascii="Garamond" w:eastAsia="SimSun" w:hAnsi="Garamond" w:cs="Arial"/>
          <w:lang w:eastAsia="en-GB"/>
        </w:rPr>
      </w:pPr>
      <w:r w:rsidRPr="003037D2">
        <w:rPr>
          <w:rFonts w:ascii="Garamond" w:eastAsia="SimSun" w:hAnsi="Garamond" w:cs="Arial"/>
          <w:lang w:eastAsia="en-GB"/>
        </w:rPr>
        <w:t xml:space="preserve">In this thesis, I have presented an alternative view of the early modern understanding of time. Whilst both ‘Time’s winged chariot hurrying near’ and the sterile ‘desert of vast eternity’ are often present in literature of the period, we should remember the exhortation at the end of Marvell’s ‘Coy Mistress’ poem as well: </w:t>
      </w:r>
    </w:p>
    <w:p w14:paraId="224F1CA5"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 xml:space="preserve">Now let us sport us while we may, </w:t>
      </w:r>
    </w:p>
    <w:p w14:paraId="500AA2A2"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 xml:space="preserve">And now, like amorous birds of prey, </w:t>
      </w:r>
    </w:p>
    <w:p w14:paraId="430DFFA3"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 xml:space="preserve">Rather at once our time devour </w:t>
      </w:r>
    </w:p>
    <w:p w14:paraId="0B14E171"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 xml:space="preserve">Than languish in his slow-chapped power. </w:t>
      </w:r>
    </w:p>
    <w:p w14:paraId="3B195BA2"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 xml:space="preserve">Let us roll all our strength and all </w:t>
      </w:r>
    </w:p>
    <w:p w14:paraId="56DD1670"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 xml:space="preserve">Our sweetness up into one ball, </w:t>
      </w:r>
    </w:p>
    <w:p w14:paraId="7AB2B68D"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 xml:space="preserve">And tear our pleasures with rough strife </w:t>
      </w:r>
    </w:p>
    <w:p w14:paraId="351246B2"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 xml:space="preserve">Through the iron gates of life: </w:t>
      </w:r>
    </w:p>
    <w:p w14:paraId="192EDDBA"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 xml:space="preserve">Thus, though we cannot make our sun </w:t>
      </w:r>
    </w:p>
    <w:p w14:paraId="35FCF1DA"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Stand still, yet we will make him run.</w:t>
      </w:r>
      <w:r w:rsidRPr="003037D2">
        <w:rPr>
          <w:rFonts w:ascii="Garamond" w:eastAsia="SimSun" w:hAnsi="Garamond" w:cs="Arial"/>
          <w:vertAlign w:val="superscript"/>
          <w:lang w:eastAsia="en-GB"/>
        </w:rPr>
        <w:footnoteReference w:id="827"/>
      </w:r>
      <w:r w:rsidRPr="003037D2">
        <w:rPr>
          <w:rFonts w:ascii="Garamond" w:eastAsia="SimSun" w:hAnsi="Garamond" w:cs="Arial"/>
          <w:lang w:eastAsia="en-GB"/>
        </w:rPr>
        <w:t xml:space="preserve"> </w:t>
      </w:r>
    </w:p>
    <w:p w14:paraId="43D70466" w14:textId="77777777" w:rsidR="00162224" w:rsidRPr="003037D2" w:rsidRDefault="00162224" w:rsidP="00162224">
      <w:pPr>
        <w:ind w:left="2160"/>
        <w:rPr>
          <w:rFonts w:ascii="Garamond" w:eastAsia="SimSun" w:hAnsi="Garamond" w:cs="Arial"/>
          <w:lang w:eastAsia="en-GB"/>
        </w:rPr>
      </w:pPr>
    </w:p>
    <w:p w14:paraId="2AD08C7B" w14:textId="3EB3072E" w:rsidR="00162224" w:rsidRPr="003037D2" w:rsidRDefault="00162224" w:rsidP="00162224">
      <w:pPr>
        <w:spacing w:after="200" w:line="360" w:lineRule="auto"/>
        <w:rPr>
          <w:rFonts w:ascii="Garamond" w:eastAsia="SimSun" w:hAnsi="Garamond" w:cs="Arial"/>
          <w:lang w:eastAsia="en-GB"/>
        </w:rPr>
      </w:pPr>
      <w:r w:rsidRPr="003037D2">
        <w:rPr>
          <w:rFonts w:ascii="Garamond" w:eastAsia="SimSun" w:hAnsi="Garamond" w:cs="Arial"/>
          <w:lang w:eastAsia="en-GB"/>
        </w:rPr>
        <w:t xml:space="preserve">Although Marvell’s </w:t>
      </w:r>
      <w:r w:rsidRPr="003037D2">
        <w:rPr>
          <w:rFonts w:ascii="Garamond" w:eastAsia="SimSun" w:hAnsi="Garamond" w:cs="Arial"/>
          <w:i/>
          <w:lang w:eastAsia="en-GB"/>
        </w:rPr>
        <w:t xml:space="preserve">carpe diem </w:t>
      </w:r>
      <w:r w:rsidRPr="003037D2">
        <w:rPr>
          <w:rFonts w:ascii="Garamond" w:eastAsia="SimSun" w:hAnsi="Garamond" w:cs="Arial"/>
          <w:lang w:eastAsia="en-GB"/>
        </w:rPr>
        <w:t>is in many ways far removed from the religious texts I have focused on throughout this thesis, this passage neatly and forcefully encapsulates the simultaneously troubling and promising nature of how time can be perceived. Time is something that happens to people and is experienced by them, but it is also something that is to a certain extent man-made and thus ca</w:t>
      </w:r>
      <w:r w:rsidR="001F1F6B" w:rsidRPr="003037D2">
        <w:rPr>
          <w:rFonts w:ascii="Garamond" w:eastAsia="SimSun" w:hAnsi="Garamond" w:cs="Arial"/>
          <w:lang w:eastAsia="en-GB"/>
        </w:rPr>
        <w:t>n</w:t>
      </w:r>
      <w:r w:rsidRPr="003037D2">
        <w:rPr>
          <w:rFonts w:ascii="Garamond" w:eastAsia="SimSun" w:hAnsi="Garamond" w:cs="Arial"/>
          <w:lang w:eastAsia="en-GB"/>
        </w:rPr>
        <w:t xml:space="preserve"> be </w:t>
      </w:r>
      <w:r w:rsidRPr="003037D2">
        <w:rPr>
          <w:rFonts w:ascii="Garamond" w:eastAsia="SimSun" w:hAnsi="Garamond" w:cs="Arial"/>
          <w:i/>
          <w:iCs/>
          <w:lang w:eastAsia="en-GB"/>
        </w:rPr>
        <w:t>controlled</w:t>
      </w:r>
      <w:r w:rsidRPr="003037D2">
        <w:rPr>
          <w:rFonts w:ascii="Garamond" w:eastAsia="SimSun" w:hAnsi="Garamond" w:cs="Arial"/>
          <w:lang w:eastAsia="en-GB"/>
        </w:rPr>
        <w:t xml:space="preserve"> by the individual. As in the ‘</w:t>
      </w:r>
      <w:r w:rsidRPr="003037D2">
        <w:rPr>
          <w:rFonts w:ascii="Garamond" w:eastAsia="SimSun" w:hAnsi="Garamond" w:cs="Arial"/>
          <w:iCs/>
          <w:lang w:eastAsia="en-GB"/>
        </w:rPr>
        <w:t>Harefield Entertainment’</w:t>
      </w:r>
      <w:r w:rsidRPr="003037D2">
        <w:rPr>
          <w:rFonts w:ascii="Garamond" w:eastAsia="SimSun" w:hAnsi="Garamond" w:cs="Arial"/>
          <w:i/>
          <w:lang w:eastAsia="en-GB"/>
        </w:rPr>
        <w:t xml:space="preserve">, </w:t>
      </w:r>
      <w:r w:rsidRPr="003037D2">
        <w:rPr>
          <w:rFonts w:ascii="Garamond" w:eastAsia="SimSun" w:hAnsi="Garamond" w:cs="Arial"/>
          <w:lang w:eastAsia="en-GB"/>
        </w:rPr>
        <w:t xml:space="preserve">which I discussed in the introduction, Marvell presents time and space as a pair: ‘world enough and time’. That ‘enough’ follows world in perhaps suggests that there could never be ‘time’ enough. Throughout this thesis, I have explored how time cycles and time lines intersect, examining how the material histories of texts and objects bind up certain moments of time within them. Restricting this analysis to religious texts has allowed me to focus on how the complex issues surrounding time in early modern Christian thought intersect with secular notions of time, which have been more widely studied, chiefly notions of industry and productivity. In this process, I have found that the two are interconnected, and not solely as the result of the so termed ‘Protestant Work Ethic’. Instead, it has become </w:t>
      </w:r>
      <w:r w:rsidRPr="003037D2">
        <w:rPr>
          <w:rFonts w:ascii="Garamond" w:eastAsia="SimSun" w:hAnsi="Garamond" w:cs="Arial"/>
          <w:lang w:eastAsia="en-GB"/>
        </w:rPr>
        <w:lastRenderedPageBreak/>
        <w:t xml:space="preserve">apparent that books of religious literature offer a way of capturing sacred time and bringing it into the everyday for their readers.  </w:t>
      </w:r>
    </w:p>
    <w:p w14:paraId="1DAA12D8" w14:textId="77777777" w:rsidR="00162224" w:rsidRPr="003037D2" w:rsidRDefault="00162224" w:rsidP="00162224">
      <w:pPr>
        <w:spacing w:line="360" w:lineRule="auto"/>
        <w:rPr>
          <w:rFonts w:ascii="Garamond" w:eastAsia="SimSun" w:hAnsi="Garamond" w:cs="Arial"/>
          <w:lang w:eastAsia="en-GB"/>
        </w:rPr>
      </w:pPr>
      <w:r w:rsidRPr="003037D2">
        <w:rPr>
          <w:rFonts w:ascii="Garamond" w:eastAsia="SimSun" w:hAnsi="Garamond" w:cs="Arial"/>
          <w:lang w:eastAsia="en-GB"/>
        </w:rPr>
        <w:t xml:space="preserve"> </w:t>
      </w:r>
    </w:p>
    <w:p w14:paraId="20A198E0" w14:textId="77777777" w:rsidR="00162224" w:rsidRPr="003037D2" w:rsidRDefault="00162224" w:rsidP="00162224">
      <w:pPr>
        <w:keepNext/>
        <w:keepLines/>
        <w:numPr>
          <w:ilvl w:val="0"/>
          <w:numId w:val="27"/>
        </w:numPr>
        <w:spacing w:before="40" w:line="360" w:lineRule="auto"/>
        <w:outlineLvl w:val="1"/>
        <w:rPr>
          <w:rFonts w:ascii="Garamond" w:eastAsia="SimSun" w:hAnsi="Garamond" w:cs="Times New Roman"/>
          <w:b/>
          <w:bCs/>
          <w:color w:val="000000" w:themeColor="text1"/>
          <w:sz w:val="28"/>
          <w:szCs w:val="28"/>
        </w:rPr>
      </w:pPr>
      <w:bookmarkStart w:id="101" w:name="_Toc3967197"/>
      <w:r w:rsidRPr="003037D2">
        <w:rPr>
          <w:rFonts w:ascii="Garamond" w:eastAsia="SimSun" w:hAnsi="Garamond" w:cs="Times New Roman"/>
          <w:b/>
          <w:bCs/>
          <w:color w:val="000000" w:themeColor="text1"/>
          <w:sz w:val="28"/>
          <w:szCs w:val="28"/>
        </w:rPr>
        <w:t>Industrious timekeeping</w:t>
      </w:r>
      <w:bookmarkEnd w:id="101"/>
      <w:r w:rsidRPr="003037D2">
        <w:rPr>
          <w:rFonts w:ascii="Garamond" w:eastAsia="SimSun" w:hAnsi="Garamond" w:cs="Times New Roman"/>
          <w:b/>
          <w:bCs/>
          <w:color w:val="000000" w:themeColor="text1"/>
          <w:sz w:val="28"/>
          <w:szCs w:val="28"/>
        </w:rPr>
        <w:t xml:space="preserve"> </w:t>
      </w:r>
    </w:p>
    <w:p w14:paraId="727289E3" w14:textId="77777777" w:rsidR="00162224" w:rsidRPr="003037D2" w:rsidRDefault="00162224" w:rsidP="00162224">
      <w:pPr>
        <w:spacing w:after="200" w:line="360" w:lineRule="auto"/>
        <w:rPr>
          <w:rFonts w:ascii="Garamond" w:eastAsia="SimSun" w:hAnsi="Garamond" w:cs="Arial"/>
          <w:lang w:eastAsia="en-GB"/>
        </w:rPr>
      </w:pPr>
      <w:r w:rsidRPr="003037D2">
        <w:rPr>
          <w:rFonts w:ascii="Garamond" w:eastAsia="SimSun" w:hAnsi="Garamond" w:cs="Arial"/>
          <w:lang w:eastAsia="en-GB"/>
        </w:rPr>
        <w:tab/>
        <w:t xml:space="preserve"> </w:t>
      </w:r>
    </w:p>
    <w:p w14:paraId="2F20B25E" w14:textId="77777777" w:rsidR="00162224" w:rsidRPr="003037D2" w:rsidRDefault="00162224" w:rsidP="00162224">
      <w:pPr>
        <w:spacing w:after="200" w:line="360" w:lineRule="auto"/>
        <w:ind w:firstLine="720"/>
        <w:rPr>
          <w:rFonts w:ascii="Garamond" w:eastAsia="SimSun" w:hAnsi="Garamond" w:cs="Arial"/>
          <w:lang w:eastAsia="en-GB"/>
        </w:rPr>
      </w:pPr>
      <w:r w:rsidRPr="003037D2">
        <w:rPr>
          <w:rFonts w:ascii="Garamond" w:eastAsia="SimSun" w:hAnsi="Garamond" w:cs="Arial"/>
          <w:lang w:eastAsia="en-GB"/>
        </w:rPr>
        <w:t xml:space="preserve">Thomas </w:t>
      </w:r>
      <w:proofErr w:type="spellStart"/>
      <w:r w:rsidRPr="003037D2">
        <w:rPr>
          <w:rFonts w:ascii="Garamond" w:eastAsia="SimSun" w:hAnsi="Garamond" w:cs="Arial"/>
          <w:lang w:eastAsia="en-GB"/>
        </w:rPr>
        <w:t>Fale’s</w:t>
      </w:r>
      <w:proofErr w:type="spellEnd"/>
      <w:r w:rsidRPr="003037D2">
        <w:rPr>
          <w:rFonts w:ascii="Garamond" w:eastAsia="SimSun" w:hAnsi="Garamond" w:cs="Arial"/>
          <w:lang w:eastAsia="en-GB"/>
        </w:rPr>
        <w:t xml:space="preserve"> </w:t>
      </w:r>
      <w:proofErr w:type="spellStart"/>
      <w:r w:rsidRPr="003037D2">
        <w:rPr>
          <w:rFonts w:ascii="Garamond" w:eastAsia="SimSun" w:hAnsi="Garamond" w:cs="Arial"/>
          <w:i/>
          <w:lang w:eastAsia="en-GB"/>
        </w:rPr>
        <w:t>Horologiographia</w:t>
      </w:r>
      <w:proofErr w:type="spellEnd"/>
      <w:r w:rsidRPr="003037D2">
        <w:rPr>
          <w:rFonts w:ascii="Garamond" w:eastAsia="SimSun" w:hAnsi="Garamond" w:cs="Arial"/>
          <w:i/>
          <w:lang w:eastAsia="en-GB"/>
        </w:rPr>
        <w:t xml:space="preserve"> </w:t>
      </w:r>
      <w:r w:rsidRPr="003037D2">
        <w:rPr>
          <w:rFonts w:ascii="Garamond" w:eastAsia="SimSun" w:hAnsi="Garamond" w:cs="Arial"/>
          <w:lang w:eastAsia="en-GB"/>
        </w:rPr>
        <w:t>(1593) works through the relationship between time, words, objects and books in a particularly explicit way, as one of a fleet of guides to building sundials.</w:t>
      </w:r>
      <w:r w:rsidRPr="003037D2">
        <w:rPr>
          <w:rFonts w:ascii="Garamond" w:eastAsia="SimSun" w:hAnsi="Garamond" w:cs="Arial"/>
          <w:vertAlign w:val="superscript"/>
          <w:lang w:eastAsia="en-GB"/>
        </w:rPr>
        <w:footnoteReference w:id="828"/>
      </w:r>
      <w:r w:rsidRPr="003037D2">
        <w:rPr>
          <w:rFonts w:ascii="Garamond" w:eastAsia="SimSun" w:hAnsi="Garamond" w:cs="Arial"/>
          <w:lang w:eastAsia="en-GB"/>
        </w:rPr>
        <w:t xml:space="preserve"> </w:t>
      </w:r>
      <w:proofErr w:type="spellStart"/>
      <w:r w:rsidRPr="003037D2">
        <w:rPr>
          <w:rFonts w:ascii="Garamond" w:eastAsia="SimSun" w:hAnsi="Garamond" w:cs="Arial"/>
          <w:lang w:eastAsia="en-GB"/>
        </w:rPr>
        <w:t>Fale’s</w:t>
      </w:r>
      <w:proofErr w:type="spellEnd"/>
      <w:r w:rsidRPr="003037D2">
        <w:rPr>
          <w:rFonts w:ascii="Garamond" w:eastAsia="SimSun" w:hAnsi="Garamond" w:cs="Arial"/>
          <w:lang w:eastAsia="en-GB"/>
        </w:rPr>
        <w:t xml:space="preserve"> was one of the earliest and most popular guides, re-printed four times over the following fifty years. In the introduction, he argues that ‘the Art of </w:t>
      </w:r>
      <w:proofErr w:type="spellStart"/>
      <w:r w:rsidRPr="003037D2">
        <w:rPr>
          <w:rFonts w:ascii="Garamond" w:eastAsia="SimSun" w:hAnsi="Garamond" w:cs="Arial"/>
          <w:lang w:eastAsia="en-GB"/>
        </w:rPr>
        <w:t>Dialling</w:t>
      </w:r>
      <w:proofErr w:type="spellEnd"/>
      <w:r w:rsidRPr="003037D2">
        <w:rPr>
          <w:rFonts w:ascii="Garamond" w:eastAsia="SimSun" w:hAnsi="Garamond" w:cs="Arial"/>
          <w:lang w:eastAsia="en-GB"/>
        </w:rPr>
        <w:t xml:space="preserve">… a knowledge both ancient and </w:t>
      </w:r>
      <w:proofErr w:type="spellStart"/>
      <w:r w:rsidRPr="003037D2">
        <w:rPr>
          <w:rFonts w:ascii="Garamond" w:eastAsia="SimSun" w:hAnsi="Garamond" w:cs="Arial"/>
          <w:lang w:eastAsia="en-GB"/>
        </w:rPr>
        <w:t>necessarie</w:t>
      </w:r>
      <w:proofErr w:type="spellEnd"/>
      <w:r w:rsidRPr="003037D2">
        <w:rPr>
          <w:rFonts w:ascii="Garamond" w:eastAsia="SimSun" w:hAnsi="Garamond" w:cs="Arial"/>
          <w:lang w:eastAsia="en-GB"/>
        </w:rPr>
        <w:t xml:space="preserve">, and therefore practiced by Princes and famous men of former ages’, stems from the ‘Sciences </w:t>
      </w:r>
      <w:proofErr w:type="spellStart"/>
      <w:r w:rsidRPr="003037D2">
        <w:rPr>
          <w:rFonts w:ascii="Garamond" w:eastAsia="SimSun" w:hAnsi="Garamond" w:cs="Arial"/>
          <w:lang w:eastAsia="en-GB"/>
        </w:rPr>
        <w:t>meete</w:t>
      </w:r>
      <w:proofErr w:type="spellEnd"/>
      <w:r w:rsidRPr="003037D2">
        <w:rPr>
          <w:rFonts w:ascii="Garamond" w:eastAsia="SimSun" w:hAnsi="Garamond" w:cs="Arial"/>
          <w:lang w:eastAsia="en-GB"/>
        </w:rPr>
        <w:t xml:space="preserve"> to be learned…. </w:t>
      </w:r>
      <w:proofErr w:type="spellStart"/>
      <w:r w:rsidRPr="003037D2">
        <w:rPr>
          <w:rFonts w:ascii="Garamond" w:eastAsia="SimSun" w:hAnsi="Garamond" w:cs="Arial"/>
          <w:i/>
          <w:lang w:eastAsia="en-GB"/>
        </w:rPr>
        <w:t>Arithmetike</w:t>
      </w:r>
      <w:proofErr w:type="spellEnd"/>
      <w:r w:rsidRPr="003037D2">
        <w:rPr>
          <w:rFonts w:ascii="Garamond" w:eastAsia="SimSun" w:hAnsi="Garamond" w:cs="Arial"/>
          <w:i/>
          <w:lang w:eastAsia="en-GB"/>
        </w:rPr>
        <w:t xml:space="preserve">, </w:t>
      </w:r>
      <w:proofErr w:type="spellStart"/>
      <w:r w:rsidRPr="003037D2">
        <w:rPr>
          <w:rFonts w:ascii="Garamond" w:eastAsia="SimSun" w:hAnsi="Garamond" w:cs="Arial"/>
          <w:i/>
          <w:lang w:eastAsia="en-GB"/>
        </w:rPr>
        <w:t>Geometrie</w:t>
      </w:r>
      <w:proofErr w:type="spellEnd"/>
      <w:r w:rsidRPr="003037D2">
        <w:rPr>
          <w:rFonts w:ascii="Garamond" w:eastAsia="SimSun" w:hAnsi="Garamond" w:cs="Arial"/>
          <w:i/>
          <w:lang w:eastAsia="en-GB"/>
        </w:rPr>
        <w:t xml:space="preserve">, </w:t>
      </w:r>
      <w:r w:rsidRPr="003037D2">
        <w:rPr>
          <w:rFonts w:ascii="Garamond" w:eastAsia="SimSun" w:hAnsi="Garamond" w:cs="Arial"/>
          <w:lang w:eastAsia="en-GB"/>
        </w:rPr>
        <w:t xml:space="preserve">and </w:t>
      </w:r>
      <w:proofErr w:type="spellStart"/>
      <w:r w:rsidRPr="003037D2">
        <w:rPr>
          <w:rFonts w:ascii="Garamond" w:eastAsia="SimSun" w:hAnsi="Garamond" w:cs="Arial"/>
          <w:i/>
          <w:lang w:eastAsia="en-GB"/>
        </w:rPr>
        <w:t>Astronomie</w:t>
      </w:r>
      <w:proofErr w:type="spellEnd"/>
      <w:r w:rsidRPr="003037D2">
        <w:rPr>
          <w:rFonts w:ascii="Garamond" w:eastAsia="SimSun" w:hAnsi="Garamond" w:cs="Arial"/>
          <w:i/>
          <w:lang w:eastAsia="en-GB"/>
        </w:rPr>
        <w:t>’.</w:t>
      </w:r>
      <w:r w:rsidRPr="003037D2">
        <w:rPr>
          <w:rFonts w:ascii="Garamond" w:eastAsia="SimSun" w:hAnsi="Garamond" w:cs="Arial"/>
          <w:iCs/>
          <w:vertAlign w:val="superscript"/>
          <w:lang w:eastAsia="en-GB"/>
        </w:rPr>
        <w:footnoteReference w:id="829"/>
      </w:r>
      <w:r w:rsidRPr="003037D2">
        <w:rPr>
          <w:rFonts w:ascii="Garamond" w:eastAsia="SimSun" w:hAnsi="Garamond" w:cs="Arial"/>
          <w:iCs/>
          <w:lang w:eastAsia="en-GB"/>
        </w:rPr>
        <w:t xml:space="preserve"> </w:t>
      </w:r>
      <w:r w:rsidRPr="003037D2">
        <w:rPr>
          <w:rFonts w:ascii="Garamond" w:eastAsia="SimSun" w:hAnsi="Garamond" w:cs="Arial"/>
          <w:lang w:eastAsia="en-GB"/>
        </w:rPr>
        <w:t>In the sixteenth and seventeenth centuries sundials were more accurate than clocks, and would be used until well into the nineteenth century as the basic time standard by which time-pieces were set.</w:t>
      </w:r>
      <w:r w:rsidRPr="003037D2">
        <w:rPr>
          <w:rFonts w:ascii="Garamond" w:eastAsia="SimSun" w:hAnsi="Garamond" w:cs="Arial"/>
          <w:vertAlign w:val="superscript"/>
          <w:lang w:eastAsia="en-GB"/>
        </w:rPr>
        <w:footnoteReference w:id="830"/>
      </w:r>
      <w:r w:rsidRPr="003037D2">
        <w:rPr>
          <w:rFonts w:ascii="Garamond" w:eastAsia="SimSun" w:hAnsi="Garamond" w:cs="Arial"/>
          <w:lang w:eastAsia="en-GB"/>
        </w:rPr>
        <w:t xml:space="preserve"> Particularly </w:t>
      </w:r>
      <w:proofErr w:type="spellStart"/>
      <w:r w:rsidRPr="003037D2">
        <w:rPr>
          <w:rFonts w:ascii="Garamond" w:eastAsia="SimSun" w:hAnsi="Garamond" w:cs="Arial"/>
          <w:lang w:eastAsia="en-GB"/>
        </w:rPr>
        <w:t>horologically</w:t>
      </w:r>
      <w:proofErr w:type="spellEnd"/>
      <w:r w:rsidRPr="003037D2">
        <w:rPr>
          <w:rFonts w:ascii="Garamond" w:eastAsia="SimSun" w:hAnsi="Garamond" w:cs="Arial"/>
          <w:lang w:eastAsia="en-GB"/>
        </w:rPr>
        <w:t xml:space="preserve"> concerned customers could buy charts ‘shewing how much a good Pendulum Watch ought to be faster or slower than a true Sun-Dial, every Day in the Year’.</w:t>
      </w:r>
      <w:r w:rsidRPr="003037D2">
        <w:rPr>
          <w:rFonts w:ascii="Garamond" w:eastAsia="SimSun" w:hAnsi="Garamond" w:cs="Arial"/>
          <w:vertAlign w:val="superscript"/>
          <w:lang w:eastAsia="en-GB"/>
        </w:rPr>
        <w:footnoteReference w:id="831"/>
      </w:r>
      <w:r w:rsidRPr="003037D2">
        <w:rPr>
          <w:rFonts w:ascii="Garamond" w:eastAsia="SimSun" w:hAnsi="Garamond" w:cs="Arial"/>
          <w:lang w:eastAsia="en-GB"/>
        </w:rPr>
        <w:t xml:space="preserve"> Using this chart, the owners of a watch or clock could keep track of how their time-piece would differ from ‘the sun’. </w:t>
      </w:r>
      <w:proofErr w:type="spellStart"/>
      <w:r w:rsidRPr="003037D2">
        <w:rPr>
          <w:rFonts w:ascii="Garamond" w:eastAsia="SimSun" w:hAnsi="Garamond" w:cs="Arial"/>
          <w:lang w:eastAsia="en-GB"/>
        </w:rPr>
        <w:t>Fale</w:t>
      </w:r>
      <w:proofErr w:type="spellEnd"/>
      <w:r w:rsidRPr="003037D2">
        <w:rPr>
          <w:rFonts w:ascii="Garamond" w:eastAsia="SimSun" w:hAnsi="Garamond" w:cs="Arial"/>
          <w:lang w:eastAsia="en-GB"/>
        </w:rPr>
        <w:t xml:space="preserve"> gives details of the ‘first </w:t>
      </w:r>
      <w:proofErr w:type="spellStart"/>
      <w:r w:rsidRPr="003037D2">
        <w:rPr>
          <w:rFonts w:ascii="Garamond" w:eastAsia="SimSun" w:hAnsi="Garamond" w:cs="Arial"/>
          <w:lang w:eastAsia="en-GB"/>
        </w:rPr>
        <w:t>Diall</w:t>
      </w:r>
      <w:proofErr w:type="spellEnd"/>
      <w:r w:rsidRPr="003037D2">
        <w:rPr>
          <w:rFonts w:ascii="Garamond" w:eastAsia="SimSun" w:hAnsi="Garamond" w:cs="Arial"/>
          <w:lang w:eastAsia="en-GB"/>
        </w:rPr>
        <w:t xml:space="preserve"> that histories remember’, referred to in Kings 2:20, ‘where the Lord turned the </w:t>
      </w:r>
      <w:proofErr w:type="spellStart"/>
      <w:r w:rsidRPr="003037D2">
        <w:rPr>
          <w:rFonts w:ascii="Garamond" w:eastAsia="SimSun" w:hAnsi="Garamond" w:cs="Arial"/>
          <w:lang w:eastAsia="en-GB"/>
        </w:rPr>
        <w:t>Sunen</w:t>
      </w:r>
      <w:proofErr w:type="spellEnd"/>
      <w:r w:rsidRPr="003037D2">
        <w:rPr>
          <w:rFonts w:ascii="Garamond" w:eastAsia="SimSun" w:hAnsi="Garamond" w:cs="Arial"/>
          <w:lang w:eastAsia="en-GB"/>
        </w:rPr>
        <w:t xml:space="preserve"> </w:t>
      </w:r>
      <w:proofErr w:type="spellStart"/>
      <w:r w:rsidRPr="003037D2">
        <w:rPr>
          <w:rFonts w:ascii="Garamond" w:eastAsia="SimSun" w:hAnsi="Garamond" w:cs="Arial"/>
          <w:lang w:eastAsia="en-GB"/>
        </w:rPr>
        <w:t>backe</w:t>
      </w:r>
      <w:proofErr w:type="spellEnd"/>
      <w:r w:rsidRPr="003037D2">
        <w:rPr>
          <w:rFonts w:ascii="Garamond" w:eastAsia="SimSun" w:hAnsi="Garamond" w:cs="Arial"/>
          <w:lang w:eastAsia="en-GB"/>
        </w:rPr>
        <w:t xml:space="preserve"> </w:t>
      </w:r>
      <w:proofErr w:type="gramStart"/>
      <w:r w:rsidRPr="003037D2">
        <w:rPr>
          <w:rFonts w:ascii="Garamond" w:eastAsia="SimSun" w:hAnsi="Garamond" w:cs="Arial"/>
          <w:lang w:eastAsia="en-GB"/>
        </w:rPr>
        <w:t>10.degrees</w:t>
      </w:r>
      <w:proofErr w:type="gramEnd"/>
      <w:r w:rsidRPr="003037D2">
        <w:rPr>
          <w:rFonts w:ascii="Garamond" w:eastAsia="SimSun" w:hAnsi="Garamond" w:cs="Arial"/>
          <w:lang w:eastAsia="en-GB"/>
        </w:rPr>
        <w:t xml:space="preserve"> for </w:t>
      </w:r>
      <w:proofErr w:type="spellStart"/>
      <w:r w:rsidRPr="003037D2">
        <w:rPr>
          <w:rFonts w:ascii="Garamond" w:eastAsia="SimSun" w:hAnsi="Garamond" w:cs="Arial"/>
          <w:lang w:eastAsia="en-GB"/>
        </w:rPr>
        <w:t>Hezechias</w:t>
      </w:r>
      <w:proofErr w:type="spellEnd"/>
      <w:r w:rsidRPr="003037D2">
        <w:rPr>
          <w:rFonts w:ascii="Garamond" w:eastAsia="SimSun" w:hAnsi="Garamond" w:cs="Arial"/>
          <w:lang w:eastAsia="en-GB"/>
        </w:rPr>
        <w:t xml:space="preserve"> sake’. He continues the history of the sundial, referring to texts by </w:t>
      </w:r>
      <w:proofErr w:type="spellStart"/>
      <w:r w:rsidRPr="003037D2">
        <w:rPr>
          <w:rFonts w:ascii="Garamond" w:eastAsia="SimSun" w:hAnsi="Garamond" w:cs="Arial"/>
          <w:lang w:eastAsia="en-GB"/>
        </w:rPr>
        <w:t>Plinie</w:t>
      </w:r>
      <w:proofErr w:type="spellEnd"/>
      <w:r w:rsidRPr="003037D2">
        <w:rPr>
          <w:rFonts w:ascii="Garamond" w:eastAsia="SimSun" w:hAnsi="Garamond" w:cs="Arial"/>
          <w:lang w:eastAsia="en-GB"/>
        </w:rPr>
        <w:t xml:space="preserve">, and giving the example of ‘the parasite in a </w:t>
      </w:r>
      <w:proofErr w:type="spellStart"/>
      <w:r w:rsidRPr="003037D2">
        <w:rPr>
          <w:rFonts w:ascii="Garamond" w:eastAsia="SimSun" w:hAnsi="Garamond" w:cs="Arial"/>
          <w:lang w:eastAsia="en-GB"/>
        </w:rPr>
        <w:t>Comedie</w:t>
      </w:r>
      <w:proofErr w:type="spellEnd"/>
      <w:r w:rsidRPr="003037D2">
        <w:rPr>
          <w:rFonts w:ascii="Garamond" w:eastAsia="SimSun" w:hAnsi="Garamond" w:cs="Arial"/>
          <w:lang w:eastAsia="en-GB"/>
        </w:rPr>
        <w:t>’ who ‘</w:t>
      </w:r>
      <w:proofErr w:type="spellStart"/>
      <w:r w:rsidRPr="003037D2">
        <w:rPr>
          <w:rFonts w:ascii="Garamond" w:eastAsia="SimSun" w:hAnsi="Garamond" w:cs="Arial"/>
          <w:lang w:eastAsia="en-GB"/>
        </w:rPr>
        <w:t>spake</w:t>
      </w:r>
      <w:proofErr w:type="spellEnd"/>
      <w:r w:rsidRPr="003037D2">
        <w:rPr>
          <w:rFonts w:ascii="Garamond" w:eastAsia="SimSun" w:hAnsi="Garamond" w:cs="Arial"/>
          <w:lang w:eastAsia="en-GB"/>
        </w:rPr>
        <w:t xml:space="preserve"> against the multitude of </w:t>
      </w:r>
      <w:proofErr w:type="spellStart"/>
      <w:r w:rsidRPr="003037D2">
        <w:rPr>
          <w:rFonts w:ascii="Garamond" w:eastAsia="SimSun" w:hAnsi="Garamond" w:cs="Arial"/>
          <w:lang w:eastAsia="en-GB"/>
        </w:rPr>
        <w:t>Clockes</w:t>
      </w:r>
      <w:proofErr w:type="spellEnd"/>
      <w:r w:rsidRPr="003037D2">
        <w:rPr>
          <w:rFonts w:ascii="Garamond" w:eastAsia="SimSun" w:hAnsi="Garamond" w:cs="Arial"/>
          <w:lang w:eastAsia="en-GB"/>
        </w:rPr>
        <w:t xml:space="preserve"> and Dials which were then in the </w:t>
      </w:r>
      <w:proofErr w:type="spellStart"/>
      <w:r w:rsidRPr="003037D2">
        <w:rPr>
          <w:rFonts w:ascii="Garamond" w:eastAsia="SimSun" w:hAnsi="Garamond" w:cs="Arial"/>
          <w:lang w:eastAsia="en-GB"/>
        </w:rPr>
        <w:t>citie</w:t>
      </w:r>
      <w:proofErr w:type="spellEnd"/>
      <w:r w:rsidRPr="003037D2">
        <w:rPr>
          <w:rFonts w:ascii="Garamond" w:eastAsia="SimSun" w:hAnsi="Garamond" w:cs="Arial"/>
          <w:lang w:eastAsia="en-GB"/>
        </w:rPr>
        <w:t>’ to prove when the device became common in Rome.</w:t>
      </w:r>
      <w:r w:rsidRPr="003037D2">
        <w:rPr>
          <w:rFonts w:ascii="Garamond" w:eastAsia="SimSun" w:hAnsi="Garamond" w:cs="Arial"/>
          <w:vertAlign w:val="superscript"/>
          <w:lang w:eastAsia="en-GB"/>
        </w:rPr>
        <w:footnoteReference w:id="832"/>
      </w:r>
      <w:r w:rsidRPr="003037D2">
        <w:rPr>
          <w:rFonts w:ascii="Garamond" w:eastAsia="SimSun" w:hAnsi="Garamond" w:cs="Arial"/>
          <w:lang w:eastAsia="en-GB"/>
        </w:rPr>
        <w:t xml:space="preserve"> The remainder of the volume gives exceedingly precise instructions regarding how best to build a sundial and conduct the necessary mathematical calculations to make it accurate. </w:t>
      </w:r>
    </w:p>
    <w:p w14:paraId="14677F04" w14:textId="77777777" w:rsidR="00162224" w:rsidRPr="003037D2" w:rsidRDefault="00162224" w:rsidP="00162224">
      <w:pPr>
        <w:spacing w:after="200" w:line="360" w:lineRule="auto"/>
        <w:ind w:firstLine="720"/>
        <w:rPr>
          <w:rFonts w:ascii="Garamond" w:eastAsia="SimSun" w:hAnsi="Garamond" w:cs="Arial"/>
          <w:lang w:eastAsia="en-GB"/>
        </w:rPr>
      </w:pPr>
    </w:p>
    <w:p w14:paraId="61807F23" w14:textId="77777777" w:rsidR="00162224" w:rsidRPr="003037D2" w:rsidRDefault="00162224" w:rsidP="00667CD5">
      <w:pPr>
        <w:spacing w:line="360" w:lineRule="auto"/>
        <w:ind w:firstLine="720"/>
        <w:rPr>
          <w:rFonts w:ascii="Garamond" w:eastAsia="SimSun" w:hAnsi="Garamond" w:cs="Arial"/>
          <w:lang w:eastAsia="en-GB"/>
        </w:rPr>
      </w:pPr>
      <w:r w:rsidRPr="003037D2">
        <w:rPr>
          <w:rFonts w:ascii="Garamond" w:eastAsia="SimSun" w:hAnsi="Garamond" w:cs="Arial"/>
          <w:lang w:eastAsia="en-GB"/>
        </w:rPr>
        <w:t xml:space="preserve">Hale explicitly links the art of </w:t>
      </w:r>
      <w:proofErr w:type="spellStart"/>
      <w:r w:rsidRPr="003037D2">
        <w:rPr>
          <w:rFonts w:ascii="Garamond" w:eastAsia="SimSun" w:hAnsi="Garamond" w:cs="Arial"/>
          <w:lang w:eastAsia="en-GB"/>
        </w:rPr>
        <w:t>dialling</w:t>
      </w:r>
      <w:proofErr w:type="spellEnd"/>
      <w:r w:rsidRPr="003037D2">
        <w:rPr>
          <w:rFonts w:ascii="Garamond" w:eastAsia="SimSun" w:hAnsi="Garamond" w:cs="Arial"/>
          <w:lang w:eastAsia="en-GB"/>
        </w:rPr>
        <w:t xml:space="preserve"> to social and political order, claiming that ‘daily experience </w:t>
      </w:r>
      <w:proofErr w:type="spellStart"/>
      <w:r w:rsidRPr="003037D2">
        <w:rPr>
          <w:rFonts w:ascii="Garamond" w:eastAsia="SimSun" w:hAnsi="Garamond" w:cs="Arial"/>
          <w:lang w:eastAsia="en-GB"/>
        </w:rPr>
        <w:t>teacheth</w:t>
      </w:r>
      <w:proofErr w:type="spellEnd"/>
      <w:r w:rsidRPr="003037D2">
        <w:rPr>
          <w:rFonts w:ascii="Garamond" w:eastAsia="SimSun" w:hAnsi="Garamond" w:cs="Arial"/>
          <w:lang w:eastAsia="en-GB"/>
        </w:rPr>
        <w:t xml:space="preserve"> how needful it is in a well ordered Common-wealth, seeing </w:t>
      </w:r>
      <w:r w:rsidRPr="003037D2">
        <w:rPr>
          <w:rFonts w:ascii="Garamond" w:eastAsia="SimSun" w:hAnsi="Garamond" w:cs="Arial"/>
          <w:lang w:eastAsia="en-GB"/>
        </w:rPr>
        <w:lastRenderedPageBreak/>
        <w:t xml:space="preserve">nothing can be done in a due and convenient season, where this Science is neglected: for the division of the day into </w:t>
      </w:r>
      <w:proofErr w:type="spellStart"/>
      <w:r w:rsidRPr="003037D2">
        <w:rPr>
          <w:rFonts w:ascii="Garamond" w:eastAsia="SimSun" w:hAnsi="Garamond" w:cs="Arial"/>
          <w:lang w:eastAsia="en-GB"/>
        </w:rPr>
        <w:t>certaine</w:t>
      </w:r>
      <w:proofErr w:type="spellEnd"/>
      <w:r w:rsidRPr="003037D2">
        <w:rPr>
          <w:rFonts w:ascii="Garamond" w:eastAsia="SimSun" w:hAnsi="Garamond" w:cs="Arial"/>
          <w:lang w:eastAsia="en-GB"/>
        </w:rPr>
        <w:t xml:space="preserve"> parts or </w:t>
      </w:r>
      <w:proofErr w:type="spellStart"/>
      <w:r w:rsidRPr="003037D2">
        <w:rPr>
          <w:rFonts w:ascii="Garamond" w:eastAsia="SimSun" w:hAnsi="Garamond" w:cs="Arial"/>
          <w:lang w:eastAsia="en-GB"/>
        </w:rPr>
        <w:t>houres</w:t>
      </w:r>
      <w:proofErr w:type="spellEnd"/>
      <w:r w:rsidRPr="003037D2">
        <w:rPr>
          <w:rFonts w:ascii="Garamond" w:eastAsia="SimSun" w:hAnsi="Garamond" w:cs="Arial"/>
          <w:lang w:eastAsia="en-GB"/>
        </w:rPr>
        <w:t>… doth limit and allot to each action his due time’.</w:t>
      </w:r>
      <w:r w:rsidRPr="003037D2">
        <w:rPr>
          <w:rFonts w:ascii="Garamond" w:eastAsia="SimSun" w:hAnsi="Garamond" w:cs="Arial"/>
          <w:vertAlign w:val="superscript"/>
          <w:lang w:eastAsia="en-GB"/>
        </w:rPr>
        <w:footnoteReference w:id="833"/>
      </w:r>
      <w:r w:rsidRPr="003037D2">
        <w:rPr>
          <w:rFonts w:ascii="Garamond" w:eastAsia="SimSun" w:hAnsi="Garamond" w:cs="Arial"/>
          <w:lang w:eastAsia="en-GB"/>
        </w:rPr>
        <w:t xml:space="preserve"> This is the productive, rigorous sense of time that has received great critical attention, as evidence of how a developing time consciousness correlated to the emerging force of capitalism. Marx constructed the relationship between value and time so: </w:t>
      </w:r>
    </w:p>
    <w:p w14:paraId="199A54E2" w14:textId="77777777" w:rsidR="00162224" w:rsidRPr="003037D2" w:rsidRDefault="00162224" w:rsidP="00162224">
      <w:pPr>
        <w:spacing w:after="200"/>
        <w:ind w:left="737" w:right="737"/>
        <w:rPr>
          <w:rFonts w:ascii="Garamond" w:eastAsia="SimSun" w:hAnsi="Garamond" w:cs="Arial"/>
          <w:lang w:eastAsia="en-GB"/>
        </w:rPr>
      </w:pPr>
      <w:r w:rsidRPr="003037D2">
        <w:rPr>
          <w:rFonts w:ascii="Garamond" w:eastAsia="SimSun" w:hAnsi="Garamond" w:cs="Arial"/>
          <w:lang w:eastAsia="en-GB"/>
        </w:rPr>
        <w:t xml:space="preserve">[A] useful article… has </w:t>
      </w:r>
      <w:r w:rsidRPr="003037D2">
        <w:rPr>
          <w:rFonts w:ascii="Garamond" w:eastAsia="SimSun" w:hAnsi="Garamond" w:cs="Arial"/>
          <w:i/>
          <w:lang w:eastAsia="en-GB"/>
        </w:rPr>
        <w:t xml:space="preserve">value </w:t>
      </w:r>
      <w:r w:rsidRPr="003037D2">
        <w:rPr>
          <w:rFonts w:ascii="Garamond" w:eastAsia="SimSun" w:hAnsi="Garamond" w:cs="Arial"/>
          <w:lang w:eastAsia="en-GB"/>
        </w:rPr>
        <w:t xml:space="preserve">only because abstract human </w:t>
      </w:r>
      <w:proofErr w:type="spellStart"/>
      <w:r w:rsidRPr="003037D2">
        <w:rPr>
          <w:rFonts w:ascii="Garamond" w:eastAsia="SimSun" w:hAnsi="Garamond" w:cs="Arial"/>
          <w:lang w:eastAsia="en-GB"/>
        </w:rPr>
        <w:t>labour</w:t>
      </w:r>
      <w:proofErr w:type="spellEnd"/>
      <w:r w:rsidRPr="003037D2">
        <w:rPr>
          <w:rFonts w:ascii="Garamond" w:eastAsia="SimSun" w:hAnsi="Garamond" w:cs="Arial"/>
          <w:lang w:eastAsia="en-GB"/>
        </w:rPr>
        <w:t xml:space="preserve"> is objectified or materialized in it. How, then, is the magnitude of this value to be </w:t>
      </w:r>
      <w:proofErr w:type="gramStart"/>
      <w:r w:rsidRPr="003037D2">
        <w:rPr>
          <w:rFonts w:ascii="Garamond" w:eastAsia="SimSun" w:hAnsi="Garamond" w:cs="Arial"/>
          <w:lang w:eastAsia="en-GB"/>
        </w:rPr>
        <w:t>measured…</w:t>
      </w:r>
      <w:proofErr w:type="gramEnd"/>
      <w:r w:rsidRPr="003037D2">
        <w:rPr>
          <w:rFonts w:ascii="Garamond" w:eastAsia="SimSun" w:hAnsi="Garamond" w:cs="Arial"/>
          <w:lang w:eastAsia="en-GB"/>
        </w:rPr>
        <w:t xml:space="preserve"> [The quantity of </w:t>
      </w:r>
      <w:proofErr w:type="spellStart"/>
      <w:r w:rsidRPr="003037D2">
        <w:rPr>
          <w:rFonts w:ascii="Garamond" w:eastAsia="SimSun" w:hAnsi="Garamond" w:cs="Arial"/>
          <w:lang w:eastAsia="en-GB"/>
        </w:rPr>
        <w:t>labour</w:t>
      </w:r>
      <w:proofErr w:type="spellEnd"/>
      <w:r w:rsidRPr="003037D2">
        <w:rPr>
          <w:rFonts w:ascii="Garamond" w:eastAsia="SimSun" w:hAnsi="Garamond" w:cs="Arial"/>
          <w:lang w:eastAsia="en-GB"/>
        </w:rPr>
        <w:t xml:space="preserve">] is measured by its duration, and the </w:t>
      </w:r>
      <w:proofErr w:type="spellStart"/>
      <w:r w:rsidRPr="003037D2">
        <w:rPr>
          <w:rFonts w:ascii="Garamond" w:eastAsia="SimSun" w:hAnsi="Garamond" w:cs="Arial"/>
          <w:lang w:eastAsia="en-GB"/>
        </w:rPr>
        <w:t>labour</w:t>
      </w:r>
      <w:proofErr w:type="spellEnd"/>
      <w:r w:rsidRPr="003037D2">
        <w:rPr>
          <w:rFonts w:ascii="Garamond" w:eastAsia="SimSun" w:hAnsi="Garamond" w:cs="Arial"/>
          <w:lang w:eastAsia="en-GB"/>
        </w:rPr>
        <w:t>-time itself measured in determinate portions of time such as hours.</w:t>
      </w:r>
      <w:r w:rsidRPr="003037D2">
        <w:rPr>
          <w:rFonts w:ascii="Garamond" w:eastAsia="SimSun" w:hAnsi="Garamond" w:cs="Arial"/>
          <w:vertAlign w:val="superscript"/>
          <w:lang w:eastAsia="en-GB"/>
        </w:rPr>
        <w:footnoteReference w:id="834"/>
      </w:r>
      <w:r w:rsidRPr="003037D2">
        <w:rPr>
          <w:rFonts w:ascii="Garamond" w:eastAsia="SimSun" w:hAnsi="Garamond" w:cs="Arial"/>
          <w:lang w:eastAsia="en-GB"/>
        </w:rPr>
        <w:t xml:space="preserve"> </w:t>
      </w:r>
      <w:r w:rsidRPr="003037D2">
        <w:rPr>
          <w:rFonts w:ascii="Garamond" w:eastAsia="SimSun" w:hAnsi="Garamond" w:cs="Arial"/>
          <w:lang w:eastAsia="en-GB"/>
        </w:rPr>
        <w:tab/>
      </w:r>
    </w:p>
    <w:p w14:paraId="50B71C8C" w14:textId="77777777" w:rsidR="00162224" w:rsidRPr="003037D2" w:rsidRDefault="00162224" w:rsidP="00162224">
      <w:pPr>
        <w:spacing w:after="200" w:line="360" w:lineRule="auto"/>
        <w:rPr>
          <w:rFonts w:ascii="Garamond" w:eastAsia="SimSun" w:hAnsi="Garamond" w:cs="Arial"/>
          <w:lang w:eastAsia="en-GB"/>
        </w:rPr>
      </w:pPr>
      <w:r w:rsidRPr="003037D2">
        <w:rPr>
          <w:rFonts w:ascii="Garamond" w:eastAsia="SimSun" w:hAnsi="Garamond" w:cs="Arial"/>
          <w:lang w:eastAsia="en-GB"/>
        </w:rPr>
        <w:t xml:space="preserve">Some of the evidence from early modern almanacs demonstrated the sort of anxious account keeping that has been seen to </w:t>
      </w:r>
      <w:proofErr w:type="spellStart"/>
      <w:r w:rsidRPr="003037D2">
        <w:rPr>
          <w:rFonts w:ascii="Garamond" w:eastAsia="SimSun" w:hAnsi="Garamond" w:cs="Arial"/>
          <w:lang w:eastAsia="en-GB"/>
        </w:rPr>
        <w:t>characterise</w:t>
      </w:r>
      <w:proofErr w:type="spellEnd"/>
      <w:r w:rsidRPr="003037D2">
        <w:rPr>
          <w:rFonts w:ascii="Garamond" w:eastAsia="SimSun" w:hAnsi="Garamond" w:cs="Arial"/>
          <w:lang w:eastAsia="en-GB"/>
        </w:rPr>
        <w:t xml:space="preserve"> the anxious Protestant state of mind. Similarly, in the discussion of Herbert’s poetry, I tracked how industriousness was presented as an aspect of English national self-image and examined how Herbert encouraged his readers and congregation to be productive. However, for Herbert this was not a mindless process. Such self-accounting had to be in service of devotion, and, for parsons, in service of their parishioners. </w:t>
      </w:r>
    </w:p>
    <w:p w14:paraId="1BCEF46A" w14:textId="77777777" w:rsidR="00162224" w:rsidRPr="003037D2" w:rsidRDefault="00162224" w:rsidP="00162224">
      <w:pPr>
        <w:spacing w:after="200" w:line="360" w:lineRule="auto"/>
        <w:rPr>
          <w:rFonts w:ascii="Garamond" w:eastAsia="SimSun" w:hAnsi="Garamond" w:cs="Arial"/>
          <w:lang w:eastAsia="en-GB"/>
        </w:rPr>
      </w:pPr>
    </w:p>
    <w:p w14:paraId="6D8339E8" w14:textId="77777777" w:rsidR="00162224" w:rsidRPr="003037D2" w:rsidRDefault="00162224" w:rsidP="00667CD5">
      <w:pPr>
        <w:spacing w:line="360" w:lineRule="auto"/>
        <w:ind w:firstLine="720"/>
        <w:rPr>
          <w:rFonts w:ascii="Garamond" w:eastAsia="SimSun" w:hAnsi="Garamond" w:cs="Arial"/>
          <w:lang w:eastAsia="en-GB"/>
        </w:rPr>
      </w:pPr>
      <w:proofErr w:type="spellStart"/>
      <w:r w:rsidRPr="003037D2">
        <w:rPr>
          <w:rFonts w:ascii="Garamond" w:eastAsia="SimSun" w:hAnsi="Garamond" w:cs="Arial"/>
          <w:lang w:eastAsia="en-GB"/>
        </w:rPr>
        <w:t>Fale</w:t>
      </w:r>
      <w:proofErr w:type="spellEnd"/>
      <w:r w:rsidRPr="003037D2">
        <w:rPr>
          <w:rFonts w:ascii="Garamond" w:eastAsia="SimSun" w:hAnsi="Garamond" w:cs="Arial"/>
          <w:lang w:eastAsia="en-GB"/>
        </w:rPr>
        <w:t xml:space="preserve"> calls attention to the value of his own work in terms of the time he has spent on it. In the introductory letter to his ‘loving </w:t>
      </w:r>
      <w:proofErr w:type="spellStart"/>
      <w:r w:rsidRPr="003037D2">
        <w:rPr>
          <w:rFonts w:ascii="Garamond" w:eastAsia="SimSun" w:hAnsi="Garamond" w:cs="Arial"/>
          <w:lang w:eastAsia="en-GB"/>
        </w:rPr>
        <w:t>kingsman</w:t>
      </w:r>
      <w:proofErr w:type="spellEnd"/>
      <w:r w:rsidRPr="003037D2">
        <w:rPr>
          <w:rFonts w:ascii="Garamond" w:eastAsia="SimSun" w:hAnsi="Garamond" w:cs="Arial"/>
          <w:lang w:eastAsia="en-GB"/>
        </w:rPr>
        <w:t xml:space="preserve"> </w:t>
      </w:r>
      <w:r w:rsidRPr="003037D2">
        <w:rPr>
          <w:rFonts w:ascii="Garamond" w:eastAsia="SimSun" w:hAnsi="Garamond" w:cs="Arial"/>
          <w:i/>
          <w:lang w:eastAsia="en-GB"/>
        </w:rPr>
        <w:t>Thomas Osborne’</w:t>
      </w:r>
      <w:r w:rsidRPr="003037D2">
        <w:rPr>
          <w:rFonts w:ascii="Garamond" w:eastAsia="SimSun" w:hAnsi="Garamond" w:cs="Arial"/>
          <w:lang w:eastAsia="en-GB"/>
        </w:rPr>
        <w:t>, as he states:</w:t>
      </w:r>
    </w:p>
    <w:p w14:paraId="59A8A27D" w14:textId="236CA142" w:rsidR="00667CD5" w:rsidRPr="003037D2" w:rsidRDefault="00162224" w:rsidP="00667CD5">
      <w:pPr>
        <w:spacing w:after="200"/>
        <w:ind w:left="737" w:right="737"/>
        <w:rPr>
          <w:rFonts w:ascii="Garamond" w:eastAsia="SimSun" w:hAnsi="Garamond" w:cs="Arial"/>
          <w:lang w:eastAsia="en-GB"/>
        </w:rPr>
      </w:pPr>
      <w:r w:rsidRPr="003037D2">
        <w:rPr>
          <w:rFonts w:ascii="Garamond" w:eastAsia="SimSun" w:hAnsi="Garamond" w:cs="Arial"/>
          <w:lang w:eastAsia="en-GB"/>
        </w:rPr>
        <w:t xml:space="preserve">This </w:t>
      </w:r>
      <w:proofErr w:type="spellStart"/>
      <w:r w:rsidRPr="003037D2">
        <w:rPr>
          <w:rFonts w:ascii="Garamond" w:eastAsia="SimSun" w:hAnsi="Garamond" w:cs="Arial"/>
          <w:lang w:eastAsia="en-GB"/>
        </w:rPr>
        <w:t>booke</w:t>
      </w:r>
      <w:proofErr w:type="spellEnd"/>
      <w:r w:rsidRPr="003037D2">
        <w:rPr>
          <w:rFonts w:ascii="Garamond" w:eastAsia="SimSun" w:hAnsi="Garamond" w:cs="Arial"/>
          <w:lang w:eastAsia="en-GB"/>
        </w:rPr>
        <w:t xml:space="preserve">, which seven years since, was in a manner perfected… doth now upon just occasion present it </w:t>
      </w:r>
      <w:proofErr w:type="spellStart"/>
      <w:r w:rsidRPr="003037D2">
        <w:rPr>
          <w:rFonts w:ascii="Garamond" w:eastAsia="SimSun" w:hAnsi="Garamond" w:cs="Arial"/>
          <w:lang w:eastAsia="en-GB"/>
        </w:rPr>
        <w:t>selfe</w:t>
      </w:r>
      <w:proofErr w:type="spellEnd"/>
      <w:r w:rsidRPr="003037D2">
        <w:rPr>
          <w:rFonts w:ascii="Garamond" w:eastAsia="SimSun" w:hAnsi="Garamond" w:cs="Arial"/>
          <w:lang w:eastAsia="en-GB"/>
        </w:rPr>
        <w:t xml:space="preserve"> to the view of the world: herein you have taken such </w:t>
      </w:r>
      <w:proofErr w:type="spellStart"/>
      <w:r w:rsidRPr="003037D2">
        <w:rPr>
          <w:rFonts w:ascii="Garamond" w:eastAsia="SimSun" w:hAnsi="Garamond" w:cs="Arial"/>
          <w:lang w:eastAsia="en-GB"/>
        </w:rPr>
        <w:t>paines</w:t>
      </w:r>
      <w:proofErr w:type="spellEnd"/>
      <w:r w:rsidRPr="003037D2">
        <w:rPr>
          <w:rFonts w:ascii="Garamond" w:eastAsia="SimSun" w:hAnsi="Garamond" w:cs="Arial"/>
          <w:lang w:eastAsia="en-GB"/>
        </w:rPr>
        <w:t xml:space="preserve"> for the </w:t>
      </w:r>
      <w:proofErr w:type="spellStart"/>
      <w:r w:rsidRPr="003037D2">
        <w:rPr>
          <w:rFonts w:ascii="Garamond" w:eastAsia="SimSun" w:hAnsi="Garamond" w:cs="Arial"/>
          <w:lang w:eastAsia="en-GB"/>
        </w:rPr>
        <w:t>triall</w:t>
      </w:r>
      <w:proofErr w:type="spellEnd"/>
      <w:r w:rsidRPr="003037D2">
        <w:rPr>
          <w:rFonts w:ascii="Garamond" w:eastAsia="SimSun" w:hAnsi="Garamond" w:cs="Arial"/>
          <w:lang w:eastAsia="en-GB"/>
        </w:rPr>
        <w:t xml:space="preserve"> of each example, that I </w:t>
      </w:r>
      <w:proofErr w:type="spellStart"/>
      <w:r w:rsidRPr="003037D2">
        <w:rPr>
          <w:rFonts w:ascii="Garamond" w:eastAsia="SimSun" w:hAnsi="Garamond" w:cs="Arial"/>
          <w:lang w:eastAsia="en-GB"/>
        </w:rPr>
        <w:t>thinke</w:t>
      </w:r>
      <w:proofErr w:type="spellEnd"/>
      <w:r w:rsidRPr="003037D2">
        <w:rPr>
          <w:rFonts w:ascii="Garamond" w:eastAsia="SimSun" w:hAnsi="Garamond" w:cs="Arial"/>
          <w:lang w:eastAsia="en-GB"/>
        </w:rPr>
        <w:t xml:space="preserve"> none can </w:t>
      </w:r>
      <w:proofErr w:type="spellStart"/>
      <w:r w:rsidRPr="003037D2">
        <w:rPr>
          <w:rFonts w:ascii="Garamond" w:eastAsia="SimSun" w:hAnsi="Garamond" w:cs="Arial"/>
          <w:lang w:eastAsia="en-GB"/>
        </w:rPr>
        <w:t>finde</w:t>
      </w:r>
      <w:proofErr w:type="spellEnd"/>
      <w:r w:rsidRPr="003037D2">
        <w:rPr>
          <w:rFonts w:ascii="Garamond" w:eastAsia="SimSun" w:hAnsi="Garamond" w:cs="Arial"/>
          <w:lang w:eastAsia="en-GB"/>
        </w:rPr>
        <w:t xml:space="preserve"> any great fault, but such as can see </w:t>
      </w:r>
      <w:proofErr w:type="spellStart"/>
      <w:r w:rsidRPr="003037D2">
        <w:rPr>
          <w:rFonts w:ascii="Garamond" w:eastAsia="SimSun" w:hAnsi="Garamond" w:cs="Arial"/>
          <w:lang w:eastAsia="en-GB"/>
        </w:rPr>
        <w:t>farre</w:t>
      </w:r>
      <w:proofErr w:type="spellEnd"/>
      <w:r w:rsidRPr="003037D2">
        <w:rPr>
          <w:rFonts w:ascii="Garamond" w:eastAsia="SimSun" w:hAnsi="Garamond" w:cs="Arial"/>
          <w:lang w:eastAsia="en-GB"/>
        </w:rPr>
        <w:t xml:space="preserve"> into other </w:t>
      </w:r>
      <w:proofErr w:type="spellStart"/>
      <w:r w:rsidRPr="003037D2">
        <w:rPr>
          <w:rFonts w:ascii="Garamond" w:eastAsia="SimSun" w:hAnsi="Garamond" w:cs="Arial"/>
          <w:lang w:eastAsia="en-GB"/>
        </w:rPr>
        <w:t>mens</w:t>
      </w:r>
      <w:proofErr w:type="spellEnd"/>
      <w:r w:rsidRPr="003037D2">
        <w:rPr>
          <w:rFonts w:ascii="Garamond" w:eastAsia="SimSun" w:hAnsi="Garamond" w:cs="Arial"/>
          <w:lang w:eastAsia="en-GB"/>
        </w:rPr>
        <w:t xml:space="preserve"> faults, and forget their </w:t>
      </w:r>
      <w:proofErr w:type="spellStart"/>
      <w:r w:rsidRPr="003037D2">
        <w:rPr>
          <w:rFonts w:ascii="Garamond" w:eastAsia="SimSun" w:hAnsi="Garamond" w:cs="Arial"/>
          <w:lang w:eastAsia="en-GB"/>
        </w:rPr>
        <w:t>owne</w:t>
      </w:r>
      <w:proofErr w:type="spellEnd"/>
      <w:r w:rsidRPr="003037D2">
        <w:rPr>
          <w:rFonts w:ascii="Garamond" w:eastAsia="SimSun" w:hAnsi="Garamond" w:cs="Arial"/>
          <w:lang w:eastAsia="en-GB"/>
        </w:rPr>
        <w:t xml:space="preserve">. For after we found some precepts in </w:t>
      </w:r>
      <w:proofErr w:type="spellStart"/>
      <w:r w:rsidRPr="003037D2">
        <w:rPr>
          <w:rFonts w:ascii="Garamond" w:eastAsia="SimSun" w:hAnsi="Garamond" w:cs="Arial"/>
          <w:lang w:eastAsia="en-GB"/>
        </w:rPr>
        <w:t>Witekindus</w:t>
      </w:r>
      <w:proofErr w:type="spellEnd"/>
      <w:r w:rsidRPr="003037D2">
        <w:rPr>
          <w:rFonts w:ascii="Garamond" w:eastAsia="SimSun" w:hAnsi="Garamond" w:cs="Arial"/>
          <w:lang w:eastAsia="en-GB"/>
        </w:rPr>
        <w:t xml:space="preserve"> to be false, we were enforced to </w:t>
      </w:r>
      <w:proofErr w:type="spellStart"/>
      <w:r w:rsidRPr="003037D2">
        <w:rPr>
          <w:rFonts w:ascii="Garamond" w:eastAsia="SimSun" w:hAnsi="Garamond" w:cs="Arial"/>
          <w:lang w:eastAsia="en-GB"/>
        </w:rPr>
        <w:t>trie</w:t>
      </w:r>
      <w:proofErr w:type="spellEnd"/>
      <w:r w:rsidRPr="003037D2">
        <w:rPr>
          <w:rFonts w:ascii="Garamond" w:eastAsia="SimSun" w:hAnsi="Garamond" w:cs="Arial"/>
          <w:lang w:eastAsia="en-GB"/>
        </w:rPr>
        <w:t xml:space="preserve"> and examine with great care each figure and example in the </w:t>
      </w:r>
      <w:proofErr w:type="spellStart"/>
      <w:r w:rsidRPr="003037D2">
        <w:rPr>
          <w:rFonts w:ascii="Garamond" w:eastAsia="SimSun" w:hAnsi="Garamond" w:cs="Arial"/>
          <w:lang w:eastAsia="en-GB"/>
        </w:rPr>
        <w:t>Sunne</w:t>
      </w:r>
      <w:proofErr w:type="spellEnd"/>
      <w:r w:rsidRPr="003037D2">
        <w:rPr>
          <w:rFonts w:ascii="Garamond" w:eastAsia="SimSun" w:hAnsi="Garamond" w:cs="Arial"/>
          <w:lang w:eastAsia="en-GB"/>
        </w:rPr>
        <w:t>.</w:t>
      </w:r>
      <w:r w:rsidRPr="003037D2">
        <w:rPr>
          <w:rFonts w:ascii="Garamond" w:eastAsia="SimSun" w:hAnsi="Garamond" w:cs="Arial"/>
          <w:vertAlign w:val="superscript"/>
          <w:lang w:eastAsia="en-GB"/>
        </w:rPr>
        <w:footnoteReference w:id="835"/>
      </w:r>
    </w:p>
    <w:p w14:paraId="1674CD31" w14:textId="77777777" w:rsidR="00162224" w:rsidRPr="003037D2" w:rsidRDefault="00162224" w:rsidP="00162224">
      <w:pPr>
        <w:spacing w:after="200" w:line="360" w:lineRule="auto"/>
        <w:ind w:right="-57"/>
        <w:rPr>
          <w:rFonts w:ascii="Garamond" w:eastAsia="SimSun" w:hAnsi="Garamond" w:cs="Arial"/>
          <w:lang w:eastAsia="en-GB"/>
        </w:rPr>
      </w:pPr>
      <w:r w:rsidRPr="003037D2">
        <w:rPr>
          <w:rFonts w:ascii="Garamond" w:eastAsia="SimSun" w:hAnsi="Garamond" w:cs="Arial"/>
          <w:lang w:eastAsia="en-GB"/>
        </w:rPr>
        <w:t xml:space="preserve">Prefaces either bemoaning the haste at which a text had been </w:t>
      </w:r>
      <w:proofErr w:type="gramStart"/>
      <w:r w:rsidRPr="003037D2">
        <w:rPr>
          <w:rFonts w:ascii="Garamond" w:eastAsia="SimSun" w:hAnsi="Garamond" w:cs="Arial"/>
          <w:lang w:eastAsia="en-GB"/>
        </w:rPr>
        <w:t>produced, or</w:t>
      </w:r>
      <w:proofErr w:type="gramEnd"/>
      <w:r w:rsidRPr="003037D2">
        <w:rPr>
          <w:rFonts w:ascii="Garamond" w:eastAsia="SimSun" w:hAnsi="Garamond" w:cs="Arial"/>
          <w:lang w:eastAsia="en-GB"/>
        </w:rPr>
        <w:t xml:space="preserve"> reassuring the reader of the time spent </w:t>
      </w:r>
      <w:proofErr w:type="spellStart"/>
      <w:r w:rsidRPr="003037D2">
        <w:rPr>
          <w:rFonts w:ascii="Garamond" w:eastAsia="SimSun" w:hAnsi="Garamond" w:cs="Arial"/>
          <w:lang w:eastAsia="en-GB"/>
        </w:rPr>
        <w:t>labouring</w:t>
      </w:r>
      <w:proofErr w:type="spellEnd"/>
      <w:r w:rsidRPr="003037D2">
        <w:rPr>
          <w:rFonts w:ascii="Garamond" w:eastAsia="SimSun" w:hAnsi="Garamond" w:cs="Arial"/>
          <w:lang w:eastAsia="en-GB"/>
        </w:rPr>
        <w:t xml:space="preserve"> over the text were very common in the early modern period. Tina </w:t>
      </w:r>
      <w:proofErr w:type="spellStart"/>
      <w:r w:rsidRPr="003037D2">
        <w:rPr>
          <w:rFonts w:ascii="Garamond" w:eastAsia="SimSun" w:hAnsi="Garamond" w:cs="Arial"/>
          <w:lang w:eastAsia="en-GB"/>
        </w:rPr>
        <w:t>Skouen</w:t>
      </w:r>
      <w:proofErr w:type="spellEnd"/>
      <w:r w:rsidRPr="003037D2">
        <w:rPr>
          <w:rFonts w:ascii="Garamond" w:eastAsia="SimSun" w:hAnsi="Garamond" w:cs="Arial"/>
          <w:lang w:eastAsia="en-GB"/>
        </w:rPr>
        <w:t xml:space="preserve"> has discussed the shadow cast over early modern authors by Quintilian’s instruction to ‘put the written work aside for a time’, with James I repeating Horace’s instruction to authors to wait for nine years before publishing their </w:t>
      </w:r>
      <w:r w:rsidRPr="003037D2">
        <w:rPr>
          <w:rFonts w:ascii="Garamond" w:eastAsia="SimSun" w:hAnsi="Garamond" w:cs="Arial"/>
          <w:lang w:eastAsia="en-GB"/>
        </w:rPr>
        <w:lastRenderedPageBreak/>
        <w:t xml:space="preserve">works in </w:t>
      </w:r>
      <w:proofErr w:type="spellStart"/>
      <w:r w:rsidRPr="003037D2">
        <w:rPr>
          <w:rFonts w:ascii="Garamond" w:eastAsia="SimSun" w:hAnsi="Garamond" w:cs="Arial"/>
          <w:i/>
          <w:lang w:eastAsia="en-GB"/>
        </w:rPr>
        <w:t>Basilikon</w:t>
      </w:r>
      <w:proofErr w:type="spellEnd"/>
      <w:r w:rsidRPr="003037D2">
        <w:rPr>
          <w:rFonts w:ascii="Garamond" w:eastAsia="SimSun" w:hAnsi="Garamond" w:cs="Arial"/>
          <w:i/>
          <w:lang w:eastAsia="en-GB"/>
        </w:rPr>
        <w:t xml:space="preserve"> Doron </w:t>
      </w:r>
      <w:r w:rsidRPr="003037D2">
        <w:rPr>
          <w:rFonts w:ascii="Garamond" w:eastAsia="SimSun" w:hAnsi="Garamond" w:cs="Arial"/>
          <w:lang w:eastAsia="en-GB"/>
        </w:rPr>
        <w:t>(1599)</w:t>
      </w:r>
      <w:r w:rsidRPr="003037D2">
        <w:rPr>
          <w:rFonts w:ascii="Garamond" w:eastAsia="SimSun" w:hAnsi="Garamond" w:cs="Arial"/>
          <w:iCs/>
          <w:lang w:eastAsia="en-GB"/>
        </w:rPr>
        <w:t>.</w:t>
      </w:r>
      <w:r w:rsidRPr="003037D2">
        <w:rPr>
          <w:rFonts w:ascii="Garamond" w:eastAsia="SimSun" w:hAnsi="Garamond" w:cs="Arial"/>
          <w:iCs/>
          <w:vertAlign w:val="superscript"/>
          <w:lang w:eastAsia="en-GB"/>
        </w:rPr>
        <w:footnoteReference w:id="836"/>
      </w:r>
      <w:r w:rsidRPr="003037D2">
        <w:rPr>
          <w:rFonts w:ascii="Garamond" w:eastAsia="SimSun" w:hAnsi="Garamond" w:cs="Arial"/>
          <w:iCs/>
          <w:lang w:eastAsia="en-GB"/>
        </w:rPr>
        <w:t xml:space="preserve"> A</w:t>
      </w:r>
      <w:r w:rsidRPr="003037D2">
        <w:rPr>
          <w:rFonts w:ascii="Garamond" w:eastAsia="SimSun" w:hAnsi="Garamond" w:cs="Arial"/>
          <w:lang w:eastAsia="en-GB"/>
        </w:rPr>
        <w:t xml:space="preserve">s changes in print technology meant that books could be produced ever faster, and indeed were </w:t>
      </w:r>
      <w:proofErr w:type="spellStart"/>
      <w:r w:rsidRPr="003037D2">
        <w:rPr>
          <w:rFonts w:ascii="Garamond" w:eastAsia="SimSun" w:hAnsi="Garamond" w:cs="Arial"/>
          <w:lang w:eastAsia="en-GB"/>
        </w:rPr>
        <w:t>clamoured</w:t>
      </w:r>
      <w:proofErr w:type="spellEnd"/>
      <w:r w:rsidRPr="003037D2">
        <w:rPr>
          <w:rFonts w:ascii="Garamond" w:eastAsia="SimSun" w:hAnsi="Garamond" w:cs="Arial"/>
          <w:lang w:eastAsia="en-GB"/>
        </w:rPr>
        <w:t xml:space="preserve"> for by the reading public, this speed and accessibility challenged traditional ideas about the writer’s craft and the value of their work.</w:t>
      </w:r>
      <w:r w:rsidRPr="003037D2">
        <w:rPr>
          <w:rFonts w:ascii="Garamond" w:eastAsia="SimSun" w:hAnsi="Garamond" w:cs="Arial"/>
          <w:vertAlign w:val="superscript"/>
          <w:lang w:eastAsia="en-GB"/>
        </w:rPr>
        <w:footnoteReference w:id="837"/>
      </w:r>
      <w:r w:rsidRPr="003037D2">
        <w:rPr>
          <w:rFonts w:ascii="Garamond" w:eastAsia="SimSun" w:hAnsi="Garamond" w:cs="Arial"/>
          <w:lang w:eastAsia="en-GB"/>
        </w:rPr>
        <w:t xml:space="preserve"> As </w:t>
      </w:r>
      <w:proofErr w:type="spellStart"/>
      <w:r w:rsidRPr="003037D2">
        <w:rPr>
          <w:rFonts w:ascii="Garamond" w:eastAsia="SimSun" w:hAnsi="Garamond" w:cs="Arial"/>
          <w:lang w:eastAsia="en-GB"/>
        </w:rPr>
        <w:t>Fale’s</w:t>
      </w:r>
      <w:proofErr w:type="spellEnd"/>
      <w:r w:rsidRPr="003037D2">
        <w:rPr>
          <w:rFonts w:ascii="Garamond" w:eastAsia="SimSun" w:hAnsi="Garamond" w:cs="Arial"/>
          <w:lang w:eastAsia="en-GB"/>
        </w:rPr>
        <w:t xml:space="preserve"> work is a quasi-scientific treatise, accuracy is of primary importance, and so his claim to have spent ‘seven years’ trying and examining every figure is particularly valuable. Similarly, as discussed in the final chapter of my thesis, preachers had to balance the time taken to ready their sermons for the press with the demands to be forever producing new ones to perform for their congregations. Books are intimately related to time in that the hours, days, weeks and years spent both writing them and reading them must be taken as an indicator of their value. This belief was at the core of the commonly given direction to read the Bible every day. </w:t>
      </w:r>
    </w:p>
    <w:p w14:paraId="19F09BF5" w14:textId="77777777" w:rsidR="00162224" w:rsidRPr="003037D2" w:rsidRDefault="00162224" w:rsidP="00162224">
      <w:pPr>
        <w:spacing w:after="200" w:line="360" w:lineRule="auto"/>
        <w:ind w:right="-57"/>
        <w:rPr>
          <w:rFonts w:ascii="Garamond" w:eastAsia="SimSun" w:hAnsi="Garamond" w:cs="Arial"/>
          <w:lang w:eastAsia="en-GB"/>
        </w:rPr>
      </w:pPr>
    </w:p>
    <w:p w14:paraId="3E9BC099" w14:textId="77777777" w:rsidR="00162224" w:rsidRPr="003037D2" w:rsidRDefault="00162224" w:rsidP="00162224">
      <w:pPr>
        <w:spacing w:after="200" w:line="360" w:lineRule="auto"/>
        <w:ind w:firstLine="720"/>
        <w:rPr>
          <w:rFonts w:ascii="Garamond" w:eastAsia="SimSun" w:hAnsi="Garamond" w:cs="Arial"/>
          <w:lang w:eastAsia="en-GB"/>
        </w:rPr>
      </w:pPr>
      <w:r w:rsidRPr="003037D2">
        <w:rPr>
          <w:rFonts w:ascii="Garamond" w:eastAsia="SimSun" w:hAnsi="Garamond" w:cs="Arial"/>
          <w:lang w:eastAsia="en-GB"/>
        </w:rPr>
        <w:t xml:space="preserve">In Hans Holbein’s painting </w:t>
      </w:r>
      <w:r w:rsidRPr="003037D2">
        <w:rPr>
          <w:rFonts w:ascii="Garamond" w:eastAsia="SimSun" w:hAnsi="Garamond" w:cs="Arial"/>
          <w:i/>
          <w:lang w:eastAsia="en-GB"/>
        </w:rPr>
        <w:t xml:space="preserve">The Ambassadors, </w:t>
      </w:r>
      <w:r w:rsidRPr="003037D2">
        <w:rPr>
          <w:rFonts w:ascii="Garamond" w:eastAsia="SimSun" w:hAnsi="Garamond" w:cs="Arial"/>
          <w:lang w:eastAsia="en-GB"/>
        </w:rPr>
        <w:t xml:space="preserve">a portable sundial sits on the table between Jean de </w:t>
      </w:r>
      <w:proofErr w:type="spellStart"/>
      <w:r w:rsidRPr="003037D2">
        <w:rPr>
          <w:rFonts w:ascii="Garamond" w:eastAsia="SimSun" w:hAnsi="Garamond" w:cs="Arial"/>
          <w:lang w:eastAsia="en-GB"/>
        </w:rPr>
        <w:t>Dinteville</w:t>
      </w:r>
      <w:proofErr w:type="spellEnd"/>
      <w:r w:rsidRPr="003037D2">
        <w:rPr>
          <w:rFonts w:ascii="Garamond" w:eastAsia="SimSun" w:hAnsi="Garamond" w:cs="Arial"/>
          <w:lang w:eastAsia="en-GB"/>
        </w:rPr>
        <w:t xml:space="preserve"> and Georges de </w:t>
      </w:r>
      <w:proofErr w:type="spellStart"/>
      <w:r w:rsidRPr="003037D2">
        <w:rPr>
          <w:rFonts w:ascii="Garamond" w:eastAsia="SimSun" w:hAnsi="Garamond" w:cs="Arial"/>
          <w:lang w:eastAsia="en-GB"/>
        </w:rPr>
        <w:t>Selve</w:t>
      </w:r>
      <w:proofErr w:type="spellEnd"/>
      <w:r w:rsidRPr="003037D2">
        <w:rPr>
          <w:rFonts w:ascii="Garamond" w:eastAsia="SimSun" w:hAnsi="Garamond" w:cs="Arial"/>
          <w:lang w:eastAsia="en-GB"/>
        </w:rPr>
        <w:t>, alongside a globe and various other instruments for measuring out both space and time, indicators of their power, wealth and sophistication.</w:t>
      </w:r>
      <w:r w:rsidRPr="003037D2">
        <w:rPr>
          <w:rFonts w:ascii="Garamond" w:eastAsia="SimSun" w:hAnsi="Garamond" w:cs="Arial"/>
          <w:vertAlign w:val="superscript"/>
          <w:lang w:eastAsia="en-GB"/>
        </w:rPr>
        <w:t xml:space="preserve"> </w:t>
      </w:r>
      <w:r w:rsidRPr="003037D2">
        <w:rPr>
          <w:rFonts w:ascii="Garamond" w:eastAsia="SimSun" w:hAnsi="Garamond" w:cs="Arial"/>
          <w:vertAlign w:val="superscript"/>
          <w:lang w:eastAsia="en-GB"/>
        </w:rPr>
        <w:footnoteReference w:id="838"/>
      </w:r>
      <w:r w:rsidRPr="003037D2">
        <w:rPr>
          <w:rFonts w:ascii="Garamond" w:eastAsia="SimSun" w:hAnsi="Garamond" w:cs="Arial"/>
          <w:lang w:eastAsia="en-GB"/>
        </w:rPr>
        <w:t xml:space="preserve"> Crucially, this sundial could be carried around, held close to one’s person in a pocket in the same way that a watch might. As discussed in the first chapter, Clark and Chalmers’ theory of the extended mind proposes an ‘active externalism’ in which the environment had an active role in driving cognitive processes. They suggest that items which are ‘portable’ – pocket diaries, pocket calculators, and (for today’s readers) mobile phones – have the greatest ability to embed themselves within cognition.</w:t>
      </w:r>
      <w:r w:rsidRPr="003037D2">
        <w:rPr>
          <w:rFonts w:ascii="Garamond" w:eastAsia="SimSun" w:hAnsi="Garamond" w:cs="Arial"/>
          <w:vertAlign w:val="superscript"/>
          <w:lang w:eastAsia="en-GB"/>
        </w:rPr>
        <w:footnoteReference w:id="839"/>
      </w:r>
      <w:r w:rsidRPr="003037D2">
        <w:rPr>
          <w:rFonts w:ascii="Garamond" w:eastAsia="SimSun" w:hAnsi="Garamond" w:cs="Arial"/>
          <w:lang w:eastAsia="en-GB"/>
        </w:rPr>
        <w:t xml:space="preserve"> In </w:t>
      </w:r>
      <w:proofErr w:type="gramStart"/>
      <w:r w:rsidRPr="003037D2">
        <w:rPr>
          <w:rFonts w:ascii="Garamond" w:eastAsia="SimSun" w:hAnsi="Garamond" w:cs="Arial"/>
          <w:i/>
          <w:lang w:eastAsia="en-GB"/>
        </w:rPr>
        <w:t>As</w:t>
      </w:r>
      <w:proofErr w:type="gramEnd"/>
      <w:r w:rsidRPr="003037D2">
        <w:rPr>
          <w:rFonts w:ascii="Garamond" w:eastAsia="SimSun" w:hAnsi="Garamond" w:cs="Arial"/>
          <w:i/>
          <w:lang w:eastAsia="en-GB"/>
        </w:rPr>
        <w:t xml:space="preserve"> You Like it, </w:t>
      </w:r>
      <w:r w:rsidRPr="003037D2">
        <w:rPr>
          <w:rFonts w:ascii="Garamond" w:eastAsia="SimSun" w:hAnsi="Garamond" w:cs="Arial"/>
          <w:lang w:eastAsia="en-GB"/>
        </w:rPr>
        <w:t>Jacques recounts meeting Touchstone in the forest,</w:t>
      </w:r>
      <w:r w:rsidRPr="003037D2">
        <w:rPr>
          <w:rFonts w:ascii="Garamond" w:eastAsia="SimSun" w:hAnsi="Garamond" w:cs="Arial"/>
          <w:vertAlign w:val="superscript"/>
          <w:lang w:eastAsia="en-GB"/>
        </w:rPr>
        <w:t xml:space="preserve"> </w:t>
      </w:r>
      <w:r w:rsidRPr="003037D2">
        <w:rPr>
          <w:rFonts w:ascii="Garamond" w:eastAsia="SimSun" w:hAnsi="Garamond" w:cs="Arial"/>
          <w:vertAlign w:val="superscript"/>
          <w:lang w:eastAsia="en-GB"/>
        </w:rPr>
        <w:footnoteReference w:id="840"/>
      </w:r>
      <w:r w:rsidRPr="003037D2">
        <w:rPr>
          <w:rFonts w:ascii="Garamond" w:eastAsia="SimSun" w:hAnsi="Garamond" w:cs="Arial"/>
          <w:lang w:eastAsia="en-GB"/>
        </w:rPr>
        <w:t xml:space="preserve"> </w:t>
      </w:r>
    </w:p>
    <w:p w14:paraId="78388911" w14:textId="77777777" w:rsidR="00162224" w:rsidRPr="003037D2" w:rsidRDefault="00162224" w:rsidP="00162224">
      <w:pPr>
        <w:ind w:left="1440" w:firstLine="720"/>
        <w:rPr>
          <w:rFonts w:ascii="Garamond" w:eastAsia="SimSun" w:hAnsi="Garamond" w:cs="Arial"/>
          <w:lang w:eastAsia="en-GB"/>
        </w:rPr>
      </w:pPr>
      <w:r w:rsidRPr="003037D2">
        <w:rPr>
          <w:rFonts w:ascii="Garamond" w:eastAsia="SimSun" w:hAnsi="Garamond" w:cs="Arial"/>
          <w:lang w:eastAsia="en-GB"/>
        </w:rPr>
        <w:t xml:space="preserve"> … he drew a dial from his poke, </w:t>
      </w:r>
    </w:p>
    <w:p w14:paraId="2BEF4910" w14:textId="77777777" w:rsidR="00162224" w:rsidRPr="003037D2" w:rsidRDefault="00162224" w:rsidP="00162224">
      <w:pPr>
        <w:ind w:left="1440" w:firstLine="720"/>
        <w:rPr>
          <w:rFonts w:ascii="Garamond" w:eastAsia="SimSun" w:hAnsi="Garamond" w:cs="Arial"/>
          <w:lang w:eastAsia="en-GB"/>
        </w:rPr>
      </w:pPr>
      <w:r w:rsidRPr="003037D2">
        <w:rPr>
          <w:rFonts w:ascii="Garamond" w:eastAsia="SimSun" w:hAnsi="Garamond" w:cs="Arial"/>
          <w:lang w:eastAsia="en-GB"/>
        </w:rPr>
        <w:t>And looking on it with lack-</w:t>
      </w:r>
      <w:proofErr w:type="spellStart"/>
      <w:r w:rsidRPr="003037D2">
        <w:rPr>
          <w:rFonts w:ascii="Garamond" w:eastAsia="SimSun" w:hAnsi="Garamond" w:cs="Arial"/>
          <w:lang w:eastAsia="en-GB"/>
        </w:rPr>
        <w:t>lustre</w:t>
      </w:r>
      <w:proofErr w:type="spellEnd"/>
      <w:r w:rsidRPr="003037D2">
        <w:rPr>
          <w:rFonts w:ascii="Garamond" w:eastAsia="SimSun" w:hAnsi="Garamond" w:cs="Arial"/>
          <w:lang w:eastAsia="en-GB"/>
        </w:rPr>
        <w:t xml:space="preserve"> eye, </w:t>
      </w:r>
    </w:p>
    <w:p w14:paraId="15D2B645" w14:textId="77777777" w:rsidR="00162224" w:rsidRPr="003037D2" w:rsidRDefault="00162224" w:rsidP="00162224">
      <w:pPr>
        <w:ind w:left="1440" w:firstLine="720"/>
        <w:rPr>
          <w:rFonts w:ascii="Garamond" w:eastAsia="SimSun" w:hAnsi="Garamond" w:cs="Arial"/>
          <w:lang w:eastAsia="en-GB"/>
        </w:rPr>
      </w:pPr>
      <w:r w:rsidRPr="003037D2">
        <w:rPr>
          <w:rFonts w:ascii="Garamond" w:eastAsia="SimSun" w:hAnsi="Garamond" w:cs="Arial"/>
          <w:lang w:eastAsia="en-GB"/>
        </w:rPr>
        <w:t xml:space="preserve">Says very wisely, ‘It is ten o’clock. </w:t>
      </w:r>
    </w:p>
    <w:p w14:paraId="4FA7252B" w14:textId="77777777" w:rsidR="00162224" w:rsidRPr="003037D2" w:rsidRDefault="00162224" w:rsidP="00162224">
      <w:pPr>
        <w:ind w:left="1440" w:firstLine="720"/>
        <w:rPr>
          <w:rFonts w:ascii="Garamond" w:eastAsia="SimSun" w:hAnsi="Garamond" w:cs="Arial"/>
          <w:lang w:eastAsia="en-GB"/>
        </w:rPr>
      </w:pPr>
      <w:proofErr w:type="gramStart"/>
      <w:r w:rsidRPr="003037D2">
        <w:rPr>
          <w:rFonts w:ascii="Garamond" w:eastAsia="SimSun" w:hAnsi="Garamond" w:cs="Arial"/>
          <w:lang w:eastAsia="en-GB"/>
        </w:rPr>
        <w:t>Thus</w:t>
      </w:r>
      <w:proofErr w:type="gramEnd"/>
      <w:r w:rsidRPr="003037D2">
        <w:rPr>
          <w:rFonts w:ascii="Garamond" w:eastAsia="SimSun" w:hAnsi="Garamond" w:cs="Arial"/>
          <w:lang w:eastAsia="en-GB"/>
        </w:rPr>
        <w:t xml:space="preserve"> we may see,’ </w:t>
      </w:r>
      <w:proofErr w:type="spellStart"/>
      <w:r w:rsidRPr="003037D2">
        <w:rPr>
          <w:rFonts w:ascii="Garamond" w:eastAsia="SimSun" w:hAnsi="Garamond" w:cs="Arial"/>
          <w:lang w:eastAsia="en-GB"/>
        </w:rPr>
        <w:t>quoth</w:t>
      </w:r>
      <w:proofErr w:type="spellEnd"/>
      <w:r w:rsidRPr="003037D2">
        <w:rPr>
          <w:rFonts w:ascii="Garamond" w:eastAsia="SimSun" w:hAnsi="Garamond" w:cs="Arial"/>
          <w:lang w:eastAsia="en-GB"/>
        </w:rPr>
        <w:t xml:space="preserve"> he, ‘how the world wags. </w:t>
      </w:r>
    </w:p>
    <w:p w14:paraId="5A49D3FC" w14:textId="77777777" w:rsidR="00162224" w:rsidRPr="003037D2" w:rsidRDefault="00162224" w:rsidP="00162224">
      <w:pPr>
        <w:ind w:left="1440" w:firstLine="720"/>
        <w:rPr>
          <w:rFonts w:ascii="Garamond" w:eastAsia="SimSun" w:hAnsi="Garamond" w:cs="Arial"/>
          <w:lang w:eastAsia="en-GB"/>
        </w:rPr>
      </w:pPr>
      <w:proofErr w:type="spellStart"/>
      <w:r w:rsidRPr="003037D2">
        <w:rPr>
          <w:rFonts w:ascii="Garamond" w:eastAsia="SimSun" w:hAnsi="Garamond" w:cs="Arial"/>
          <w:lang w:eastAsia="en-GB"/>
        </w:rPr>
        <w:t>‘Tis</w:t>
      </w:r>
      <w:proofErr w:type="spellEnd"/>
      <w:r w:rsidRPr="003037D2">
        <w:rPr>
          <w:rFonts w:ascii="Garamond" w:eastAsia="SimSun" w:hAnsi="Garamond" w:cs="Arial"/>
          <w:lang w:eastAsia="en-GB"/>
        </w:rPr>
        <w:t xml:space="preserve"> but an hour ago since it was nine,</w:t>
      </w:r>
    </w:p>
    <w:p w14:paraId="5D5663EE" w14:textId="77777777" w:rsidR="00162224" w:rsidRPr="003037D2" w:rsidRDefault="00162224" w:rsidP="00162224">
      <w:pPr>
        <w:ind w:left="1440" w:firstLine="720"/>
        <w:rPr>
          <w:rFonts w:ascii="Garamond" w:eastAsia="SimSun" w:hAnsi="Garamond" w:cs="Arial"/>
          <w:lang w:eastAsia="en-GB"/>
        </w:rPr>
      </w:pPr>
      <w:r w:rsidRPr="003037D2">
        <w:rPr>
          <w:rFonts w:ascii="Garamond" w:eastAsia="SimSun" w:hAnsi="Garamond" w:cs="Arial"/>
          <w:lang w:eastAsia="en-GB"/>
        </w:rPr>
        <w:t xml:space="preserve">And after one hour more ‘twill be </w:t>
      </w:r>
      <w:proofErr w:type="spellStart"/>
      <w:r w:rsidRPr="003037D2">
        <w:rPr>
          <w:rFonts w:ascii="Garamond" w:eastAsia="SimSun" w:hAnsi="Garamond" w:cs="Arial"/>
          <w:lang w:eastAsia="en-GB"/>
        </w:rPr>
        <w:t>eleve</w:t>
      </w:r>
      <w:proofErr w:type="spellEnd"/>
      <w:r w:rsidRPr="003037D2">
        <w:rPr>
          <w:rFonts w:ascii="Garamond" w:eastAsia="SimSun" w:hAnsi="Garamond" w:cs="Arial"/>
          <w:lang w:eastAsia="en-GB"/>
        </w:rPr>
        <w:t xml:space="preserve">: </w:t>
      </w:r>
    </w:p>
    <w:p w14:paraId="56448531" w14:textId="77777777" w:rsidR="00162224" w:rsidRPr="003037D2" w:rsidRDefault="00162224" w:rsidP="00162224">
      <w:pPr>
        <w:ind w:left="1440" w:firstLine="720"/>
        <w:rPr>
          <w:rFonts w:ascii="Garamond" w:eastAsia="SimSun" w:hAnsi="Garamond" w:cs="Arial"/>
          <w:lang w:eastAsia="en-GB"/>
        </w:rPr>
      </w:pPr>
      <w:r w:rsidRPr="003037D2">
        <w:rPr>
          <w:rFonts w:ascii="Garamond" w:eastAsia="SimSun" w:hAnsi="Garamond" w:cs="Arial"/>
          <w:lang w:eastAsia="en-GB"/>
        </w:rPr>
        <w:t xml:space="preserve">And so, from hour to hour, we ripe and ripe, </w:t>
      </w:r>
    </w:p>
    <w:p w14:paraId="1DB67993" w14:textId="77777777" w:rsidR="00162224" w:rsidRPr="003037D2" w:rsidRDefault="00162224" w:rsidP="00162224">
      <w:pPr>
        <w:ind w:left="1440" w:firstLine="720"/>
        <w:rPr>
          <w:rFonts w:ascii="Garamond" w:eastAsia="SimSun" w:hAnsi="Garamond" w:cs="Arial"/>
          <w:lang w:eastAsia="en-GB"/>
        </w:rPr>
      </w:pPr>
      <w:r w:rsidRPr="003037D2">
        <w:rPr>
          <w:rFonts w:ascii="Garamond" w:eastAsia="SimSun" w:hAnsi="Garamond" w:cs="Arial"/>
          <w:lang w:eastAsia="en-GB"/>
        </w:rPr>
        <w:t>And then, from hour to hour, we rot and rot;</w:t>
      </w:r>
    </w:p>
    <w:p w14:paraId="7C62CEE5" w14:textId="77777777" w:rsidR="00162224" w:rsidRPr="003037D2" w:rsidRDefault="00162224" w:rsidP="00162224">
      <w:pPr>
        <w:ind w:left="1440" w:firstLine="720"/>
        <w:rPr>
          <w:rFonts w:ascii="Garamond" w:eastAsia="SimSun" w:hAnsi="Garamond" w:cs="Arial"/>
          <w:lang w:eastAsia="en-GB"/>
        </w:rPr>
      </w:pPr>
      <w:r w:rsidRPr="003037D2">
        <w:rPr>
          <w:rFonts w:ascii="Garamond" w:eastAsia="SimSun" w:hAnsi="Garamond" w:cs="Arial"/>
          <w:lang w:eastAsia="en-GB"/>
        </w:rPr>
        <w:t xml:space="preserve">And thereby hangs a tale’. (II.vii.20-28) </w:t>
      </w:r>
    </w:p>
    <w:p w14:paraId="75A826DE" w14:textId="77777777" w:rsidR="00162224" w:rsidRPr="003037D2" w:rsidRDefault="00162224" w:rsidP="00162224">
      <w:pPr>
        <w:spacing w:line="360" w:lineRule="auto"/>
        <w:ind w:left="1440" w:firstLine="720"/>
        <w:rPr>
          <w:rFonts w:ascii="Garamond" w:eastAsia="SimSun" w:hAnsi="Garamond" w:cs="Arial"/>
          <w:lang w:eastAsia="en-GB"/>
        </w:rPr>
      </w:pPr>
    </w:p>
    <w:p w14:paraId="4EE80045" w14:textId="77777777" w:rsidR="00162224" w:rsidRPr="003037D2" w:rsidRDefault="00162224" w:rsidP="00162224">
      <w:pPr>
        <w:spacing w:line="360" w:lineRule="auto"/>
        <w:rPr>
          <w:rFonts w:ascii="Garamond" w:eastAsia="SimSun" w:hAnsi="Garamond" w:cs="Arial"/>
          <w:lang w:eastAsia="en-GB"/>
        </w:rPr>
      </w:pPr>
      <w:r w:rsidRPr="003037D2">
        <w:rPr>
          <w:rFonts w:ascii="Garamond" w:eastAsia="SimSun" w:hAnsi="Garamond" w:cs="Arial"/>
          <w:lang w:eastAsia="en-GB"/>
        </w:rPr>
        <w:t>Although Orlando comments late in the play that ‘there’s no clock in the forest’, time there certainly is, and time-pieces aplenty, carried discretely on the body.</w:t>
      </w:r>
      <w:r w:rsidRPr="003037D2">
        <w:rPr>
          <w:rFonts w:ascii="Garamond" w:eastAsia="SimSun" w:hAnsi="Garamond" w:cs="Arial"/>
          <w:vertAlign w:val="superscript"/>
          <w:lang w:eastAsia="en-GB"/>
        </w:rPr>
        <w:footnoteReference w:id="841"/>
      </w:r>
      <w:r w:rsidRPr="003037D2">
        <w:rPr>
          <w:rFonts w:ascii="Garamond" w:eastAsia="SimSun" w:hAnsi="Garamond" w:cs="Arial"/>
          <w:lang w:eastAsia="en-GB"/>
        </w:rPr>
        <w:t xml:space="preserve"> </w:t>
      </w:r>
    </w:p>
    <w:p w14:paraId="355F2704" w14:textId="77777777" w:rsidR="00162224" w:rsidRPr="003037D2" w:rsidRDefault="00162224" w:rsidP="00162224">
      <w:pPr>
        <w:spacing w:line="360" w:lineRule="auto"/>
        <w:rPr>
          <w:rFonts w:ascii="Garamond" w:eastAsia="SimSun" w:hAnsi="Garamond" w:cs="Arial"/>
          <w:lang w:eastAsia="en-GB"/>
        </w:rPr>
      </w:pPr>
    </w:p>
    <w:p w14:paraId="1E689707" w14:textId="77777777" w:rsidR="00162224" w:rsidRPr="003037D2" w:rsidRDefault="00162224" w:rsidP="00162224">
      <w:pPr>
        <w:spacing w:line="360" w:lineRule="auto"/>
        <w:rPr>
          <w:rFonts w:ascii="Garamond" w:eastAsia="SimSun" w:hAnsi="Garamond" w:cs="Arial"/>
          <w:lang w:eastAsia="en-GB"/>
        </w:rPr>
      </w:pPr>
    </w:p>
    <w:p w14:paraId="2D76A177" w14:textId="07509CD3" w:rsidR="00162224" w:rsidRDefault="00162224" w:rsidP="00162224">
      <w:pPr>
        <w:spacing w:line="360" w:lineRule="auto"/>
        <w:ind w:firstLine="720"/>
        <w:rPr>
          <w:rFonts w:ascii="Garamond" w:eastAsia="SimSun" w:hAnsi="Garamond" w:cs="Arial"/>
          <w:lang w:eastAsia="en-GB"/>
        </w:rPr>
      </w:pPr>
      <w:r w:rsidRPr="003037D2">
        <w:rPr>
          <w:rFonts w:ascii="Garamond" w:eastAsia="SimSun" w:hAnsi="Garamond" w:cs="Arial"/>
          <w:lang w:eastAsia="en-GB"/>
        </w:rPr>
        <w:t xml:space="preserve">Surveying the ways in which clocks were referred to in early modern European literature, Otto Mayr argues that whilst for high baroque ‘Continental authors’ the regularity of the clock in ‘mercilessly counting out to us the elapsing of our lifetime’ was seen as ‘a wholesome moral and as an incentive for purposeful activity; for many Englishmen… it was a reminder of one of life’s more </w:t>
      </w:r>
      <w:proofErr w:type="spellStart"/>
      <w:r w:rsidRPr="003037D2">
        <w:rPr>
          <w:rFonts w:ascii="Garamond" w:eastAsia="SimSun" w:hAnsi="Garamond" w:cs="Arial"/>
          <w:lang w:eastAsia="en-GB"/>
        </w:rPr>
        <w:t>sombre</w:t>
      </w:r>
      <w:proofErr w:type="spellEnd"/>
      <w:r w:rsidRPr="003037D2">
        <w:rPr>
          <w:rFonts w:ascii="Garamond" w:eastAsia="SimSun" w:hAnsi="Garamond" w:cs="Arial"/>
          <w:lang w:eastAsia="en-GB"/>
        </w:rPr>
        <w:t xml:space="preserve"> truths’, the reality of mortality.</w:t>
      </w:r>
      <w:r w:rsidRPr="003037D2">
        <w:rPr>
          <w:rFonts w:ascii="Garamond" w:eastAsia="SimSun" w:hAnsi="Garamond" w:cs="Arial"/>
          <w:vertAlign w:val="superscript"/>
          <w:lang w:eastAsia="en-GB"/>
        </w:rPr>
        <w:footnoteReference w:id="842"/>
      </w:r>
      <w:r w:rsidRPr="003037D2">
        <w:rPr>
          <w:rFonts w:ascii="Garamond" w:eastAsia="SimSun" w:hAnsi="Garamond" w:cs="Arial"/>
          <w:lang w:eastAsia="en-GB"/>
        </w:rPr>
        <w:t xml:space="preserve"> He suggests that an uncomfortable ambivalence can be seen in English authors using the clock motif, with Shakespeare and other playwrights holding up clocks as ‘symbols of awkwardness, absurd complexity, and unreliability’.</w:t>
      </w:r>
      <w:r w:rsidRPr="003037D2">
        <w:rPr>
          <w:rFonts w:ascii="Garamond" w:eastAsia="SimSun" w:hAnsi="Garamond" w:cs="Arial"/>
          <w:vertAlign w:val="superscript"/>
          <w:lang w:eastAsia="en-GB"/>
        </w:rPr>
        <w:footnoteReference w:id="843"/>
      </w:r>
      <w:r w:rsidRPr="003037D2">
        <w:rPr>
          <w:rFonts w:ascii="Garamond" w:eastAsia="SimSun" w:hAnsi="Garamond" w:cs="Arial"/>
          <w:lang w:eastAsia="en-GB"/>
        </w:rPr>
        <w:t xml:space="preserve"> Mayr argues that as the seventeenth century progressed, the clock became a symbol of an authoritarian political system, with ‘mechanical’ being perceived as the antithesis of ‘liberal’, and with the clock ultimately rejected as a symbol of authority.</w:t>
      </w:r>
      <w:r w:rsidRPr="003037D2">
        <w:rPr>
          <w:rFonts w:ascii="Garamond" w:eastAsia="SimSun" w:hAnsi="Garamond" w:cs="Arial"/>
          <w:vertAlign w:val="superscript"/>
          <w:lang w:eastAsia="en-GB"/>
        </w:rPr>
        <w:footnoteReference w:id="844"/>
      </w:r>
      <w:r w:rsidRPr="003037D2">
        <w:rPr>
          <w:rFonts w:ascii="Garamond" w:eastAsia="SimSun" w:hAnsi="Garamond" w:cs="Arial"/>
          <w:lang w:eastAsia="en-GB"/>
        </w:rPr>
        <w:t xml:space="preserve"> Although the language of clocks has not been a major concern in this thesis, it seems to me that Mayr’s arguments about the British use of metaphors of clocks seem highly selective. Whilst clocks can be threatening and overly rigid, they also require human intervention. In ‘The Church Porch’, Herbert instructs the reader ‘to mark the decay/ And growth of [their soul]’ at the same time as ‘with thy watch, that too/ Be down, then </w:t>
      </w:r>
      <w:proofErr w:type="spellStart"/>
      <w:r w:rsidRPr="003037D2">
        <w:rPr>
          <w:rFonts w:ascii="Garamond" w:eastAsia="SimSun" w:hAnsi="Garamond" w:cs="Arial"/>
          <w:lang w:eastAsia="en-GB"/>
        </w:rPr>
        <w:t>winde</w:t>
      </w:r>
      <w:proofErr w:type="spellEnd"/>
      <w:r w:rsidRPr="003037D2">
        <w:rPr>
          <w:rFonts w:ascii="Garamond" w:eastAsia="SimSun" w:hAnsi="Garamond" w:cs="Arial"/>
          <w:lang w:eastAsia="en-GB"/>
        </w:rPr>
        <w:t xml:space="preserve"> up both’.</w:t>
      </w:r>
      <w:r w:rsidRPr="003037D2">
        <w:rPr>
          <w:rFonts w:ascii="Garamond" w:eastAsia="SimSun" w:hAnsi="Garamond" w:cs="Arial"/>
          <w:vertAlign w:val="superscript"/>
          <w:lang w:eastAsia="en-GB"/>
        </w:rPr>
        <w:footnoteReference w:id="845"/>
      </w:r>
      <w:r w:rsidRPr="003037D2">
        <w:rPr>
          <w:rFonts w:ascii="Garamond" w:eastAsia="SimSun" w:hAnsi="Garamond" w:cs="Arial"/>
          <w:lang w:eastAsia="en-GB"/>
        </w:rPr>
        <w:t xml:space="preserve"> In contrast, in ‘Even-song’, death which encloses us ‘in thy ebony box’ gives ‘new wheels to our </w:t>
      </w:r>
      <w:proofErr w:type="spellStart"/>
      <w:r w:rsidRPr="003037D2">
        <w:rPr>
          <w:rFonts w:ascii="Garamond" w:eastAsia="SimSun" w:hAnsi="Garamond" w:cs="Arial"/>
          <w:lang w:eastAsia="en-GB"/>
        </w:rPr>
        <w:t>disorder’d</w:t>
      </w:r>
      <w:proofErr w:type="spellEnd"/>
      <w:r w:rsidRPr="003037D2">
        <w:rPr>
          <w:rFonts w:ascii="Garamond" w:eastAsia="SimSun" w:hAnsi="Garamond" w:cs="Arial"/>
          <w:lang w:eastAsia="en-GB"/>
        </w:rPr>
        <w:t xml:space="preserve"> clocks’.</w:t>
      </w:r>
      <w:r w:rsidRPr="003037D2">
        <w:rPr>
          <w:rFonts w:ascii="Garamond" w:eastAsia="SimSun" w:hAnsi="Garamond" w:cs="Arial"/>
          <w:vertAlign w:val="superscript"/>
          <w:lang w:eastAsia="en-GB"/>
        </w:rPr>
        <w:footnoteReference w:id="846"/>
      </w:r>
      <w:r w:rsidRPr="003037D2">
        <w:rPr>
          <w:rFonts w:ascii="Garamond" w:eastAsia="SimSun" w:hAnsi="Garamond" w:cs="Arial"/>
          <w:lang w:eastAsia="en-GB"/>
        </w:rPr>
        <w:t xml:space="preserve"> The human body, seen as a timepiece, is not rigorous or dangerous, but fragile and fallible. The focus upon industrious, productive time needs to be weighed alongside more complex and ephemeral understandings of temporality. </w:t>
      </w:r>
    </w:p>
    <w:p w14:paraId="3A9CF630" w14:textId="77777777" w:rsidR="00667CD5" w:rsidRPr="003037D2" w:rsidRDefault="00667CD5" w:rsidP="00162224">
      <w:pPr>
        <w:spacing w:line="360" w:lineRule="auto"/>
        <w:ind w:firstLine="720"/>
        <w:rPr>
          <w:rFonts w:ascii="Garamond" w:eastAsia="SimSun" w:hAnsi="Garamond" w:cs="Arial"/>
          <w:lang w:eastAsia="en-GB"/>
        </w:rPr>
      </w:pPr>
    </w:p>
    <w:p w14:paraId="3B1D155E" w14:textId="77777777" w:rsidR="00162224" w:rsidRPr="003037D2" w:rsidRDefault="00162224" w:rsidP="00162224">
      <w:pPr>
        <w:spacing w:line="360" w:lineRule="auto"/>
        <w:ind w:firstLine="720"/>
        <w:rPr>
          <w:rFonts w:ascii="Garamond" w:eastAsia="SimSun" w:hAnsi="Garamond" w:cs="Arial"/>
          <w:lang w:eastAsia="en-GB"/>
        </w:rPr>
      </w:pPr>
    </w:p>
    <w:p w14:paraId="65C98765" w14:textId="77777777" w:rsidR="00162224" w:rsidRPr="003037D2" w:rsidRDefault="00162224" w:rsidP="00162224">
      <w:pPr>
        <w:keepNext/>
        <w:keepLines/>
        <w:numPr>
          <w:ilvl w:val="0"/>
          <w:numId w:val="27"/>
        </w:numPr>
        <w:spacing w:before="40" w:line="360" w:lineRule="auto"/>
        <w:outlineLvl w:val="1"/>
        <w:rPr>
          <w:rFonts w:ascii="Garamond" w:eastAsia="SimSun" w:hAnsi="Garamond" w:cs="Times New Roman"/>
          <w:b/>
          <w:bCs/>
          <w:color w:val="000000" w:themeColor="text1"/>
          <w:sz w:val="28"/>
          <w:szCs w:val="28"/>
        </w:rPr>
      </w:pPr>
      <w:bookmarkStart w:id="102" w:name="_Toc3967198"/>
      <w:r w:rsidRPr="003037D2">
        <w:rPr>
          <w:rFonts w:ascii="Garamond" w:eastAsia="SimSun" w:hAnsi="Garamond" w:cs="Times New Roman"/>
          <w:b/>
          <w:bCs/>
          <w:color w:val="000000" w:themeColor="text1"/>
          <w:sz w:val="28"/>
          <w:szCs w:val="28"/>
        </w:rPr>
        <w:lastRenderedPageBreak/>
        <w:t>Reworking Objects</w:t>
      </w:r>
      <w:bookmarkEnd w:id="102"/>
      <w:r w:rsidRPr="003037D2">
        <w:rPr>
          <w:rFonts w:ascii="Garamond" w:eastAsia="SimSun" w:hAnsi="Garamond" w:cs="Times New Roman"/>
          <w:b/>
          <w:bCs/>
          <w:color w:val="000000" w:themeColor="text1"/>
          <w:sz w:val="28"/>
          <w:szCs w:val="28"/>
        </w:rPr>
        <w:t xml:space="preserve"> </w:t>
      </w:r>
    </w:p>
    <w:p w14:paraId="7F5C1C22" w14:textId="77777777" w:rsidR="00162224" w:rsidRPr="003037D2" w:rsidRDefault="00162224" w:rsidP="00162224">
      <w:pPr>
        <w:spacing w:after="200" w:line="360" w:lineRule="auto"/>
        <w:rPr>
          <w:rFonts w:ascii="Garamond" w:eastAsia="SimSun" w:hAnsi="Garamond" w:cs="Arial"/>
          <w:lang w:eastAsia="en-GB"/>
        </w:rPr>
      </w:pPr>
    </w:p>
    <w:p w14:paraId="0BB03A84" w14:textId="77777777" w:rsidR="00162224" w:rsidRPr="003037D2" w:rsidRDefault="00162224" w:rsidP="00162224">
      <w:pPr>
        <w:spacing w:after="200" w:line="360" w:lineRule="auto"/>
        <w:rPr>
          <w:rFonts w:ascii="Garamond" w:eastAsia="SimSun" w:hAnsi="Garamond" w:cs="Arial"/>
          <w:lang w:eastAsia="en-GB"/>
        </w:rPr>
      </w:pPr>
      <w:r w:rsidRPr="003037D2">
        <w:rPr>
          <w:rFonts w:ascii="Garamond" w:eastAsia="SimSun" w:hAnsi="Garamond" w:cs="Arial"/>
          <w:lang w:eastAsia="en-GB"/>
        </w:rPr>
        <w:tab/>
        <w:t xml:space="preserve">Richard Corbett’s poem ‘Great Tom of Christ-Church’ commemorates the moment when a new bell was forged. It opens with a </w:t>
      </w:r>
      <w:proofErr w:type="spellStart"/>
      <w:r w:rsidRPr="003037D2">
        <w:rPr>
          <w:rFonts w:ascii="Garamond" w:eastAsia="SimSun" w:hAnsi="Garamond" w:cs="Arial"/>
          <w:lang w:eastAsia="en-GB"/>
        </w:rPr>
        <w:t>Donneian</w:t>
      </w:r>
      <w:proofErr w:type="spellEnd"/>
      <w:r w:rsidRPr="003037D2">
        <w:rPr>
          <w:rFonts w:ascii="Garamond" w:eastAsia="SimSun" w:hAnsi="Garamond" w:cs="Arial"/>
          <w:lang w:eastAsia="en-GB"/>
        </w:rPr>
        <w:t xml:space="preserve"> rebuke, who Corbett wrote commendatory verse for following his death: </w:t>
      </w:r>
    </w:p>
    <w:p w14:paraId="02C19EAB"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 xml:space="preserve">Be dumb, ye infant-chimes, thump not your mettle, </w:t>
      </w:r>
    </w:p>
    <w:p w14:paraId="58F0A8E3"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 xml:space="preserve">That </w:t>
      </w:r>
      <w:proofErr w:type="spellStart"/>
      <w:r w:rsidRPr="003037D2">
        <w:rPr>
          <w:rFonts w:ascii="Garamond" w:eastAsia="SimSun" w:hAnsi="Garamond" w:cs="Arial"/>
          <w:lang w:eastAsia="en-GB"/>
        </w:rPr>
        <w:t>ne’re</w:t>
      </w:r>
      <w:proofErr w:type="spellEnd"/>
      <w:r w:rsidRPr="003037D2">
        <w:rPr>
          <w:rFonts w:ascii="Garamond" w:eastAsia="SimSun" w:hAnsi="Garamond" w:cs="Arial"/>
          <w:lang w:eastAsia="en-GB"/>
        </w:rPr>
        <w:t xml:space="preserve"> out-ring a tinker and his kettle; </w:t>
      </w:r>
    </w:p>
    <w:p w14:paraId="238BF119"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 xml:space="preserve">Cease, all you petty </w:t>
      </w:r>
      <w:proofErr w:type="spellStart"/>
      <w:r w:rsidRPr="003037D2">
        <w:rPr>
          <w:rFonts w:ascii="Garamond" w:eastAsia="SimSun" w:hAnsi="Garamond" w:cs="Arial"/>
          <w:lang w:eastAsia="en-GB"/>
        </w:rPr>
        <w:t>larums</w:t>
      </w:r>
      <w:proofErr w:type="spellEnd"/>
      <w:r w:rsidRPr="003037D2">
        <w:rPr>
          <w:rFonts w:ascii="Garamond" w:eastAsia="SimSun" w:hAnsi="Garamond" w:cs="Arial"/>
          <w:lang w:eastAsia="en-GB"/>
        </w:rPr>
        <w:t xml:space="preserve">; for, to day </w:t>
      </w:r>
    </w:p>
    <w:p w14:paraId="4AAD1463"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 xml:space="preserve">Is young Tom’s resurrection from the clay: </w:t>
      </w:r>
    </w:p>
    <w:p w14:paraId="6CF3FEAB"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 xml:space="preserve">And know, when Tom rings out his knells, </w:t>
      </w:r>
    </w:p>
    <w:p w14:paraId="677DC4C1"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 xml:space="preserve">The best of you will be but dinner-bells. </w:t>
      </w:r>
    </w:p>
    <w:p w14:paraId="5EF209D6"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 xml:space="preserve">Old Tom’s grown young again, the fiery cave </w:t>
      </w:r>
    </w:p>
    <w:p w14:paraId="06703BE6"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 xml:space="preserve">Is now his cradle, that was </w:t>
      </w:r>
      <w:proofErr w:type="spellStart"/>
      <w:r w:rsidRPr="003037D2">
        <w:rPr>
          <w:rFonts w:ascii="Garamond" w:eastAsia="SimSun" w:hAnsi="Garamond" w:cs="Arial"/>
          <w:lang w:eastAsia="en-GB"/>
        </w:rPr>
        <w:t>erst</w:t>
      </w:r>
      <w:proofErr w:type="spellEnd"/>
      <w:r w:rsidRPr="003037D2">
        <w:rPr>
          <w:rFonts w:ascii="Garamond" w:eastAsia="SimSun" w:hAnsi="Garamond" w:cs="Arial"/>
          <w:lang w:eastAsia="en-GB"/>
        </w:rPr>
        <w:t xml:space="preserve"> his </w:t>
      </w:r>
      <w:proofErr w:type="gramStart"/>
      <w:r w:rsidRPr="003037D2">
        <w:rPr>
          <w:rFonts w:ascii="Garamond" w:eastAsia="SimSun" w:hAnsi="Garamond" w:cs="Arial"/>
          <w:lang w:eastAsia="en-GB"/>
        </w:rPr>
        <w:t>grave:</w:t>
      </w:r>
      <w:proofErr w:type="gramEnd"/>
      <w:r w:rsidRPr="003037D2">
        <w:rPr>
          <w:rFonts w:ascii="Garamond" w:eastAsia="SimSun" w:hAnsi="Garamond" w:cs="Arial"/>
          <w:lang w:eastAsia="en-GB"/>
        </w:rPr>
        <w:t xml:space="preserve"> </w:t>
      </w:r>
    </w:p>
    <w:p w14:paraId="1AB6A246"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He grew up quickly from his mother earth,</w:t>
      </w:r>
    </w:p>
    <w:p w14:paraId="6B7C285A"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 xml:space="preserve">For all you see was but an </w:t>
      </w:r>
      <w:proofErr w:type="gramStart"/>
      <w:r w:rsidRPr="003037D2">
        <w:rPr>
          <w:rFonts w:ascii="Garamond" w:eastAsia="SimSun" w:hAnsi="Garamond" w:cs="Arial"/>
          <w:lang w:eastAsia="en-GB"/>
        </w:rPr>
        <w:t>hours</w:t>
      </w:r>
      <w:proofErr w:type="gramEnd"/>
      <w:r w:rsidRPr="003037D2">
        <w:rPr>
          <w:rFonts w:ascii="Garamond" w:eastAsia="SimSun" w:hAnsi="Garamond" w:cs="Arial"/>
          <w:lang w:eastAsia="en-GB"/>
        </w:rPr>
        <w:t xml:space="preserve"> birth; </w:t>
      </w:r>
    </w:p>
    <w:p w14:paraId="1524E522"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 xml:space="preserve">Look on him well, my life I dare engage, </w:t>
      </w:r>
    </w:p>
    <w:p w14:paraId="4376F423" w14:textId="77777777" w:rsidR="00162224" w:rsidRPr="003037D2" w:rsidRDefault="00162224" w:rsidP="00162224">
      <w:pPr>
        <w:ind w:left="2160"/>
        <w:rPr>
          <w:rFonts w:ascii="Garamond" w:eastAsia="SimSun" w:hAnsi="Garamond" w:cs="Arial"/>
          <w:lang w:eastAsia="en-GB"/>
        </w:rPr>
      </w:pPr>
      <w:r w:rsidRPr="003037D2">
        <w:rPr>
          <w:rFonts w:ascii="Garamond" w:eastAsia="SimSun" w:hAnsi="Garamond" w:cs="Arial"/>
          <w:lang w:eastAsia="en-GB"/>
        </w:rPr>
        <w:t xml:space="preserve">You </w:t>
      </w:r>
      <w:proofErr w:type="spellStart"/>
      <w:r w:rsidRPr="003037D2">
        <w:rPr>
          <w:rFonts w:ascii="Garamond" w:eastAsia="SimSun" w:hAnsi="Garamond" w:cs="Arial"/>
          <w:lang w:eastAsia="en-GB"/>
        </w:rPr>
        <w:t>ne’re</w:t>
      </w:r>
      <w:proofErr w:type="spellEnd"/>
      <w:r w:rsidRPr="003037D2">
        <w:rPr>
          <w:rFonts w:ascii="Garamond" w:eastAsia="SimSun" w:hAnsi="Garamond" w:cs="Arial"/>
          <w:lang w:eastAsia="en-GB"/>
        </w:rPr>
        <w:t xml:space="preserve"> saw prettier baby of his age.</w:t>
      </w:r>
      <w:r w:rsidRPr="003037D2">
        <w:rPr>
          <w:rFonts w:ascii="Garamond" w:eastAsia="SimSun" w:hAnsi="Garamond" w:cs="Arial"/>
          <w:vertAlign w:val="superscript"/>
          <w:lang w:eastAsia="en-GB"/>
        </w:rPr>
        <w:footnoteReference w:id="847"/>
      </w:r>
      <w:r w:rsidRPr="003037D2">
        <w:rPr>
          <w:rFonts w:ascii="Garamond" w:eastAsia="SimSun" w:hAnsi="Garamond" w:cs="Arial"/>
          <w:lang w:eastAsia="en-GB"/>
        </w:rPr>
        <w:t xml:space="preserve"> </w:t>
      </w:r>
    </w:p>
    <w:p w14:paraId="4580B1B0" w14:textId="77777777" w:rsidR="00162224" w:rsidRPr="003037D2" w:rsidRDefault="00162224" w:rsidP="00162224">
      <w:pPr>
        <w:spacing w:line="360" w:lineRule="auto"/>
        <w:ind w:left="2160"/>
        <w:rPr>
          <w:rFonts w:ascii="Garamond" w:eastAsia="SimSun" w:hAnsi="Garamond" w:cs="Arial"/>
          <w:lang w:eastAsia="en-GB"/>
        </w:rPr>
      </w:pPr>
    </w:p>
    <w:p w14:paraId="752D9802" w14:textId="2BE91924" w:rsidR="00162224" w:rsidRPr="003037D2" w:rsidRDefault="00162224" w:rsidP="00162224">
      <w:pPr>
        <w:spacing w:line="360" w:lineRule="auto"/>
        <w:rPr>
          <w:rFonts w:ascii="Garamond" w:eastAsia="SimSun" w:hAnsi="Garamond" w:cs="Arial"/>
          <w:lang w:eastAsia="en-GB"/>
        </w:rPr>
      </w:pPr>
      <w:r w:rsidRPr="003037D2">
        <w:rPr>
          <w:rFonts w:ascii="Garamond" w:eastAsia="SimSun" w:hAnsi="Garamond" w:cs="Arial"/>
          <w:lang w:eastAsia="en-GB"/>
        </w:rPr>
        <w:t xml:space="preserve">Corbett playfully reworks language familiar from the burial service in </w:t>
      </w:r>
      <w:r w:rsidR="00284281">
        <w:rPr>
          <w:rFonts w:ascii="Garamond" w:eastAsia="SimSun" w:hAnsi="Garamond" w:cs="Arial"/>
          <w:i/>
          <w:lang w:eastAsia="en-GB"/>
        </w:rPr>
        <w:t>T</w:t>
      </w:r>
      <w:r w:rsidRPr="003037D2">
        <w:rPr>
          <w:rFonts w:ascii="Garamond" w:eastAsia="SimSun" w:hAnsi="Garamond" w:cs="Arial"/>
          <w:i/>
          <w:iCs/>
          <w:lang w:eastAsia="en-GB"/>
        </w:rPr>
        <w:t>he Book of Common</w:t>
      </w:r>
      <w:r w:rsidRPr="003037D2">
        <w:rPr>
          <w:rFonts w:ascii="Garamond" w:eastAsia="SimSun" w:hAnsi="Garamond" w:cs="Arial"/>
          <w:lang w:eastAsia="en-GB"/>
        </w:rPr>
        <w:t xml:space="preserve"> </w:t>
      </w:r>
      <w:r w:rsidRPr="003037D2">
        <w:rPr>
          <w:rFonts w:ascii="Garamond" w:eastAsia="SimSun" w:hAnsi="Garamond" w:cs="Arial"/>
          <w:i/>
          <w:iCs/>
          <w:lang w:eastAsia="en-GB"/>
        </w:rPr>
        <w:t>Prayer</w:t>
      </w:r>
      <w:r w:rsidRPr="003037D2">
        <w:rPr>
          <w:rFonts w:ascii="Garamond" w:eastAsia="SimSun" w:hAnsi="Garamond" w:cs="Arial"/>
          <w:lang w:eastAsia="en-GB"/>
        </w:rPr>
        <w:t xml:space="preserve">, with references to earth, the cradle and the grave. The metal of the other Oxford bells is transformed in Corbett’s verse, without the need for a smithy’s forge, from instruments that could create Godly divine music to humdrum household objects. Indeed, Great Tom remains the loudest bell in Oxford. In describing the ‘resurrection from the clay’ the poem points towards the actual bell casting process, in which a </w:t>
      </w:r>
      <w:proofErr w:type="spellStart"/>
      <w:r w:rsidRPr="003037D2">
        <w:rPr>
          <w:rFonts w:ascii="Garamond" w:eastAsia="SimSun" w:hAnsi="Garamond" w:cs="Arial"/>
          <w:lang w:eastAsia="en-GB"/>
        </w:rPr>
        <w:t>mould</w:t>
      </w:r>
      <w:proofErr w:type="spellEnd"/>
      <w:r w:rsidRPr="003037D2">
        <w:rPr>
          <w:rFonts w:ascii="Garamond" w:eastAsia="SimSun" w:hAnsi="Garamond" w:cs="Arial"/>
          <w:lang w:eastAsia="en-GB"/>
        </w:rPr>
        <w:t xml:space="preserve"> of loam would be created to be filled with the bronze of the bell. This has been melted in the ‘grave’ of the ‘fiery cave’ that the becomes then ‘the cradle’ in a moment of rebirth. Corbett had been a student at Christ Church and later junior proctor, delivering the funeral orations for Prince Henry and Thomas Bodley, before becoming the dean of the college in June 1620. He would be made a royal chaplain by 1621, however throughout his career he was often referred to more as a poet and a wit than a clergyman. When he was first called to preach before James I at Woodstock, his sermon was such a notable failure that it was remarked on for years after: he somehow tangled the strings of his preaching bands up with the royal ring he had just been presented with and mangled his words. Despite this, he became the Bishop of Oxford, and his intimate connection with the city can be seen in this poem.</w:t>
      </w:r>
      <w:r w:rsidRPr="003037D2">
        <w:rPr>
          <w:rFonts w:ascii="Garamond" w:eastAsia="SimSun" w:hAnsi="Garamond" w:cs="Arial"/>
          <w:vertAlign w:val="superscript"/>
          <w:lang w:eastAsia="en-GB"/>
        </w:rPr>
        <w:footnoteReference w:id="848"/>
      </w:r>
      <w:r w:rsidRPr="003037D2">
        <w:rPr>
          <w:rFonts w:ascii="Garamond" w:eastAsia="SimSun" w:hAnsi="Garamond" w:cs="Arial"/>
          <w:lang w:eastAsia="en-GB"/>
        </w:rPr>
        <w:t xml:space="preserve"> The aging process is </w:t>
      </w:r>
      <w:r w:rsidRPr="003037D2">
        <w:rPr>
          <w:rFonts w:ascii="Garamond" w:eastAsia="SimSun" w:hAnsi="Garamond" w:cs="Arial"/>
          <w:lang w:eastAsia="en-GB"/>
        </w:rPr>
        <w:lastRenderedPageBreak/>
        <w:t xml:space="preserve">reversed through the power of fire, as ‘Old Tom’s grown young again’. In </w:t>
      </w:r>
      <w:proofErr w:type="spellStart"/>
      <w:r w:rsidRPr="003037D2">
        <w:rPr>
          <w:rFonts w:ascii="Garamond" w:eastAsia="SimSun" w:hAnsi="Garamond" w:cs="Arial"/>
          <w:lang w:eastAsia="en-GB"/>
        </w:rPr>
        <w:t>emphasising</w:t>
      </w:r>
      <w:proofErr w:type="spellEnd"/>
      <w:r w:rsidRPr="003037D2">
        <w:rPr>
          <w:rFonts w:ascii="Garamond" w:eastAsia="SimSun" w:hAnsi="Garamond" w:cs="Arial"/>
          <w:lang w:eastAsia="en-GB"/>
        </w:rPr>
        <w:t xml:space="preserve"> Tom’s ‘resurrection’, this reversal of the normal processes of time is given a Christological bent: the casting of the bell becomes a minor miracle. </w:t>
      </w:r>
    </w:p>
    <w:p w14:paraId="712D7438" w14:textId="77777777" w:rsidR="00162224" w:rsidRPr="003037D2" w:rsidRDefault="00162224" w:rsidP="00162224">
      <w:pPr>
        <w:spacing w:line="360" w:lineRule="auto"/>
        <w:rPr>
          <w:rFonts w:ascii="Garamond" w:eastAsia="SimSun" w:hAnsi="Garamond" w:cs="Arial"/>
          <w:lang w:eastAsia="en-GB"/>
        </w:rPr>
      </w:pPr>
      <w:r w:rsidRPr="003037D2">
        <w:rPr>
          <w:rFonts w:ascii="Garamond" w:eastAsia="SimSun" w:hAnsi="Garamond" w:cs="Arial"/>
          <w:lang w:eastAsia="en-GB"/>
        </w:rPr>
        <w:tab/>
      </w:r>
    </w:p>
    <w:p w14:paraId="77D06CF8" w14:textId="6D473182" w:rsidR="00162224" w:rsidRPr="003037D2" w:rsidRDefault="00162224" w:rsidP="00162224">
      <w:pPr>
        <w:spacing w:line="360" w:lineRule="auto"/>
        <w:rPr>
          <w:rFonts w:ascii="Garamond" w:eastAsia="SimSun" w:hAnsi="Garamond" w:cs="Arial"/>
          <w:lang w:eastAsia="en-GB"/>
        </w:rPr>
      </w:pPr>
      <w:r w:rsidRPr="003037D2">
        <w:rPr>
          <w:rFonts w:ascii="Garamond" w:eastAsia="SimSun" w:hAnsi="Garamond" w:cs="Arial"/>
          <w:lang w:eastAsia="en-GB"/>
        </w:rPr>
        <w:tab/>
        <w:t>In this thesis, I have explored how objects and texts are imbued with time: the an</w:t>
      </w:r>
      <w:r w:rsidR="004F590E">
        <w:rPr>
          <w:rFonts w:ascii="Garamond" w:eastAsia="SimSun" w:hAnsi="Garamond" w:cs="Arial"/>
          <w:lang w:eastAsia="en-GB"/>
        </w:rPr>
        <w:t>notated almanacs of seventeenth-</w:t>
      </w:r>
      <w:r w:rsidRPr="003037D2">
        <w:rPr>
          <w:rFonts w:ascii="Garamond" w:eastAsia="SimSun" w:hAnsi="Garamond" w:cs="Arial"/>
          <w:lang w:eastAsia="en-GB"/>
        </w:rPr>
        <w:t xml:space="preserve">century settlers in New England, Joseph Hall’s ‘re-edified’ chapel, the poesies and images that George Herbert assembled from text. The polychronic nature of these objects is the result of both how they were made, how they are used, and how they are viewed. As Corbett says of the Christ’s College bell ‘some do swear/ Young Tom’s not like the Old: But, Tom, </w:t>
      </w:r>
      <w:proofErr w:type="spellStart"/>
      <w:r w:rsidRPr="003037D2">
        <w:rPr>
          <w:rFonts w:ascii="Garamond" w:eastAsia="SimSun" w:hAnsi="Garamond" w:cs="Arial"/>
          <w:lang w:eastAsia="en-GB"/>
        </w:rPr>
        <w:t>ne’re</w:t>
      </w:r>
      <w:proofErr w:type="spellEnd"/>
      <w:r w:rsidRPr="003037D2">
        <w:rPr>
          <w:rFonts w:ascii="Garamond" w:eastAsia="SimSun" w:hAnsi="Garamond" w:cs="Arial"/>
          <w:lang w:eastAsia="en-GB"/>
        </w:rPr>
        <w:t xml:space="preserve"> fear / The Critical geometricians line, / If thou as loud as </w:t>
      </w:r>
      <w:proofErr w:type="spellStart"/>
      <w:r w:rsidRPr="003037D2">
        <w:rPr>
          <w:rFonts w:ascii="Garamond" w:eastAsia="SimSun" w:hAnsi="Garamond" w:cs="Arial"/>
          <w:lang w:eastAsia="en-GB"/>
        </w:rPr>
        <w:t>e’re</w:t>
      </w:r>
      <w:proofErr w:type="spellEnd"/>
      <w:r w:rsidRPr="003037D2">
        <w:rPr>
          <w:rFonts w:ascii="Garamond" w:eastAsia="SimSun" w:hAnsi="Garamond" w:cs="Arial"/>
          <w:lang w:eastAsia="en-GB"/>
        </w:rPr>
        <w:t xml:space="preserve"> thon did </w:t>
      </w:r>
      <w:proofErr w:type="spellStart"/>
      <w:r w:rsidRPr="003037D2">
        <w:rPr>
          <w:rFonts w:ascii="Garamond" w:eastAsia="SimSun" w:hAnsi="Garamond" w:cs="Arial"/>
          <w:lang w:eastAsia="en-GB"/>
        </w:rPr>
        <w:t>ring’st</w:t>
      </w:r>
      <w:proofErr w:type="spellEnd"/>
      <w:r w:rsidRPr="003037D2">
        <w:rPr>
          <w:rFonts w:ascii="Garamond" w:eastAsia="SimSun" w:hAnsi="Garamond" w:cs="Arial"/>
          <w:lang w:eastAsia="en-GB"/>
        </w:rPr>
        <w:t xml:space="preserve"> nine’.</w:t>
      </w:r>
      <w:r w:rsidRPr="003037D2">
        <w:rPr>
          <w:rFonts w:ascii="Garamond" w:eastAsia="SimSun" w:hAnsi="Garamond" w:cs="Arial"/>
          <w:vertAlign w:val="superscript"/>
          <w:lang w:eastAsia="en-GB"/>
        </w:rPr>
        <w:footnoteReference w:id="849"/>
      </w:r>
      <w:r w:rsidRPr="003037D2">
        <w:rPr>
          <w:rFonts w:ascii="Garamond" w:eastAsia="SimSun" w:hAnsi="Garamond" w:cs="Arial"/>
          <w:lang w:eastAsia="en-GB"/>
        </w:rPr>
        <w:t xml:space="preserve"> The new bell, formed out of the same material as the old bell, is simultaneously like and unlike ‘Old Tom’. Indeed, it has surely been made to supersede the old one. Invoking the ‘critical geometricians’ reminds the reader that the bell, as well as an obvious source of local pride, is a temporal marker. Whilst the bell itself has been resurrected, it is also ‘his own bell-man to the grave’ – an object that sounds out the passing of time in a linear way, heralding decay and death. </w:t>
      </w:r>
    </w:p>
    <w:p w14:paraId="11F16434" w14:textId="77777777" w:rsidR="00162224" w:rsidRPr="003037D2" w:rsidRDefault="00162224" w:rsidP="00162224">
      <w:pPr>
        <w:spacing w:line="360" w:lineRule="auto"/>
        <w:rPr>
          <w:rFonts w:ascii="Garamond" w:eastAsia="SimSun" w:hAnsi="Garamond" w:cs="Arial"/>
          <w:lang w:eastAsia="en-GB"/>
        </w:rPr>
      </w:pPr>
    </w:p>
    <w:p w14:paraId="749DC6F9" w14:textId="03F1C570" w:rsidR="00162224" w:rsidRPr="003037D2" w:rsidRDefault="00162224" w:rsidP="00162224">
      <w:pPr>
        <w:spacing w:line="360" w:lineRule="auto"/>
        <w:rPr>
          <w:rFonts w:ascii="Garamond" w:eastAsia="SimSun" w:hAnsi="Garamond" w:cs="Arial"/>
          <w:lang w:eastAsia="en-GB"/>
        </w:rPr>
      </w:pPr>
      <w:r w:rsidRPr="003037D2">
        <w:rPr>
          <w:rFonts w:ascii="Garamond" w:eastAsia="SimSun" w:hAnsi="Garamond" w:cs="Arial"/>
          <w:lang w:eastAsia="en-GB"/>
        </w:rPr>
        <w:tab/>
        <w:t xml:space="preserve">In contrast, I have argued that objects that seem to present a linear, </w:t>
      </w:r>
      <w:proofErr w:type="spellStart"/>
      <w:r w:rsidRPr="003037D2">
        <w:rPr>
          <w:rFonts w:ascii="Garamond" w:eastAsia="SimSun" w:hAnsi="Garamond" w:cs="Arial"/>
          <w:lang w:eastAsia="en-GB"/>
        </w:rPr>
        <w:t>regularised</w:t>
      </w:r>
      <w:proofErr w:type="spellEnd"/>
      <w:r w:rsidRPr="003037D2">
        <w:rPr>
          <w:rFonts w:ascii="Garamond" w:eastAsia="SimSun" w:hAnsi="Garamond" w:cs="Arial"/>
          <w:lang w:eastAsia="en-GB"/>
        </w:rPr>
        <w:t xml:space="preserve"> understanding of time have the propensity to be reworked in surprisingly flexible ways. Almanacs bring together timelines of the past in their detailed chronologies with charts to track the immediate present and astrological predictions for the future. These different time-lines are bound up in one volume, and as such the varied use that readers make of them should not be surprising. The layering of different fields of time in one item can also be seen in the Psalms. As discussed with specific reference to Anne Lock and Mary Sidney Herbert’s </w:t>
      </w:r>
      <w:proofErr w:type="spellStart"/>
      <w:r w:rsidRPr="003037D2">
        <w:rPr>
          <w:rFonts w:ascii="Garamond" w:eastAsia="SimSun" w:hAnsi="Garamond" w:cs="Arial"/>
          <w:lang w:eastAsia="en-GB"/>
        </w:rPr>
        <w:t>metaphrases</w:t>
      </w:r>
      <w:proofErr w:type="spellEnd"/>
      <w:r w:rsidRPr="003037D2">
        <w:rPr>
          <w:rFonts w:ascii="Garamond" w:eastAsia="SimSun" w:hAnsi="Garamond" w:cs="Arial"/>
          <w:lang w:eastAsia="en-GB"/>
        </w:rPr>
        <w:t xml:space="preserve"> of Psalm 51, </w:t>
      </w:r>
      <w:r w:rsidRPr="003037D2">
        <w:rPr>
          <w:rFonts w:ascii="Garamond" w:eastAsia="SimSun" w:hAnsi="Garamond" w:cs="Arial"/>
          <w:i/>
          <w:lang w:eastAsia="en-GB"/>
        </w:rPr>
        <w:t xml:space="preserve">miserere </w:t>
      </w:r>
      <w:proofErr w:type="spellStart"/>
      <w:r w:rsidRPr="003037D2">
        <w:rPr>
          <w:rFonts w:ascii="Garamond" w:eastAsia="SimSun" w:hAnsi="Garamond" w:cs="Arial"/>
          <w:i/>
          <w:lang w:eastAsia="en-GB"/>
        </w:rPr>
        <w:t>mei</w:t>
      </w:r>
      <w:proofErr w:type="spellEnd"/>
      <w:r w:rsidRPr="003037D2">
        <w:rPr>
          <w:rFonts w:ascii="Garamond" w:eastAsia="SimSun" w:hAnsi="Garamond" w:cs="Arial"/>
          <w:i/>
          <w:lang w:eastAsia="en-GB"/>
        </w:rPr>
        <w:t xml:space="preserve"> </w:t>
      </w:r>
      <w:proofErr w:type="spellStart"/>
      <w:r w:rsidRPr="003037D2">
        <w:rPr>
          <w:rFonts w:ascii="Garamond" w:eastAsia="SimSun" w:hAnsi="Garamond" w:cs="Arial"/>
          <w:i/>
          <w:lang w:eastAsia="en-GB"/>
        </w:rPr>
        <w:t>deus</w:t>
      </w:r>
      <w:proofErr w:type="spellEnd"/>
      <w:r w:rsidRPr="003037D2">
        <w:rPr>
          <w:rFonts w:ascii="Garamond" w:eastAsia="SimSun" w:hAnsi="Garamond" w:cs="Arial"/>
          <w:i/>
          <w:lang w:eastAsia="en-GB"/>
        </w:rPr>
        <w:t xml:space="preserve">, </w:t>
      </w:r>
      <w:r w:rsidRPr="003037D2">
        <w:rPr>
          <w:rFonts w:ascii="Garamond" w:eastAsia="SimSun" w:hAnsi="Garamond" w:cs="Arial"/>
          <w:lang w:eastAsia="en-GB"/>
        </w:rPr>
        <w:t xml:space="preserve">repentance and penance are both based upon looking back in time – repenting a missed opportunity. However, this moment of penance and regret is </w:t>
      </w:r>
      <w:proofErr w:type="gramStart"/>
      <w:r w:rsidRPr="003037D2">
        <w:rPr>
          <w:rFonts w:ascii="Garamond" w:eastAsia="SimSun" w:hAnsi="Garamond" w:cs="Arial"/>
          <w:lang w:eastAsia="en-GB"/>
        </w:rPr>
        <w:t>in itself a</w:t>
      </w:r>
      <w:proofErr w:type="gramEnd"/>
      <w:r w:rsidRPr="003037D2">
        <w:rPr>
          <w:rFonts w:ascii="Garamond" w:eastAsia="SimSun" w:hAnsi="Garamond" w:cs="Arial"/>
          <w:lang w:eastAsia="en-GB"/>
        </w:rPr>
        <w:t xml:space="preserve"> </w:t>
      </w:r>
      <w:proofErr w:type="spellStart"/>
      <w:r w:rsidRPr="003037D2">
        <w:rPr>
          <w:rFonts w:ascii="Garamond" w:eastAsia="SimSun" w:hAnsi="Garamond" w:cs="Arial"/>
          <w:i/>
          <w:lang w:eastAsia="en-GB"/>
        </w:rPr>
        <w:t>kairotic</w:t>
      </w:r>
      <w:proofErr w:type="spellEnd"/>
      <w:r w:rsidRPr="003037D2">
        <w:rPr>
          <w:rFonts w:ascii="Garamond" w:eastAsia="SimSun" w:hAnsi="Garamond" w:cs="Arial"/>
          <w:i/>
          <w:lang w:eastAsia="en-GB"/>
        </w:rPr>
        <w:t xml:space="preserve"> </w:t>
      </w:r>
      <w:r w:rsidRPr="003037D2">
        <w:rPr>
          <w:rFonts w:ascii="Garamond" w:eastAsia="SimSun" w:hAnsi="Garamond" w:cs="Arial"/>
          <w:lang w:eastAsia="en-GB"/>
        </w:rPr>
        <w:t>moment, a time which can be harnessed, either for artistic creation, or (and indeed sometimes as a result of the created work) for the ethical purpose of helping others. As Sidney</w:t>
      </w:r>
      <w:r w:rsidR="002F1250">
        <w:rPr>
          <w:rFonts w:ascii="Garamond" w:eastAsia="SimSun" w:hAnsi="Garamond" w:cs="Arial"/>
          <w:lang w:eastAsia="en-GB"/>
        </w:rPr>
        <w:t xml:space="preserve"> Herbert</w:t>
      </w:r>
      <w:r w:rsidRPr="003037D2">
        <w:rPr>
          <w:rFonts w:ascii="Garamond" w:eastAsia="SimSun" w:hAnsi="Garamond" w:cs="Arial"/>
          <w:lang w:eastAsia="en-GB"/>
        </w:rPr>
        <w:t xml:space="preserve"> writes, </w:t>
      </w:r>
    </w:p>
    <w:p w14:paraId="63E7457A" w14:textId="77777777" w:rsidR="00162224" w:rsidRPr="003037D2" w:rsidRDefault="00162224" w:rsidP="00162224">
      <w:pPr>
        <w:ind w:left="2160"/>
        <w:rPr>
          <w:rFonts w:ascii="Garamond" w:eastAsia="Calibri" w:hAnsi="Garamond" w:cs="Times New Roman"/>
        </w:rPr>
      </w:pPr>
      <w:proofErr w:type="gramStart"/>
      <w:r w:rsidRPr="003037D2">
        <w:rPr>
          <w:rFonts w:ascii="Garamond" w:eastAsia="Calibri" w:hAnsi="Garamond" w:cs="Times New Roman"/>
        </w:rPr>
        <w:t>So</w:t>
      </w:r>
      <w:proofErr w:type="gramEnd"/>
      <w:r w:rsidRPr="003037D2">
        <w:rPr>
          <w:rFonts w:ascii="Garamond" w:eastAsia="Calibri" w:hAnsi="Garamond" w:cs="Times New Roman"/>
        </w:rPr>
        <w:t xml:space="preserve"> I to them a guiding hand will be,</w:t>
      </w:r>
    </w:p>
    <w:p w14:paraId="3A613F73"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 xml:space="preserve">         Whose faulty feet have wandered from thy way,</w:t>
      </w:r>
    </w:p>
    <w:p w14:paraId="3FCBE85B" w14:textId="77777777" w:rsidR="00162224" w:rsidRPr="003037D2" w:rsidRDefault="00162224" w:rsidP="00162224">
      <w:pPr>
        <w:ind w:left="2160"/>
        <w:rPr>
          <w:rFonts w:ascii="Garamond" w:eastAsia="Calibri" w:hAnsi="Garamond" w:cs="Times New Roman"/>
        </w:rPr>
      </w:pPr>
      <w:r w:rsidRPr="003037D2">
        <w:rPr>
          <w:rFonts w:ascii="Garamond" w:eastAsia="Calibri" w:hAnsi="Garamond" w:cs="Times New Roman"/>
        </w:rPr>
        <w:t>And turned from sin will make return to thee,</w:t>
      </w:r>
    </w:p>
    <w:p w14:paraId="0C9DD323" w14:textId="1B2AA9B4" w:rsidR="00162224" w:rsidRDefault="00162224" w:rsidP="00162224">
      <w:pPr>
        <w:rPr>
          <w:rFonts w:ascii="Garamond" w:eastAsia="SimSun" w:hAnsi="Garamond" w:cs="Times New Roman"/>
          <w:lang w:eastAsia="en-GB"/>
        </w:rPr>
      </w:pPr>
      <w:r w:rsidRPr="003037D2">
        <w:rPr>
          <w:rFonts w:ascii="Garamond" w:eastAsia="SimSun" w:hAnsi="Garamond" w:cs="Times New Roman"/>
          <w:lang w:eastAsia="en-GB"/>
        </w:rPr>
        <w:lastRenderedPageBreak/>
        <w:t xml:space="preserve">         </w:t>
      </w:r>
      <w:r w:rsidRPr="003037D2">
        <w:rPr>
          <w:rFonts w:ascii="Garamond" w:eastAsia="SimSun" w:hAnsi="Garamond" w:cs="Times New Roman"/>
          <w:lang w:eastAsia="en-GB"/>
        </w:rPr>
        <w:tab/>
      </w:r>
      <w:r w:rsidRPr="003037D2">
        <w:rPr>
          <w:rFonts w:ascii="Garamond" w:eastAsia="SimSun" w:hAnsi="Garamond" w:cs="Times New Roman"/>
          <w:lang w:eastAsia="en-GB"/>
        </w:rPr>
        <w:tab/>
      </w:r>
      <w:r w:rsidRPr="003037D2">
        <w:rPr>
          <w:rFonts w:ascii="Garamond" w:eastAsia="SimSun" w:hAnsi="Garamond" w:cs="Times New Roman"/>
          <w:lang w:eastAsia="en-GB"/>
        </w:rPr>
        <w:tab/>
      </w:r>
      <w:r w:rsidRPr="003037D2">
        <w:rPr>
          <w:rFonts w:ascii="Garamond" w:eastAsia="SimSun" w:hAnsi="Garamond" w:cs="Times New Roman"/>
          <w:lang w:eastAsia="en-GB"/>
        </w:rPr>
        <w:tab/>
        <w:t xml:space="preserve">Whom turned from thee sin </w:t>
      </w:r>
      <w:proofErr w:type="spellStart"/>
      <w:r w:rsidRPr="003037D2">
        <w:rPr>
          <w:rFonts w:ascii="Garamond" w:eastAsia="SimSun" w:hAnsi="Garamond" w:cs="Times New Roman"/>
          <w:lang w:eastAsia="en-GB"/>
        </w:rPr>
        <w:t>erst</w:t>
      </w:r>
      <w:proofErr w:type="spellEnd"/>
      <w:r w:rsidRPr="003037D2">
        <w:rPr>
          <w:rFonts w:ascii="Garamond" w:eastAsia="SimSun" w:hAnsi="Garamond" w:cs="Times New Roman"/>
          <w:lang w:eastAsia="en-GB"/>
        </w:rPr>
        <w:t xml:space="preserve"> had led astray.</w:t>
      </w:r>
      <w:r w:rsidRPr="003037D2">
        <w:rPr>
          <w:rFonts w:ascii="Garamond" w:eastAsia="SimSun" w:hAnsi="Garamond" w:cs="Times New Roman"/>
          <w:vertAlign w:val="superscript"/>
          <w:lang w:eastAsia="en-GB"/>
        </w:rPr>
        <w:footnoteReference w:id="850"/>
      </w:r>
    </w:p>
    <w:p w14:paraId="1DB9A4A8" w14:textId="77777777" w:rsidR="00162224" w:rsidRPr="003037D2" w:rsidRDefault="00162224" w:rsidP="00162224">
      <w:pPr>
        <w:rPr>
          <w:rFonts w:ascii="Garamond" w:eastAsia="SimSun" w:hAnsi="Garamond" w:cs="Times New Roman"/>
          <w:lang w:eastAsia="en-GB"/>
        </w:rPr>
      </w:pPr>
    </w:p>
    <w:p w14:paraId="75EE8AAF" w14:textId="77777777" w:rsidR="00162224" w:rsidRPr="003037D2" w:rsidRDefault="00162224" w:rsidP="00162224">
      <w:pPr>
        <w:spacing w:line="360" w:lineRule="auto"/>
        <w:rPr>
          <w:rFonts w:ascii="Garamond" w:eastAsia="SimSun" w:hAnsi="Garamond" w:cs="Times New Roman"/>
          <w:lang w:eastAsia="en-GB"/>
        </w:rPr>
      </w:pPr>
      <w:r w:rsidRPr="003037D2">
        <w:rPr>
          <w:rFonts w:ascii="Garamond" w:eastAsia="SimSun" w:hAnsi="Garamond" w:cs="Times New Roman"/>
          <w:lang w:eastAsia="en-GB"/>
        </w:rPr>
        <w:t>The notion of turning in devotion is inescapably bound up with the idea of conversion. George Herbert similarly refers to how Sundays can ‘pull/ And turn us round’ to contemplate God when the tendency is to move in linear, unthinking way ‘to endless death’.</w:t>
      </w:r>
      <w:r w:rsidRPr="003037D2">
        <w:rPr>
          <w:rFonts w:ascii="Garamond" w:eastAsia="SimSun" w:hAnsi="Garamond" w:cs="Times New Roman"/>
          <w:vertAlign w:val="superscript"/>
          <w:lang w:eastAsia="en-GB"/>
        </w:rPr>
        <w:footnoteReference w:id="851"/>
      </w:r>
      <w:r w:rsidRPr="003037D2">
        <w:rPr>
          <w:rFonts w:ascii="Garamond" w:eastAsia="SimSun" w:hAnsi="Garamond" w:cs="Times New Roman"/>
          <w:lang w:eastAsia="en-GB"/>
        </w:rPr>
        <w:t xml:space="preserve"> Turning through time can have many ramifications: it can be a moral error, a </w:t>
      </w:r>
      <w:proofErr w:type="spellStart"/>
      <w:r w:rsidRPr="003037D2">
        <w:rPr>
          <w:rFonts w:ascii="Garamond" w:eastAsia="SimSun" w:hAnsi="Garamond" w:cs="Times New Roman"/>
          <w:lang w:eastAsia="en-GB"/>
        </w:rPr>
        <w:t>paralysing</w:t>
      </w:r>
      <w:proofErr w:type="spellEnd"/>
      <w:r w:rsidRPr="003037D2">
        <w:rPr>
          <w:rFonts w:ascii="Garamond" w:eastAsia="SimSun" w:hAnsi="Garamond" w:cs="Times New Roman"/>
          <w:lang w:eastAsia="en-GB"/>
        </w:rPr>
        <w:t xml:space="preserve"> backwards look, a spur to future action, or a way of making contact with a pattern for divine </w:t>
      </w:r>
      <w:proofErr w:type="spellStart"/>
      <w:r w:rsidRPr="003037D2">
        <w:rPr>
          <w:rFonts w:ascii="Garamond" w:eastAsia="SimSun" w:hAnsi="Garamond" w:cs="Times New Roman"/>
          <w:lang w:eastAsia="en-GB"/>
        </w:rPr>
        <w:t>behaviour</w:t>
      </w:r>
      <w:proofErr w:type="spellEnd"/>
      <w:r w:rsidRPr="003037D2">
        <w:rPr>
          <w:rFonts w:ascii="Garamond" w:eastAsia="SimSun" w:hAnsi="Garamond" w:cs="Times New Roman"/>
          <w:lang w:eastAsia="en-GB"/>
        </w:rPr>
        <w:t xml:space="preserve"> and communication. </w:t>
      </w:r>
    </w:p>
    <w:p w14:paraId="5B4B4A9E" w14:textId="77777777" w:rsidR="00162224" w:rsidRPr="003037D2" w:rsidRDefault="00162224" w:rsidP="00162224">
      <w:pPr>
        <w:spacing w:line="360" w:lineRule="auto"/>
        <w:rPr>
          <w:rFonts w:ascii="Garamond" w:eastAsia="SimSun" w:hAnsi="Garamond" w:cs="Times New Roman"/>
          <w:lang w:eastAsia="en-GB"/>
        </w:rPr>
      </w:pPr>
    </w:p>
    <w:p w14:paraId="727A70BA" w14:textId="77777777" w:rsidR="00162224" w:rsidRPr="003037D2" w:rsidRDefault="00162224" w:rsidP="00162224">
      <w:pPr>
        <w:spacing w:line="360" w:lineRule="auto"/>
        <w:ind w:firstLine="720"/>
        <w:rPr>
          <w:rFonts w:ascii="Garamond" w:eastAsia="SimSun" w:hAnsi="Garamond" w:cs="Times New Roman"/>
          <w:lang w:eastAsia="en-GB"/>
        </w:rPr>
      </w:pPr>
      <w:r w:rsidRPr="003037D2">
        <w:rPr>
          <w:rFonts w:ascii="Garamond" w:eastAsia="SimSun" w:hAnsi="Garamond" w:cs="Arial"/>
          <w:lang w:eastAsia="en-GB"/>
        </w:rPr>
        <w:t xml:space="preserve">I have argued that the very act of translation is a process of transferring a written work through time. Putting these ancient works, which </w:t>
      </w:r>
      <w:proofErr w:type="gramStart"/>
      <w:r w:rsidRPr="003037D2">
        <w:rPr>
          <w:rFonts w:ascii="Garamond" w:eastAsia="SimSun" w:hAnsi="Garamond" w:cs="Arial"/>
          <w:lang w:eastAsia="en-GB"/>
        </w:rPr>
        <w:t>were seen as</w:t>
      </w:r>
      <w:proofErr w:type="gramEnd"/>
      <w:r w:rsidRPr="003037D2">
        <w:rPr>
          <w:rFonts w:ascii="Garamond" w:eastAsia="SimSun" w:hAnsi="Garamond" w:cs="Arial"/>
          <w:lang w:eastAsia="en-GB"/>
        </w:rPr>
        <w:t xml:space="preserve"> King David’s response to very particular troubles, into fresh words to be repeated on a weekly basis necessitates the layering of multiple times in to one text. </w:t>
      </w:r>
      <w:r w:rsidRPr="003037D2">
        <w:rPr>
          <w:rFonts w:ascii="Garamond" w:eastAsia="SimSun" w:hAnsi="Garamond" w:cs="Times New Roman"/>
          <w:lang w:eastAsia="en-GB"/>
        </w:rPr>
        <w:t xml:space="preserve">God’s eternal nature causes a philosophical issue for how best to communicate with him. The Psalms offer one solution to this temporally inflected quandary as they provide a pattern for communication, allowing words to be </w:t>
      </w:r>
      <w:proofErr w:type="spellStart"/>
      <w:r w:rsidRPr="003037D2">
        <w:rPr>
          <w:rFonts w:ascii="Garamond" w:eastAsia="SimSun" w:hAnsi="Garamond" w:cs="Times New Roman"/>
          <w:lang w:eastAsia="en-GB"/>
        </w:rPr>
        <w:t>revitalised</w:t>
      </w:r>
      <w:proofErr w:type="spellEnd"/>
      <w:r w:rsidRPr="003037D2">
        <w:rPr>
          <w:rFonts w:ascii="Garamond" w:eastAsia="SimSun" w:hAnsi="Garamond" w:cs="Times New Roman"/>
          <w:lang w:eastAsia="en-GB"/>
        </w:rPr>
        <w:t xml:space="preserve"> in different people’s voices. As Donne writes in his second </w:t>
      </w:r>
      <w:proofErr w:type="spellStart"/>
      <w:r w:rsidRPr="003037D2">
        <w:rPr>
          <w:rFonts w:ascii="Garamond" w:eastAsia="SimSun" w:hAnsi="Garamond" w:cs="Times New Roman"/>
          <w:lang w:eastAsia="en-GB"/>
        </w:rPr>
        <w:t>prebend</w:t>
      </w:r>
      <w:proofErr w:type="spellEnd"/>
      <w:r w:rsidRPr="003037D2">
        <w:rPr>
          <w:rFonts w:ascii="Garamond" w:eastAsia="SimSun" w:hAnsi="Garamond" w:cs="Times New Roman"/>
          <w:lang w:eastAsia="en-GB"/>
        </w:rPr>
        <w:t xml:space="preserve"> sermon on Psalms 63.7, ‘</w:t>
      </w:r>
      <w:r w:rsidRPr="003037D2">
        <w:rPr>
          <w:rFonts w:ascii="Garamond" w:eastAsia="SimSun" w:hAnsi="Garamond" w:cs="Arial"/>
          <w:lang w:eastAsia="en-GB"/>
        </w:rPr>
        <w:t xml:space="preserve">for to that Heaven, I </w:t>
      </w:r>
      <w:proofErr w:type="spellStart"/>
      <w:r w:rsidRPr="003037D2">
        <w:rPr>
          <w:rFonts w:ascii="Garamond" w:eastAsia="SimSun" w:hAnsi="Garamond" w:cs="Arial"/>
          <w:lang w:eastAsia="en-GB"/>
        </w:rPr>
        <w:t>shal</w:t>
      </w:r>
      <w:proofErr w:type="spellEnd"/>
      <w:r w:rsidRPr="003037D2">
        <w:rPr>
          <w:rFonts w:ascii="Garamond" w:eastAsia="SimSun" w:hAnsi="Garamond" w:cs="Arial"/>
          <w:lang w:eastAsia="en-GB"/>
        </w:rPr>
        <w:t xml:space="preserve"> never come, except I go… by former Ideas, former examples, former patterns’.</w:t>
      </w:r>
      <w:r w:rsidRPr="003037D2">
        <w:rPr>
          <w:rFonts w:ascii="Garamond" w:eastAsia="SimSun" w:hAnsi="Garamond" w:cs="Arial"/>
          <w:vertAlign w:val="superscript"/>
          <w:lang w:eastAsia="en-GB"/>
        </w:rPr>
        <w:footnoteReference w:id="852"/>
      </w:r>
      <w:r w:rsidRPr="003037D2">
        <w:rPr>
          <w:rFonts w:ascii="Garamond" w:eastAsia="SimSun" w:hAnsi="Garamond" w:cs="Arial"/>
          <w:lang w:eastAsia="en-GB"/>
        </w:rPr>
        <w:t xml:space="preserve"> Donne is speaking of more than just the psalms at this point, discussing how general patterns of </w:t>
      </w:r>
      <w:proofErr w:type="spellStart"/>
      <w:r w:rsidRPr="003037D2">
        <w:rPr>
          <w:rFonts w:ascii="Garamond" w:eastAsia="SimSun" w:hAnsi="Garamond" w:cs="Arial"/>
          <w:lang w:eastAsia="en-GB"/>
        </w:rPr>
        <w:t>behaviour</w:t>
      </w:r>
      <w:proofErr w:type="spellEnd"/>
      <w:r w:rsidRPr="003037D2">
        <w:rPr>
          <w:rFonts w:ascii="Garamond" w:eastAsia="SimSun" w:hAnsi="Garamond" w:cs="Arial"/>
          <w:lang w:eastAsia="en-GB"/>
        </w:rPr>
        <w:t xml:space="preserve"> handed through both Biblical and social sources are needed to model correct conduct. </w:t>
      </w:r>
      <w:r w:rsidRPr="003037D2">
        <w:rPr>
          <w:rFonts w:ascii="Garamond" w:eastAsia="SimSun" w:hAnsi="Garamond" w:cs="Times New Roman"/>
          <w:lang w:eastAsia="en-GB"/>
        </w:rPr>
        <w:t xml:space="preserve">In the chapter on George Herbert’s poetry, I discussed at length Herbert’s interest in proverbs and commonplacing. These forms of language hold within them a notion of received wisdom: a socially constructed and agreed upon understanding of reality which can be accessed by many and then </w:t>
      </w:r>
      <w:proofErr w:type="spellStart"/>
      <w:r w:rsidRPr="003037D2">
        <w:rPr>
          <w:rFonts w:ascii="Garamond" w:eastAsia="SimSun" w:hAnsi="Garamond" w:cs="Times New Roman"/>
          <w:lang w:eastAsia="en-GB"/>
        </w:rPr>
        <w:t>personalised</w:t>
      </w:r>
      <w:proofErr w:type="spellEnd"/>
      <w:r w:rsidRPr="003037D2">
        <w:rPr>
          <w:rFonts w:ascii="Garamond" w:eastAsia="SimSun" w:hAnsi="Garamond" w:cs="Times New Roman"/>
          <w:lang w:eastAsia="en-GB"/>
        </w:rPr>
        <w:t xml:space="preserve">. The accessibility of Herbert’s poetry, sometimes derided, encourages reading practices that would enable his readers to approach Biblical texts in a more effective manner. </w:t>
      </w:r>
    </w:p>
    <w:p w14:paraId="5E438DE6" w14:textId="77777777" w:rsidR="00162224" w:rsidRPr="003037D2" w:rsidRDefault="00162224" w:rsidP="00162224">
      <w:pPr>
        <w:spacing w:line="360" w:lineRule="auto"/>
        <w:rPr>
          <w:rFonts w:ascii="Garamond" w:eastAsia="SimSun" w:hAnsi="Garamond" w:cs="Times New Roman"/>
          <w:lang w:eastAsia="en-GB"/>
        </w:rPr>
      </w:pPr>
    </w:p>
    <w:p w14:paraId="60A793FC" w14:textId="4577717F" w:rsidR="00162224" w:rsidRPr="003037D2" w:rsidRDefault="00162224" w:rsidP="00162224">
      <w:pPr>
        <w:tabs>
          <w:tab w:val="left" w:pos="5728"/>
        </w:tabs>
        <w:spacing w:line="360" w:lineRule="auto"/>
        <w:ind w:firstLine="748"/>
        <w:rPr>
          <w:rFonts w:ascii="Garamond" w:eastAsia="SimSun" w:hAnsi="Garamond" w:cs="Arial"/>
          <w:lang w:eastAsia="en-GB"/>
        </w:rPr>
      </w:pPr>
      <w:r w:rsidRPr="003037D2">
        <w:rPr>
          <w:rFonts w:ascii="Garamond" w:eastAsia="SimSun" w:hAnsi="Garamond" w:cs="Times New Roman"/>
          <w:lang w:eastAsia="en-GB"/>
        </w:rPr>
        <w:t xml:space="preserve">As the discussion of almanacs, and to a lesser extent psalms, demonstrates, temporal language is inextricably bound up with the language of space. In the chapter on George Herbert’s verse and prose, this notion is explicitly focused on the form of the book, with Herbert’s pattern poetry providing a useful case study of how symbolic interpretations of language make a claim to irrefutably link back to a stable past truth.  </w:t>
      </w:r>
      <w:r w:rsidRPr="003037D2">
        <w:rPr>
          <w:rFonts w:ascii="Garamond" w:eastAsia="SimSun" w:hAnsi="Garamond" w:cs="Arial"/>
          <w:lang w:eastAsia="en-GB"/>
        </w:rPr>
        <w:lastRenderedPageBreak/>
        <w:t xml:space="preserve">The book is also an object which holds within itself the promise of lasting through time. The belief that ‘poetry perpetuates the poet’ is so commonplace in literature that it almost escapes attention. In the seventeenth century, sayings such as </w:t>
      </w:r>
      <w:proofErr w:type="spellStart"/>
      <w:r w:rsidRPr="003037D2">
        <w:rPr>
          <w:rFonts w:ascii="Garamond" w:eastAsia="SimSun" w:hAnsi="Garamond" w:cs="Arial"/>
          <w:i/>
          <w:lang w:eastAsia="en-GB"/>
        </w:rPr>
        <w:t>scripta</w:t>
      </w:r>
      <w:proofErr w:type="spellEnd"/>
      <w:r w:rsidRPr="003037D2">
        <w:rPr>
          <w:rFonts w:ascii="Garamond" w:eastAsia="SimSun" w:hAnsi="Garamond" w:cs="Arial"/>
          <w:i/>
          <w:lang w:eastAsia="en-GB"/>
        </w:rPr>
        <w:t xml:space="preserve"> </w:t>
      </w:r>
      <w:proofErr w:type="spellStart"/>
      <w:r w:rsidRPr="003037D2">
        <w:rPr>
          <w:rFonts w:ascii="Garamond" w:eastAsia="SimSun" w:hAnsi="Garamond" w:cs="Arial"/>
          <w:i/>
          <w:lang w:eastAsia="en-GB"/>
        </w:rPr>
        <w:t>manent</w:t>
      </w:r>
      <w:proofErr w:type="spellEnd"/>
      <w:r w:rsidRPr="003037D2">
        <w:rPr>
          <w:rFonts w:ascii="Garamond" w:eastAsia="SimSun" w:hAnsi="Garamond" w:cs="Arial"/>
          <w:i/>
          <w:lang w:eastAsia="en-GB"/>
        </w:rPr>
        <w:t xml:space="preserve"> </w:t>
      </w:r>
      <w:r w:rsidRPr="003037D2">
        <w:rPr>
          <w:rFonts w:ascii="Garamond" w:eastAsia="SimSun" w:hAnsi="Garamond" w:cs="Arial"/>
          <w:lang w:eastAsia="en-GB"/>
        </w:rPr>
        <w:t xml:space="preserve">(writings last) and </w:t>
      </w:r>
      <w:r w:rsidRPr="003037D2">
        <w:rPr>
          <w:rFonts w:ascii="Garamond" w:eastAsia="SimSun" w:hAnsi="Garamond" w:cs="Arial"/>
          <w:i/>
          <w:lang w:eastAsia="en-GB"/>
        </w:rPr>
        <w:t xml:space="preserve">vita brevis, </w:t>
      </w:r>
      <w:proofErr w:type="spellStart"/>
      <w:r w:rsidRPr="003037D2">
        <w:rPr>
          <w:rFonts w:ascii="Garamond" w:eastAsia="SimSun" w:hAnsi="Garamond" w:cs="Arial"/>
          <w:i/>
          <w:lang w:eastAsia="en-GB"/>
        </w:rPr>
        <w:t>ars</w:t>
      </w:r>
      <w:proofErr w:type="spellEnd"/>
      <w:r w:rsidRPr="003037D2">
        <w:rPr>
          <w:rFonts w:ascii="Garamond" w:eastAsia="SimSun" w:hAnsi="Garamond" w:cs="Arial"/>
          <w:i/>
          <w:lang w:eastAsia="en-GB"/>
        </w:rPr>
        <w:t xml:space="preserve"> longa </w:t>
      </w:r>
      <w:r w:rsidRPr="003037D2">
        <w:rPr>
          <w:rFonts w:ascii="Garamond" w:eastAsia="SimSun" w:hAnsi="Garamond" w:cs="Arial"/>
          <w:lang w:eastAsia="en-GB"/>
        </w:rPr>
        <w:t>(life is short, art is long)</w:t>
      </w:r>
      <w:r w:rsidR="001F1F6B" w:rsidRPr="003037D2">
        <w:rPr>
          <w:rFonts w:ascii="Garamond" w:eastAsia="SimSun" w:hAnsi="Garamond" w:cs="Arial"/>
          <w:lang w:eastAsia="en-GB"/>
        </w:rPr>
        <w:t xml:space="preserve"> were widely repeated</w:t>
      </w:r>
      <w:r w:rsidRPr="003037D2">
        <w:rPr>
          <w:rFonts w:ascii="Garamond" w:eastAsia="SimSun" w:hAnsi="Garamond" w:cs="Arial"/>
          <w:lang w:eastAsia="en-GB"/>
        </w:rPr>
        <w:t>.</w:t>
      </w:r>
      <w:r w:rsidRPr="003037D2">
        <w:rPr>
          <w:rFonts w:ascii="Garamond" w:eastAsia="SimSun" w:hAnsi="Garamond" w:cs="Arial"/>
          <w:vertAlign w:val="superscript"/>
          <w:lang w:eastAsia="en-GB"/>
        </w:rPr>
        <w:footnoteReference w:id="853"/>
      </w:r>
      <w:r w:rsidRPr="003037D2">
        <w:rPr>
          <w:rFonts w:ascii="Garamond" w:eastAsia="SimSun" w:hAnsi="Garamond" w:cs="Arial"/>
          <w:lang w:eastAsia="en-GB"/>
        </w:rPr>
        <w:t xml:space="preserve"> In the introduction to </w:t>
      </w:r>
      <w:proofErr w:type="spellStart"/>
      <w:r w:rsidRPr="003037D2">
        <w:rPr>
          <w:rFonts w:ascii="Garamond" w:eastAsia="SimSun" w:hAnsi="Garamond" w:cs="Arial"/>
          <w:i/>
          <w:lang w:eastAsia="en-GB"/>
        </w:rPr>
        <w:t>Horologiographia</w:t>
      </w:r>
      <w:proofErr w:type="spellEnd"/>
      <w:r w:rsidRPr="003037D2">
        <w:rPr>
          <w:rFonts w:ascii="Garamond" w:eastAsia="SimSun" w:hAnsi="Garamond" w:cs="Arial"/>
          <w:lang w:eastAsia="en-GB"/>
        </w:rPr>
        <w:t xml:space="preserve"> </w:t>
      </w:r>
      <w:proofErr w:type="spellStart"/>
      <w:r w:rsidRPr="003037D2">
        <w:rPr>
          <w:rFonts w:ascii="Garamond" w:eastAsia="SimSun" w:hAnsi="Garamond" w:cs="Arial"/>
          <w:lang w:eastAsia="en-GB"/>
        </w:rPr>
        <w:t>Fale</w:t>
      </w:r>
      <w:proofErr w:type="spellEnd"/>
      <w:r w:rsidRPr="003037D2">
        <w:rPr>
          <w:rFonts w:ascii="Garamond" w:eastAsia="SimSun" w:hAnsi="Garamond" w:cs="Arial"/>
          <w:lang w:eastAsia="en-GB"/>
        </w:rPr>
        <w:t xml:space="preserve"> also describes the text as ‘this small monument… a speaking measure of our thankful hearts towards this our Country’.</w:t>
      </w:r>
      <w:r w:rsidRPr="003037D2">
        <w:rPr>
          <w:rFonts w:ascii="Garamond" w:eastAsia="SimSun" w:hAnsi="Garamond" w:cs="Arial"/>
          <w:vertAlign w:val="superscript"/>
          <w:lang w:eastAsia="en-GB"/>
        </w:rPr>
        <w:footnoteReference w:id="854"/>
      </w:r>
      <w:r w:rsidRPr="003037D2">
        <w:rPr>
          <w:rFonts w:ascii="Garamond" w:eastAsia="SimSun" w:hAnsi="Garamond" w:cs="Arial"/>
          <w:lang w:eastAsia="en-GB"/>
        </w:rPr>
        <w:t xml:space="preserve"> These monuments are portable, shutting up the time and space commemorated within t</w:t>
      </w:r>
      <w:r w:rsidR="001F1F6B" w:rsidRPr="003037D2">
        <w:rPr>
          <w:rFonts w:ascii="Garamond" w:eastAsia="SimSun" w:hAnsi="Garamond" w:cs="Arial"/>
          <w:lang w:eastAsia="en-GB"/>
        </w:rPr>
        <w:t>h</w:t>
      </w:r>
      <w:r w:rsidRPr="003037D2">
        <w:rPr>
          <w:rFonts w:ascii="Garamond" w:eastAsia="SimSun" w:hAnsi="Garamond" w:cs="Arial"/>
          <w:lang w:eastAsia="en-GB"/>
        </w:rPr>
        <w:t xml:space="preserve">e leaves of a book. It is this ability of a text to capture time that is revealed as crucial in the final chapter on sermons, in which I explored the importance to occasionality to this both dramatic and devotional form. Alison Chapman has argued that despite the </w:t>
      </w:r>
      <w:proofErr w:type="spellStart"/>
      <w:r w:rsidRPr="003037D2">
        <w:rPr>
          <w:rFonts w:ascii="Garamond" w:eastAsia="SimSun" w:hAnsi="Garamond" w:cs="Arial"/>
          <w:lang w:eastAsia="en-GB"/>
        </w:rPr>
        <w:t>secularisation</w:t>
      </w:r>
      <w:proofErr w:type="spellEnd"/>
      <w:r w:rsidRPr="003037D2">
        <w:rPr>
          <w:rFonts w:ascii="Garamond" w:eastAsia="SimSun" w:hAnsi="Garamond" w:cs="Arial"/>
          <w:lang w:eastAsia="en-GB"/>
        </w:rPr>
        <w:t xml:space="preserve"> of the calendar, people still ‘wanted time and place to mean something’.</w:t>
      </w:r>
      <w:r w:rsidRPr="003037D2">
        <w:rPr>
          <w:rFonts w:ascii="Garamond" w:eastAsia="SimSun" w:hAnsi="Garamond" w:cs="Arial"/>
          <w:vertAlign w:val="superscript"/>
          <w:lang w:eastAsia="en-GB"/>
        </w:rPr>
        <w:footnoteReference w:id="855"/>
      </w:r>
      <w:r w:rsidRPr="003037D2">
        <w:rPr>
          <w:rFonts w:ascii="Garamond" w:eastAsia="SimSun" w:hAnsi="Garamond" w:cs="Arial"/>
          <w:lang w:eastAsia="en-GB"/>
        </w:rPr>
        <w:t xml:space="preserve"> In Donne’s sermons, time and space can hold </w:t>
      </w:r>
      <w:r w:rsidRPr="003037D2">
        <w:rPr>
          <w:rFonts w:ascii="Garamond" w:eastAsia="SimSun" w:hAnsi="Garamond" w:cs="Arial"/>
          <w:i/>
          <w:iCs/>
          <w:lang w:eastAsia="en-GB"/>
        </w:rPr>
        <w:t xml:space="preserve">many </w:t>
      </w:r>
      <w:r w:rsidRPr="003037D2">
        <w:rPr>
          <w:rFonts w:ascii="Garamond" w:eastAsia="SimSun" w:hAnsi="Garamond" w:cs="Arial"/>
          <w:lang w:eastAsia="en-GB"/>
        </w:rPr>
        <w:t xml:space="preserve">meanings, and so be accessed by the preacher-performer. The expansive ‘now’ that Donne figures is then captured by the sermon book. The evidence from the religious literature examined in this thesis suggests that in the early modern period books could materially figure time as space. As the anonymous scribe wrote in his volume on commonplace books, ‘writing (that excellent gift of God) has </w:t>
      </w:r>
      <w:r w:rsidRPr="003037D2">
        <w:rPr>
          <w:rFonts w:ascii="Garamond" w:eastAsia="SimSun" w:hAnsi="Garamond" w:cs="Arial"/>
          <w:i/>
          <w:iCs/>
          <w:lang w:eastAsia="en-GB"/>
        </w:rPr>
        <w:t xml:space="preserve">two chief uses: </w:t>
      </w:r>
      <w:r w:rsidRPr="003037D2">
        <w:rPr>
          <w:rFonts w:ascii="Garamond" w:eastAsia="SimSun" w:hAnsi="Garamond" w:cs="Arial"/>
          <w:lang w:eastAsia="en-GB"/>
        </w:rPr>
        <w:t xml:space="preserve">to transmit our thoughts in </w:t>
      </w:r>
      <w:r w:rsidRPr="003037D2">
        <w:rPr>
          <w:rFonts w:ascii="Garamond" w:eastAsia="SimSun" w:hAnsi="Garamond" w:cs="Arial"/>
          <w:i/>
          <w:iCs/>
          <w:lang w:eastAsia="en-GB"/>
        </w:rPr>
        <w:t xml:space="preserve">distance </w:t>
      </w:r>
      <w:r w:rsidRPr="003037D2">
        <w:rPr>
          <w:rFonts w:ascii="Garamond" w:eastAsia="SimSun" w:hAnsi="Garamond" w:cs="Arial"/>
          <w:lang w:eastAsia="en-GB"/>
        </w:rPr>
        <w:t xml:space="preserve">of </w:t>
      </w:r>
      <w:r w:rsidRPr="003037D2">
        <w:rPr>
          <w:rFonts w:ascii="Garamond" w:eastAsia="SimSun" w:hAnsi="Garamond" w:cs="Arial"/>
          <w:i/>
          <w:iCs/>
          <w:lang w:eastAsia="en-GB"/>
        </w:rPr>
        <w:t xml:space="preserve">place…. </w:t>
      </w:r>
      <w:r w:rsidRPr="003037D2">
        <w:rPr>
          <w:rFonts w:ascii="Garamond" w:eastAsia="SimSun" w:hAnsi="Garamond" w:cs="Arial"/>
          <w:lang w:eastAsia="en-GB"/>
        </w:rPr>
        <w:t xml:space="preserve">And in distance of </w:t>
      </w:r>
      <w:r w:rsidRPr="003037D2">
        <w:rPr>
          <w:rFonts w:ascii="Garamond" w:eastAsia="SimSun" w:hAnsi="Garamond" w:cs="Arial"/>
          <w:i/>
          <w:iCs/>
          <w:lang w:eastAsia="en-GB"/>
        </w:rPr>
        <w:t xml:space="preserve">time… </w:t>
      </w:r>
      <w:r w:rsidRPr="003037D2">
        <w:rPr>
          <w:rFonts w:ascii="Garamond" w:eastAsia="SimSun" w:hAnsi="Garamond" w:cs="Arial"/>
          <w:lang w:eastAsia="en-GB"/>
        </w:rPr>
        <w:t xml:space="preserve">and this latter seems to be the </w:t>
      </w:r>
      <w:r w:rsidRPr="003037D2">
        <w:rPr>
          <w:rFonts w:ascii="Garamond" w:eastAsia="SimSun" w:hAnsi="Garamond" w:cs="Arial"/>
          <w:i/>
          <w:iCs/>
          <w:lang w:eastAsia="en-GB"/>
        </w:rPr>
        <w:t xml:space="preserve">more noble </w:t>
      </w:r>
      <w:r w:rsidRPr="003037D2">
        <w:rPr>
          <w:rFonts w:ascii="Garamond" w:eastAsia="SimSun" w:hAnsi="Garamond" w:cs="Arial"/>
          <w:lang w:eastAsia="en-GB"/>
        </w:rPr>
        <w:t>end thereof’.</w:t>
      </w:r>
      <w:r w:rsidRPr="003037D2">
        <w:rPr>
          <w:rFonts w:ascii="Garamond" w:eastAsia="SimSun" w:hAnsi="Garamond" w:cs="Arial"/>
          <w:vertAlign w:val="superscript"/>
          <w:lang w:eastAsia="en-GB"/>
        </w:rPr>
        <w:footnoteReference w:id="856"/>
      </w:r>
      <w:r w:rsidRPr="003037D2">
        <w:rPr>
          <w:rFonts w:ascii="Garamond" w:eastAsia="SimSun" w:hAnsi="Garamond" w:cs="Arial"/>
          <w:lang w:eastAsia="en-GB"/>
        </w:rPr>
        <w:t xml:space="preserve"> Transmitting thoughts through time in this manner brings disparate moments in time closer together, folded together in the pages of a book. </w:t>
      </w:r>
    </w:p>
    <w:p w14:paraId="17E505D0" w14:textId="77777777" w:rsidR="00162224" w:rsidRPr="003037D2" w:rsidRDefault="00162224" w:rsidP="00162224">
      <w:pPr>
        <w:spacing w:after="200" w:line="360" w:lineRule="auto"/>
        <w:rPr>
          <w:rFonts w:ascii="Garamond" w:eastAsia="SimSun" w:hAnsi="Garamond" w:cs="Arial"/>
          <w:lang w:eastAsia="en-GB"/>
        </w:rPr>
      </w:pPr>
    </w:p>
    <w:p w14:paraId="481CB92E" w14:textId="77777777" w:rsidR="00162224" w:rsidRPr="003037D2" w:rsidRDefault="00162224" w:rsidP="00162224">
      <w:pPr>
        <w:spacing w:after="200" w:line="360" w:lineRule="auto"/>
        <w:rPr>
          <w:rFonts w:ascii="Garamond" w:eastAsia="SimSun" w:hAnsi="Garamond" w:cs="Arial"/>
          <w:lang w:eastAsia="en-GB"/>
        </w:rPr>
      </w:pPr>
    </w:p>
    <w:p w14:paraId="10F8F188" w14:textId="77777777" w:rsidR="00162224" w:rsidRPr="003037D2" w:rsidRDefault="00162224" w:rsidP="00162224">
      <w:pPr>
        <w:spacing w:after="200" w:line="360" w:lineRule="auto"/>
        <w:rPr>
          <w:rFonts w:ascii="Garamond" w:eastAsia="SimSun" w:hAnsi="Garamond" w:cs="Arial"/>
          <w:lang w:eastAsia="en-GB"/>
        </w:rPr>
      </w:pPr>
    </w:p>
    <w:p w14:paraId="39569D63" w14:textId="77777777" w:rsidR="00162224" w:rsidRPr="003037D2" w:rsidRDefault="00162224" w:rsidP="00162224">
      <w:pPr>
        <w:spacing w:after="200" w:line="360" w:lineRule="auto"/>
        <w:rPr>
          <w:rFonts w:ascii="Garamond" w:eastAsia="SimSun" w:hAnsi="Garamond" w:cs="Arial"/>
          <w:lang w:eastAsia="en-GB"/>
        </w:rPr>
      </w:pPr>
    </w:p>
    <w:p w14:paraId="4AE0B488" w14:textId="77777777" w:rsidR="00162224" w:rsidRPr="003037D2" w:rsidRDefault="00162224" w:rsidP="00162224">
      <w:pPr>
        <w:spacing w:after="200" w:line="360" w:lineRule="auto"/>
        <w:rPr>
          <w:rFonts w:ascii="Garamond" w:eastAsia="SimSun" w:hAnsi="Garamond" w:cs="Arial"/>
          <w:lang w:eastAsia="en-GB"/>
        </w:rPr>
      </w:pPr>
    </w:p>
    <w:p w14:paraId="297AAFE2" w14:textId="77777777" w:rsidR="00162224" w:rsidRPr="003037D2" w:rsidRDefault="00162224" w:rsidP="00162224">
      <w:pPr>
        <w:spacing w:after="200" w:line="360" w:lineRule="auto"/>
        <w:rPr>
          <w:rFonts w:ascii="Garamond" w:eastAsia="SimSun" w:hAnsi="Garamond" w:cs="Arial"/>
          <w:lang w:eastAsia="en-GB"/>
        </w:rPr>
      </w:pPr>
    </w:p>
    <w:p w14:paraId="62BA28D9" w14:textId="77777777" w:rsidR="00162224" w:rsidRPr="003037D2" w:rsidRDefault="00162224" w:rsidP="00162224">
      <w:pPr>
        <w:spacing w:after="200" w:line="360" w:lineRule="auto"/>
        <w:rPr>
          <w:rFonts w:ascii="Garamond" w:eastAsia="SimSun" w:hAnsi="Garamond" w:cs="Arial"/>
          <w:lang w:eastAsia="en-GB"/>
        </w:rPr>
      </w:pPr>
    </w:p>
    <w:p w14:paraId="7BAB2AB0" w14:textId="77777777" w:rsidR="00162224" w:rsidRPr="003037D2" w:rsidRDefault="00162224" w:rsidP="00162224">
      <w:pPr>
        <w:pStyle w:val="Heading1"/>
        <w:spacing w:line="360" w:lineRule="auto"/>
        <w:jc w:val="center"/>
        <w:rPr>
          <w:rFonts w:ascii="Garamond" w:hAnsi="Garamond"/>
          <w:b/>
          <w:bCs/>
          <w:color w:val="auto"/>
          <w:sz w:val="28"/>
          <w:szCs w:val="28"/>
          <w:u w:val="single"/>
        </w:rPr>
      </w:pPr>
      <w:bookmarkStart w:id="103" w:name="_Toc3967199"/>
      <w:r w:rsidRPr="003037D2">
        <w:rPr>
          <w:rFonts w:ascii="Garamond" w:hAnsi="Garamond"/>
          <w:b/>
          <w:bCs/>
          <w:color w:val="auto"/>
          <w:sz w:val="28"/>
          <w:szCs w:val="28"/>
          <w:u w:val="single"/>
        </w:rPr>
        <w:lastRenderedPageBreak/>
        <w:t>Figures</w:t>
      </w:r>
      <w:bookmarkEnd w:id="103"/>
    </w:p>
    <w:p w14:paraId="70918D9B" w14:textId="77777777" w:rsidR="00162224" w:rsidRPr="003037D2" w:rsidRDefault="00162224" w:rsidP="00162224">
      <w:pPr>
        <w:rPr>
          <w:rFonts w:ascii="Garamond" w:hAnsi="Garamond"/>
        </w:rPr>
      </w:pPr>
    </w:p>
    <w:p w14:paraId="1AF27443" w14:textId="77777777" w:rsidR="00162224" w:rsidRPr="003037D2" w:rsidRDefault="00162224" w:rsidP="00162224">
      <w:pPr>
        <w:keepNext/>
        <w:jc w:val="center"/>
        <w:rPr>
          <w:rFonts w:ascii="Garamond" w:hAnsi="Garamond"/>
        </w:rPr>
      </w:pPr>
      <w:r w:rsidRPr="003037D2">
        <w:rPr>
          <w:rFonts w:ascii="Garamond" w:hAnsi="Garamond"/>
          <w:noProof/>
          <w:lang w:val="en-GB" w:eastAsia="zh-CN"/>
        </w:rPr>
        <w:drawing>
          <wp:inline distT="0" distB="0" distL="0" distR="0" wp14:anchorId="4F4071DF" wp14:editId="765D4496">
            <wp:extent cx="5191125" cy="3894865"/>
            <wp:effectExtent l="635" t="0" r="0" b="0"/>
            <wp:docPr id="4" name="Picture 4" descr="C:\Users\egp15cre\AppData\Local\Packages\Microsoft.MicrosoftEdge_8wekyb3d8bbwe\TempState\Downloads\IMG_501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gp15cre\AppData\Local\Packages\Microsoft.MicrosoftEdge_8wekyb3d8bbwe\TempState\Downloads\IMG_5014 (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5191125" cy="3894865"/>
                    </a:xfrm>
                    <a:prstGeom prst="rect">
                      <a:avLst/>
                    </a:prstGeom>
                    <a:noFill/>
                    <a:ln>
                      <a:noFill/>
                    </a:ln>
                  </pic:spPr>
                </pic:pic>
              </a:graphicData>
            </a:graphic>
          </wp:inline>
        </w:drawing>
      </w:r>
    </w:p>
    <w:p w14:paraId="6262F90B" w14:textId="5C05C3D3" w:rsidR="00162224" w:rsidRPr="003037D2" w:rsidRDefault="00162224" w:rsidP="00162224">
      <w:pPr>
        <w:pStyle w:val="Caption"/>
        <w:jc w:val="center"/>
        <w:rPr>
          <w:rFonts w:ascii="Garamond" w:hAnsi="Garamond"/>
          <w:color w:val="auto"/>
          <w:sz w:val="24"/>
          <w:szCs w:val="24"/>
        </w:rPr>
      </w:pPr>
      <w:bookmarkStart w:id="104" w:name="_Ref532894570"/>
      <w:bookmarkStart w:id="105" w:name="_Toc3973217"/>
      <w:r w:rsidRPr="003037D2">
        <w:rPr>
          <w:rFonts w:ascii="Garamond" w:hAnsi="Garamond"/>
          <w:color w:val="auto"/>
          <w:sz w:val="24"/>
          <w:szCs w:val="24"/>
        </w:rPr>
        <w:t xml:space="preserve">Figure </w:t>
      </w:r>
      <w:r w:rsidRPr="003037D2">
        <w:rPr>
          <w:rFonts w:ascii="Garamond" w:hAnsi="Garamond"/>
          <w:color w:val="auto"/>
          <w:sz w:val="24"/>
          <w:szCs w:val="24"/>
        </w:rPr>
        <w:fldChar w:fldCharType="begin"/>
      </w:r>
      <w:r w:rsidRPr="003037D2">
        <w:rPr>
          <w:rFonts w:ascii="Garamond" w:hAnsi="Garamond"/>
          <w:color w:val="auto"/>
          <w:sz w:val="24"/>
          <w:szCs w:val="24"/>
        </w:rPr>
        <w:instrText xml:space="preserve"> SEQ Figure \* ARABIC </w:instrText>
      </w:r>
      <w:r w:rsidRPr="003037D2">
        <w:rPr>
          <w:rFonts w:ascii="Garamond" w:hAnsi="Garamond"/>
          <w:color w:val="auto"/>
          <w:sz w:val="24"/>
          <w:szCs w:val="24"/>
        </w:rPr>
        <w:fldChar w:fldCharType="separate"/>
      </w:r>
      <w:r w:rsidR="001117A3" w:rsidRPr="003037D2">
        <w:rPr>
          <w:rFonts w:ascii="Garamond" w:hAnsi="Garamond"/>
          <w:noProof/>
          <w:color w:val="auto"/>
          <w:sz w:val="24"/>
          <w:szCs w:val="24"/>
        </w:rPr>
        <w:t>1</w:t>
      </w:r>
      <w:r w:rsidRPr="003037D2">
        <w:rPr>
          <w:rFonts w:ascii="Garamond" w:hAnsi="Garamond"/>
          <w:color w:val="auto"/>
          <w:sz w:val="24"/>
          <w:szCs w:val="24"/>
        </w:rPr>
        <w:fldChar w:fldCharType="end"/>
      </w:r>
      <w:bookmarkEnd w:id="104"/>
      <w:r w:rsidRPr="003037D2">
        <w:rPr>
          <w:rFonts w:ascii="Garamond" w:hAnsi="Garamond"/>
          <w:color w:val="auto"/>
          <w:sz w:val="24"/>
          <w:szCs w:val="24"/>
        </w:rPr>
        <w:t xml:space="preserve"> </w:t>
      </w:r>
      <w:r w:rsidR="0002406D">
        <w:rPr>
          <w:rFonts w:ascii="Garamond" w:hAnsi="Garamond"/>
          <w:color w:val="auto"/>
          <w:sz w:val="24"/>
          <w:szCs w:val="24"/>
        </w:rPr>
        <w:t>‘</w:t>
      </w:r>
      <w:r w:rsidRPr="003037D2">
        <w:rPr>
          <w:rFonts w:ascii="Garamond" w:hAnsi="Garamond"/>
          <w:color w:val="auto"/>
          <w:sz w:val="24"/>
          <w:szCs w:val="24"/>
        </w:rPr>
        <w:t>The Triumph of Time</w:t>
      </w:r>
      <w:r w:rsidR="0002406D">
        <w:rPr>
          <w:rFonts w:ascii="Garamond" w:hAnsi="Garamond"/>
          <w:color w:val="auto"/>
          <w:sz w:val="24"/>
          <w:szCs w:val="24"/>
        </w:rPr>
        <w:t>’</w:t>
      </w:r>
      <w:r w:rsidRPr="003037D2">
        <w:rPr>
          <w:rFonts w:ascii="Garamond" w:hAnsi="Garamond"/>
          <w:color w:val="auto"/>
          <w:sz w:val="24"/>
          <w:szCs w:val="24"/>
        </w:rPr>
        <w:t>, afte</w:t>
      </w:r>
      <w:r w:rsidR="0002406D">
        <w:rPr>
          <w:rFonts w:ascii="Garamond" w:hAnsi="Garamond"/>
          <w:color w:val="auto"/>
          <w:sz w:val="24"/>
          <w:szCs w:val="24"/>
        </w:rPr>
        <w:t>r</w:t>
      </w:r>
      <w:r w:rsidRPr="003037D2">
        <w:rPr>
          <w:rFonts w:ascii="Garamond" w:hAnsi="Garamond"/>
          <w:color w:val="auto"/>
          <w:sz w:val="24"/>
          <w:szCs w:val="24"/>
        </w:rPr>
        <w:t xml:space="preserve"> Pieter </w:t>
      </w:r>
      <w:proofErr w:type="spellStart"/>
      <w:r w:rsidRPr="003037D2">
        <w:rPr>
          <w:rFonts w:ascii="Garamond" w:hAnsi="Garamond"/>
          <w:color w:val="auto"/>
          <w:sz w:val="24"/>
          <w:szCs w:val="24"/>
        </w:rPr>
        <w:t>Coecke</w:t>
      </w:r>
      <w:proofErr w:type="spellEnd"/>
      <w:r w:rsidRPr="003037D2">
        <w:rPr>
          <w:rFonts w:ascii="Garamond" w:hAnsi="Garamond"/>
          <w:color w:val="auto"/>
          <w:sz w:val="24"/>
          <w:szCs w:val="24"/>
        </w:rPr>
        <w:t xml:space="preserve"> van </w:t>
      </w:r>
      <w:proofErr w:type="spellStart"/>
      <w:r w:rsidRPr="003037D2">
        <w:rPr>
          <w:rFonts w:ascii="Garamond" w:hAnsi="Garamond"/>
          <w:color w:val="auto"/>
          <w:sz w:val="24"/>
          <w:szCs w:val="24"/>
        </w:rPr>
        <w:t>Aelst</w:t>
      </w:r>
      <w:proofErr w:type="spellEnd"/>
      <w:r w:rsidRPr="003037D2">
        <w:rPr>
          <w:rFonts w:ascii="Garamond" w:hAnsi="Garamond"/>
          <w:color w:val="auto"/>
          <w:sz w:val="24"/>
          <w:szCs w:val="24"/>
        </w:rPr>
        <w:t xml:space="preserve"> (1502 -1550), Southern Netherlands, </w:t>
      </w:r>
      <w:proofErr w:type="spellStart"/>
      <w:r w:rsidRPr="003037D2">
        <w:rPr>
          <w:rFonts w:ascii="Garamond" w:hAnsi="Garamond"/>
          <w:color w:val="auto"/>
          <w:sz w:val="24"/>
          <w:szCs w:val="24"/>
        </w:rPr>
        <w:t>Rijksmusem</w:t>
      </w:r>
      <w:proofErr w:type="spellEnd"/>
      <w:r w:rsidRPr="003037D2">
        <w:rPr>
          <w:rFonts w:ascii="Garamond" w:hAnsi="Garamond"/>
          <w:color w:val="auto"/>
          <w:sz w:val="24"/>
          <w:szCs w:val="24"/>
        </w:rPr>
        <w:t>, Amsterdam, c. 1530 - 1540</w:t>
      </w:r>
      <w:bookmarkEnd w:id="105"/>
      <w:r w:rsidRPr="003037D2">
        <w:rPr>
          <w:rFonts w:ascii="Garamond" w:hAnsi="Garamond"/>
          <w:color w:val="auto"/>
          <w:sz w:val="24"/>
          <w:szCs w:val="24"/>
        </w:rPr>
        <w:t xml:space="preserve"> </w:t>
      </w:r>
    </w:p>
    <w:p w14:paraId="09F8F883" w14:textId="77777777" w:rsidR="00162224" w:rsidRPr="003037D2" w:rsidRDefault="00162224" w:rsidP="00162224">
      <w:pPr>
        <w:spacing w:line="360" w:lineRule="auto"/>
        <w:ind w:firstLine="720"/>
        <w:rPr>
          <w:rFonts w:ascii="Garamond" w:hAnsi="Garamond"/>
        </w:rPr>
      </w:pPr>
    </w:p>
    <w:p w14:paraId="2F626114" w14:textId="77777777" w:rsidR="00162224" w:rsidRPr="003037D2" w:rsidRDefault="00162224" w:rsidP="00162224">
      <w:pPr>
        <w:spacing w:line="360" w:lineRule="auto"/>
        <w:ind w:firstLine="720"/>
        <w:rPr>
          <w:rFonts w:ascii="Garamond" w:hAnsi="Garamond"/>
        </w:rPr>
      </w:pPr>
    </w:p>
    <w:p w14:paraId="6C330B8A" w14:textId="77777777" w:rsidR="00162224" w:rsidRPr="003037D2" w:rsidRDefault="00162224" w:rsidP="00162224">
      <w:pPr>
        <w:spacing w:line="360" w:lineRule="auto"/>
        <w:ind w:firstLine="720"/>
        <w:rPr>
          <w:rFonts w:ascii="Garamond" w:hAnsi="Garamond"/>
        </w:rPr>
      </w:pPr>
    </w:p>
    <w:p w14:paraId="7D4E8DB6" w14:textId="77777777" w:rsidR="00162224" w:rsidRPr="003037D2" w:rsidRDefault="00162224" w:rsidP="00162224">
      <w:pPr>
        <w:rPr>
          <w:rFonts w:ascii="Garamond" w:hAnsi="Garamond"/>
        </w:rPr>
      </w:pPr>
    </w:p>
    <w:p w14:paraId="499F8490" w14:textId="77777777" w:rsidR="00162224" w:rsidRPr="003037D2" w:rsidRDefault="00162224" w:rsidP="00162224">
      <w:pPr>
        <w:keepNext/>
        <w:jc w:val="center"/>
        <w:rPr>
          <w:rFonts w:ascii="Garamond" w:hAnsi="Garamond"/>
          <w:i/>
          <w:iCs/>
        </w:rPr>
      </w:pPr>
      <w:r w:rsidRPr="003037D2">
        <w:rPr>
          <w:rFonts w:ascii="Garamond" w:hAnsi="Garamond"/>
          <w:i/>
          <w:iCs/>
          <w:noProof/>
          <w:lang w:val="en-GB" w:eastAsia="zh-CN"/>
        </w:rPr>
        <w:lastRenderedPageBreak/>
        <w:drawing>
          <wp:inline distT="0" distB="0" distL="0" distR="0" wp14:anchorId="731D20C1" wp14:editId="3F7E8C77">
            <wp:extent cx="5669650" cy="4253451"/>
            <wp:effectExtent l="3175"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5675074" cy="4257520"/>
                    </a:xfrm>
                    <a:prstGeom prst="rect">
                      <a:avLst/>
                    </a:prstGeom>
                    <a:noFill/>
                    <a:ln>
                      <a:noFill/>
                    </a:ln>
                  </pic:spPr>
                </pic:pic>
              </a:graphicData>
            </a:graphic>
          </wp:inline>
        </w:drawing>
      </w:r>
    </w:p>
    <w:p w14:paraId="07AD757D" w14:textId="490F43AD" w:rsidR="00162224" w:rsidRPr="003037D2" w:rsidRDefault="00162224" w:rsidP="00162224">
      <w:pPr>
        <w:pStyle w:val="Caption"/>
        <w:jc w:val="center"/>
        <w:rPr>
          <w:rFonts w:ascii="Garamond" w:hAnsi="Garamond"/>
          <w:color w:val="auto"/>
          <w:sz w:val="24"/>
          <w:szCs w:val="24"/>
        </w:rPr>
      </w:pPr>
      <w:bookmarkStart w:id="106" w:name="_Ref532506229"/>
      <w:bookmarkStart w:id="107" w:name="_Toc3973218"/>
      <w:r w:rsidRPr="003037D2">
        <w:rPr>
          <w:rFonts w:ascii="Garamond" w:hAnsi="Garamond"/>
          <w:color w:val="auto"/>
          <w:sz w:val="24"/>
          <w:szCs w:val="24"/>
        </w:rPr>
        <w:t xml:space="preserve">Figure </w:t>
      </w:r>
      <w:r w:rsidRPr="003037D2">
        <w:rPr>
          <w:rFonts w:ascii="Garamond" w:hAnsi="Garamond"/>
          <w:color w:val="auto"/>
          <w:sz w:val="24"/>
          <w:szCs w:val="24"/>
        </w:rPr>
        <w:fldChar w:fldCharType="begin"/>
      </w:r>
      <w:r w:rsidRPr="003037D2">
        <w:rPr>
          <w:rFonts w:ascii="Garamond" w:hAnsi="Garamond"/>
          <w:color w:val="auto"/>
          <w:sz w:val="24"/>
          <w:szCs w:val="24"/>
        </w:rPr>
        <w:instrText xml:space="preserve"> SEQ Figure \* ARABIC </w:instrText>
      </w:r>
      <w:r w:rsidRPr="003037D2">
        <w:rPr>
          <w:rFonts w:ascii="Garamond" w:hAnsi="Garamond"/>
          <w:color w:val="auto"/>
          <w:sz w:val="24"/>
          <w:szCs w:val="24"/>
        </w:rPr>
        <w:fldChar w:fldCharType="separate"/>
      </w:r>
      <w:r w:rsidR="001117A3" w:rsidRPr="003037D2">
        <w:rPr>
          <w:rFonts w:ascii="Garamond" w:hAnsi="Garamond"/>
          <w:noProof/>
          <w:color w:val="auto"/>
          <w:sz w:val="24"/>
          <w:szCs w:val="24"/>
        </w:rPr>
        <w:t>2</w:t>
      </w:r>
      <w:r w:rsidRPr="003037D2">
        <w:rPr>
          <w:rFonts w:ascii="Garamond" w:hAnsi="Garamond"/>
          <w:color w:val="auto"/>
          <w:sz w:val="24"/>
          <w:szCs w:val="24"/>
        </w:rPr>
        <w:fldChar w:fldCharType="end"/>
      </w:r>
      <w:bookmarkEnd w:id="106"/>
      <w:r w:rsidRPr="003037D2">
        <w:rPr>
          <w:rFonts w:ascii="Garamond" w:hAnsi="Garamond"/>
          <w:color w:val="auto"/>
          <w:sz w:val="24"/>
          <w:szCs w:val="24"/>
        </w:rPr>
        <w:t xml:space="preserve"> Edward Pond (1641), f. 12.</w:t>
      </w:r>
      <w:bookmarkEnd w:id="107"/>
    </w:p>
    <w:p w14:paraId="2480E27A" w14:textId="77777777" w:rsidR="00162224" w:rsidRPr="003037D2" w:rsidRDefault="00162224" w:rsidP="00162224">
      <w:pPr>
        <w:spacing w:line="360" w:lineRule="auto"/>
        <w:jc w:val="center"/>
        <w:rPr>
          <w:rFonts w:ascii="Garamond" w:hAnsi="Garamond"/>
          <w:i/>
          <w:iCs/>
        </w:rPr>
      </w:pPr>
    </w:p>
    <w:p w14:paraId="7F7D2048"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74DF90E9" wp14:editId="3FC73920">
            <wp:extent cx="6163565" cy="4623015"/>
            <wp:effectExtent l="8255"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4743.JPG"/>
                    <pic:cNvPicPr/>
                  </pic:nvPicPr>
                  <pic:blipFill>
                    <a:blip r:embed="rId14">
                      <a:extLst>
                        <a:ext uri="{28A0092B-C50C-407E-A947-70E740481C1C}">
                          <a14:useLocalDpi xmlns:a14="http://schemas.microsoft.com/office/drawing/2010/main" val="0"/>
                        </a:ext>
                      </a:extLst>
                    </a:blip>
                    <a:stretch>
                      <a:fillRect/>
                    </a:stretch>
                  </pic:blipFill>
                  <pic:spPr>
                    <a:xfrm rot="5400000">
                      <a:off x="0" y="0"/>
                      <a:ext cx="6176041" cy="4632372"/>
                    </a:xfrm>
                    <a:prstGeom prst="rect">
                      <a:avLst/>
                    </a:prstGeom>
                  </pic:spPr>
                </pic:pic>
              </a:graphicData>
            </a:graphic>
          </wp:inline>
        </w:drawing>
      </w:r>
    </w:p>
    <w:p w14:paraId="7E4C72AC" w14:textId="64C7250A" w:rsidR="00162224" w:rsidRPr="003037D2" w:rsidRDefault="00162224" w:rsidP="00162224">
      <w:pPr>
        <w:pStyle w:val="Caption"/>
        <w:spacing w:line="360" w:lineRule="auto"/>
        <w:jc w:val="center"/>
        <w:rPr>
          <w:rFonts w:ascii="Garamond" w:hAnsi="Garamond"/>
          <w:color w:val="auto"/>
          <w:sz w:val="24"/>
          <w:szCs w:val="24"/>
        </w:rPr>
      </w:pPr>
      <w:bookmarkStart w:id="108" w:name="_Ref527733191"/>
      <w:bookmarkStart w:id="109" w:name="_Toc3973219"/>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3</w:t>
      </w:r>
      <w:r w:rsidRPr="003037D2">
        <w:rPr>
          <w:rFonts w:ascii="Garamond" w:hAnsi="Garamond"/>
          <w:noProof/>
          <w:color w:val="auto"/>
          <w:sz w:val="24"/>
          <w:szCs w:val="24"/>
        </w:rPr>
        <w:fldChar w:fldCharType="end"/>
      </w:r>
      <w:r w:rsidRPr="003037D2">
        <w:rPr>
          <w:rFonts w:ascii="Garamond" w:hAnsi="Garamond"/>
          <w:color w:val="auto"/>
          <w:sz w:val="24"/>
          <w:szCs w:val="24"/>
        </w:rPr>
        <w:t xml:space="preserve"> Peregrine Rivers (1634), C4v.</w:t>
      </w:r>
      <w:bookmarkEnd w:id="108"/>
      <w:bookmarkEnd w:id="109"/>
    </w:p>
    <w:p w14:paraId="55D82EE3" w14:textId="77777777" w:rsidR="00162224" w:rsidRPr="003037D2" w:rsidRDefault="00162224" w:rsidP="00162224">
      <w:pPr>
        <w:spacing w:line="360" w:lineRule="auto"/>
        <w:jc w:val="center"/>
        <w:rPr>
          <w:rFonts w:ascii="Garamond" w:hAnsi="Garamond"/>
          <w:i/>
          <w:iCs/>
          <w:lang w:eastAsia="zh-CN"/>
        </w:rPr>
      </w:pPr>
    </w:p>
    <w:p w14:paraId="618BA4C9" w14:textId="77777777" w:rsidR="00162224" w:rsidRPr="003037D2" w:rsidRDefault="00162224" w:rsidP="00162224">
      <w:pPr>
        <w:spacing w:line="360" w:lineRule="auto"/>
        <w:jc w:val="center"/>
        <w:rPr>
          <w:rFonts w:ascii="Garamond" w:hAnsi="Garamond"/>
          <w:i/>
          <w:iCs/>
          <w:lang w:eastAsia="zh-CN"/>
        </w:rPr>
      </w:pPr>
    </w:p>
    <w:p w14:paraId="453DA98E" w14:textId="77777777" w:rsidR="00162224" w:rsidRPr="003037D2" w:rsidRDefault="00162224" w:rsidP="00162224">
      <w:pPr>
        <w:spacing w:line="360" w:lineRule="auto"/>
        <w:jc w:val="center"/>
        <w:rPr>
          <w:rFonts w:ascii="Garamond" w:hAnsi="Garamond"/>
          <w:i/>
          <w:iCs/>
          <w:lang w:eastAsia="zh-CN"/>
        </w:rPr>
      </w:pPr>
    </w:p>
    <w:p w14:paraId="699E940F" w14:textId="77777777" w:rsidR="00162224" w:rsidRPr="003037D2" w:rsidRDefault="00162224" w:rsidP="00162224">
      <w:pPr>
        <w:spacing w:line="360" w:lineRule="auto"/>
        <w:jc w:val="center"/>
        <w:rPr>
          <w:rFonts w:ascii="Garamond" w:hAnsi="Garamond"/>
          <w:i/>
          <w:iCs/>
          <w:lang w:eastAsia="zh-CN"/>
        </w:rPr>
      </w:pPr>
    </w:p>
    <w:p w14:paraId="03A2FDBC" w14:textId="77777777" w:rsidR="00162224" w:rsidRPr="003037D2" w:rsidRDefault="00162224" w:rsidP="00162224">
      <w:pPr>
        <w:spacing w:line="360" w:lineRule="auto"/>
        <w:jc w:val="center"/>
        <w:rPr>
          <w:rFonts w:ascii="Garamond" w:hAnsi="Garamond"/>
          <w:i/>
          <w:iCs/>
          <w:lang w:eastAsia="zh-CN"/>
        </w:rPr>
      </w:pPr>
    </w:p>
    <w:p w14:paraId="1EECD98F" w14:textId="77777777" w:rsidR="00162224" w:rsidRPr="003037D2" w:rsidRDefault="00162224" w:rsidP="00162224">
      <w:pPr>
        <w:spacing w:line="360" w:lineRule="auto"/>
        <w:jc w:val="center"/>
        <w:rPr>
          <w:rFonts w:ascii="Garamond" w:hAnsi="Garamond"/>
          <w:i/>
          <w:iCs/>
          <w:lang w:eastAsia="zh-CN"/>
        </w:rPr>
      </w:pPr>
    </w:p>
    <w:p w14:paraId="7F6308A1" w14:textId="77777777" w:rsidR="00162224" w:rsidRPr="003037D2" w:rsidRDefault="00162224" w:rsidP="00162224">
      <w:pPr>
        <w:keepNext/>
        <w:spacing w:line="360" w:lineRule="auto"/>
        <w:jc w:val="center"/>
        <w:rPr>
          <w:rFonts w:ascii="Garamond" w:hAnsi="Garamond"/>
        </w:rPr>
      </w:pPr>
      <w:r w:rsidRPr="003037D2">
        <w:rPr>
          <w:rFonts w:ascii="Garamond" w:hAnsi="Garamond"/>
          <w:i/>
          <w:iCs/>
          <w:noProof/>
          <w:lang w:val="en-GB" w:eastAsia="zh-CN"/>
        </w:rPr>
        <w:lastRenderedPageBreak/>
        <w:drawing>
          <wp:inline distT="0" distB="0" distL="0" distR="0" wp14:anchorId="58E74B7A" wp14:editId="3C4772C5">
            <wp:extent cx="6921500" cy="5191125"/>
            <wp:effectExtent l="7937" t="0" r="1588" b="1587"/>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1440.JPG"/>
                    <pic:cNvPicPr/>
                  </pic:nvPicPr>
                  <pic:blipFill>
                    <a:blip r:embed="rId15" cstate="print">
                      <a:extLst>
                        <a:ext uri="{28A0092B-C50C-407E-A947-70E740481C1C}">
                          <a14:useLocalDpi xmlns:a14="http://schemas.microsoft.com/office/drawing/2010/main" val="0"/>
                        </a:ext>
                      </a:extLst>
                    </a:blip>
                    <a:stretch>
                      <a:fillRect/>
                    </a:stretch>
                  </pic:blipFill>
                  <pic:spPr>
                    <a:xfrm rot="16200000">
                      <a:off x="0" y="0"/>
                      <a:ext cx="6921500" cy="5191125"/>
                    </a:xfrm>
                    <a:prstGeom prst="rect">
                      <a:avLst/>
                    </a:prstGeom>
                  </pic:spPr>
                </pic:pic>
              </a:graphicData>
            </a:graphic>
          </wp:inline>
        </w:drawing>
      </w:r>
    </w:p>
    <w:p w14:paraId="154F05D9" w14:textId="5ED03FBA" w:rsidR="00162224" w:rsidRPr="003037D2" w:rsidRDefault="00162224" w:rsidP="00162224">
      <w:pPr>
        <w:pStyle w:val="Caption"/>
        <w:jc w:val="center"/>
        <w:rPr>
          <w:rFonts w:ascii="Garamond" w:hAnsi="Garamond"/>
          <w:i w:val="0"/>
          <w:iCs w:val="0"/>
          <w:color w:val="auto"/>
          <w:sz w:val="36"/>
          <w:szCs w:val="36"/>
        </w:rPr>
      </w:pPr>
      <w:bookmarkStart w:id="110" w:name="_Toc3973220"/>
      <w:r w:rsidRPr="003037D2">
        <w:rPr>
          <w:rFonts w:ascii="Garamond" w:hAnsi="Garamond"/>
          <w:color w:val="auto"/>
          <w:sz w:val="22"/>
          <w:szCs w:val="22"/>
        </w:rPr>
        <w:t xml:space="preserve">Figure </w:t>
      </w:r>
      <w:r w:rsidRPr="003037D2">
        <w:rPr>
          <w:rFonts w:ascii="Garamond" w:hAnsi="Garamond"/>
          <w:color w:val="auto"/>
          <w:sz w:val="22"/>
          <w:szCs w:val="22"/>
        </w:rPr>
        <w:fldChar w:fldCharType="begin"/>
      </w:r>
      <w:r w:rsidRPr="003037D2">
        <w:rPr>
          <w:rFonts w:ascii="Garamond" w:hAnsi="Garamond"/>
          <w:color w:val="auto"/>
          <w:sz w:val="22"/>
          <w:szCs w:val="22"/>
        </w:rPr>
        <w:instrText xml:space="preserve"> SEQ Figure \* ARABIC </w:instrText>
      </w:r>
      <w:r w:rsidRPr="003037D2">
        <w:rPr>
          <w:rFonts w:ascii="Garamond" w:hAnsi="Garamond"/>
          <w:color w:val="auto"/>
          <w:sz w:val="22"/>
          <w:szCs w:val="22"/>
        </w:rPr>
        <w:fldChar w:fldCharType="separate"/>
      </w:r>
      <w:r w:rsidR="001117A3" w:rsidRPr="003037D2">
        <w:rPr>
          <w:rFonts w:ascii="Garamond" w:hAnsi="Garamond"/>
          <w:noProof/>
          <w:color w:val="auto"/>
          <w:sz w:val="22"/>
          <w:szCs w:val="22"/>
        </w:rPr>
        <w:t>4</w:t>
      </w:r>
      <w:r w:rsidRPr="003037D2">
        <w:rPr>
          <w:rFonts w:ascii="Garamond" w:hAnsi="Garamond"/>
          <w:color w:val="auto"/>
          <w:sz w:val="22"/>
          <w:szCs w:val="22"/>
        </w:rPr>
        <w:fldChar w:fldCharType="end"/>
      </w:r>
      <w:r w:rsidRPr="003037D2">
        <w:rPr>
          <w:rFonts w:ascii="Garamond" w:hAnsi="Garamond"/>
          <w:color w:val="auto"/>
          <w:sz w:val="22"/>
          <w:szCs w:val="22"/>
        </w:rPr>
        <w:t xml:space="preserve"> Thomas Hill, A </w:t>
      </w:r>
      <w:proofErr w:type="spellStart"/>
      <w:r w:rsidRPr="003037D2">
        <w:rPr>
          <w:rFonts w:ascii="Garamond" w:hAnsi="Garamond"/>
          <w:color w:val="auto"/>
          <w:sz w:val="22"/>
          <w:szCs w:val="22"/>
        </w:rPr>
        <w:t>Booke</w:t>
      </w:r>
      <w:proofErr w:type="spellEnd"/>
      <w:r w:rsidRPr="003037D2">
        <w:rPr>
          <w:rFonts w:ascii="Garamond" w:hAnsi="Garamond"/>
          <w:color w:val="auto"/>
          <w:sz w:val="22"/>
          <w:szCs w:val="22"/>
        </w:rPr>
        <w:t xml:space="preserve"> of </w:t>
      </w:r>
      <w:proofErr w:type="spellStart"/>
      <w:r w:rsidRPr="003037D2">
        <w:rPr>
          <w:rFonts w:ascii="Garamond" w:hAnsi="Garamond"/>
          <w:color w:val="auto"/>
          <w:sz w:val="22"/>
          <w:szCs w:val="22"/>
        </w:rPr>
        <w:t>Memorie</w:t>
      </w:r>
      <w:proofErr w:type="spellEnd"/>
      <w:r w:rsidRPr="003037D2">
        <w:rPr>
          <w:rFonts w:ascii="Garamond" w:hAnsi="Garamond"/>
          <w:color w:val="auto"/>
          <w:sz w:val="22"/>
          <w:szCs w:val="22"/>
        </w:rPr>
        <w:t xml:space="preserve"> (London: 1571), Title page</w:t>
      </w:r>
      <w:bookmarkEnd w:id="110"/>
    </w:p>
    <w:p w14:paraId="13A004F7"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1C0AB52D" wp14:editId="61D54F5F">
            <wp:extent cx="4282620" cy="5847907"/>
            <wp:effectExtent l="0" t="0" r="3810"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95506" cy="5865502"/>
                    </a:xfrm>
                    <a:prstGeom prst="rect">
                      <a:avLst/>
                    </a:prstGeom>
                    <a:noFill/>
                  </pic:spPr>
                </pic:pic>
              </a:graphicData>
            </a:graphic>
          </wp:inline>
        </w:drawing>
      </w:r>
    </w:p>
    <w:p w14:paraId="7CEB34DE" w14:textId="31C2CAED" w:rsidR="00162224" w:rsidRPr="003037D2" w:rsidRDefault="00162224" w:rsidP="00162224">
      <w:pPr>
        <w:pStyle w:val="Caption"/>
        <w:spacing w:line="360" w:lineRule="auto"/>
        <w:jc w:val="center"/>
        <w:rPr>
          <w:rFonts w:ascii="Garamond" w:hAnsi="Garamond"/>
          <w:color w:val="auto"/>
          <w:sz w:val="24"/>
          <w:szCs w:val="24"/>
        </w:rPr>
      </w:pPr>
      <w:bookmarkStart w:id="111" w:name="_Ref529306313"/>
      <w:bookmarkStart w:id="112" w:name="_Toc3973221"/>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5</w:t>
      </w:r>
      <w:r w:rsidRPr="003037D2">
        <w:rPr>
          <w:rFonts w:ascii="Garamond" w:hAnsi="Garamond"/>
          <w:noProof/>
          <w:color w:val="auto"/>
          <w:sz w:val="24"/>
          <w:szCs w:val="24"/>
        </w:rPr>
        <w:fldChar w:fldCharType="end"/>
      </w:r>
      <w:bookmarkEnd w:id="111"/>
      <w:r w:rsidRPr="003037D2">
        <w:rPr>
          <w:rFonts w:ascii="Garamond" w:hAnsi="Garamond"/>
          <w:color w:val="auto"/>
          <w:sz w:val="24"/>
          <w:szCs w:val="24"/>
        </w:rPr>
        <w:t xml:space="preserve"> Thomas Hill, ‘The Manner of watering with a pump in a </w:t>
      </w:r>
      <w:proofErr w:type="spellStart"/>
      <w:r w:rsidRPr="003037D2">
        <w:rPr>
          <w:rFonts w:ascii="Garamond" w:hAnsi="Garamond"/>
          <w:color w:val="auto"/>
          <w:sz w:val="24"/>
          <w:szCs w:val="24"/>
        </w:rPr>
        <w:t>tabbe</w:t>
      </w:r>
      <w:proofErr w:type="spellEnd"/>
      <w:r w:rsidRPr="003037D2">
        <w:rPr>
          <w:rFonts w:ascii="Garamond" w:hAnsi="Garamond"/>
          <w:color w:val="auto"/>
          <w:sz w:val="24"/>
          <w:szCs w:val="24"/>
        </w:rPr>
        <w:t>’, The Gardener’s Labyrinth (London: 1557), p.</w:t>
      </w:r>
      <w:r w:rsidRPr="003037D2">
        <w:rPr>
          <w:rFonts w:ascii="Garamond" w:hAnsi="Garamond"/>
          <w:noProof/>
          <w:color w:val="auto"/>
          <w:sz w:val="24"/>
          <w:szCs w:val="24"/>
        </w:rPr>
        <w:t xml:space="preserve"> </w:t>
      </w:r>
      <w:r w:rsidRPr="003037D2">
        <w:rPr>
          <w:rFonts w:ascii="Garamond" w:hAnsi="Garamond"/>
          <w:color w:val="auto"/>
          <w:sz w:val="24"/>
          <w:szCs w:val="24"/>
        </w:rPr>
        <w:t>52. (Early English Books Online)</w:t>
      </w:r>
      <w:bookmarkEnd w:id="112"/>
    </w:p>
    <w:p w14:paraId="6658313E" w14:textId="46B383AF" w:rsidR="00162224" w:rsidRPr="003037D2" w:rsidRDefault="00162224" w:rsidP="00162224">
      <w:pPr>
        <w:pStyle w:val="Caption"/>
        <w:spacing w:line="360" w:lineRule="auto"/>
        <w:jc w:val="center"/>
        <w:rPr>
          <w:rFonts w:ascii="Garamond" w:hAnsi="Garamond"/>
          <w:color w:val="auto"/>
          <w:sz w:val="24"/>
          <w:szCs w:val="24"/>
        </w:rPr>
      </w:pPr>
      <w:bookmarkStart w:id="113" w:name="_Ref530143311"/>
      <w:bookmarkStart w:id="114" w:name="_Toc3973222"/>
      <w:r w:rsidRPr="003037D2">
        <w:rPr>
          <w:rFonts w:ascii="Garamond" w:hAnsi="Garamond"/>
          <w:noProof/>
          <w:color w:val="auto"/>
          <w:sz w:val="24"/>
          <w:szCs w:val="24"/>
        </w:rPr>
        <w:lastRenderedPageBreak/>
        <w:drawing>
          <wp:anchor distT="0" distB="0" distL="114300" distR="114300" simplePos="0" relativeHeight="251661312" behindDoc="1" locked="0" layoutInCell="1" allowOverlap="1" wp14:anchorId="4F52C90D" wp14:editId="35F7D3E3">
            <wp:simplePos x="0" y="0"/>
            <wp:positionH relativeFrom="margin">
              <wp:posOffset>669851</wp:posOffset>
            </wp:positionH>
            <wp:positionV relativeFrom="paragraph">
              <wp:posOffset>601478</wp:posOffset>
            </wp:positionV>
            <wp:extent cx="3306445" cy="5757545"/>
            <wp:effectExtent l="0" t="0" r="8255" b="0"/>
            <wp:wrapTight wrapText="bothSides">
              <wp:wrapPolygon edited="0">
                <wp:start x="0" y="0"/>
                <wp:lineTo x="0" y="21512"/>
                <wp:lineTo x="21529" y="21512"/>
                <wp:lineTo x="21529"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haniel nye 1645.gif"/>
                    <pic:cNvPicPr/>
                  </pic:nvPicPr>
                  <pic:blipFill rotWithShape="1">
                    <a:blip r:embed="rId17">
                      <a:extLst>
                        <a:ext uri="{28A0092B-C50C-407E-A947-70E740481C1C}">
                          <a14:useLocalDpi xmlns:a14="http://schemas.microsoft.com/office/drawing/2010/main" val="0"/>
                        </a:ext>
                      </a:extLst>
                    </a:blip>
                    <a:srcRect l="49282"/>
                    <a:stretch/>
                  </pic:blipFill>
                  <pic:spPr bwMode="auto">
                    <a:xfrm>
                      <a:off x="0" y="0"/>
                      <a:ext cx="3306445" cy="5757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6</w:t>
      </w:r>
      <w:r w:rsidRPr="003037D2">
        <w:rPr>
          <w:rFonts w:ascii="Garamond" w:hAnsi="Garamond"/>
          <w:noProof/>
          <w:color w:val="auto"/>
          <w:sz w:val="24"/>
          <w:szCs w:val="24"/>
        </w:rPr>
        <w:fldChar w:fldCharType="end"/>
      </w:r>
      <w:bookmarkEnd w:id="113"/>
      <w:r w:rsidRPr="003037D2">
        <w:rPr>
          <w:rFonts w:ascii="Garamond" w:hAnsi="Garamond"/>
          <w:color w:val="auto"/>
          <w:sz w:val="24"/>
          <w:szCs w:val="24"/>
        </w:rPr>
        <w:t xml:space="preserve"> Nathaniel Nye (1645), f.4 (Early English Books Online)</w:t>
      </w:r>
      <w:bookmarkEnd w:id="114"/>
    </w:p>
    <w:p w14:paraId="6065F675" w14:textId="77777777" w:rsidR="00162224" w:rsidRPr="003037D2" w:rsidRDefault="00162224" w:rsidP="00162224">
      <w:pPr>
        <w:pStyle w:val="ListParagraph"/>
        <w:keepNext/>
        <w:spacing w:line="360" w:lineRule="auto"/>
        <w:ind w:right="567"/>
        <w:jc w:val="center"/>
        <w:rPr>
          <w:rFonts w:ascii="Garamond" w:hAnsi="Garamond"/>
          <w:i/>
          <w:iCs/>
          <w:sz w:val="24"/>
          <w:szCs w:val="24"/>
        </w:rPr>
      </w:pPr>
      <w:r w:rsidRPr="003037D2">
        <w:rPr>
          <w:rFonts w:ascii="Garamond" w:hAnsi="Garamond"/>
          <w:i/>
          <w:iCs/>
          <w:noProof/>
          <w:sz w:val="24"/>
          <w:szCs w:val="24"/>
          <w:u w:val="single"/>
        </w:rPr>
        <w:lastRenderedPageBreak/>
        <w:drawing>
          <wp:inline distT="0" distB="0" distL="0" distR="0" wp14:anchorId="7F886EF9" wp14:editId="3016398C">
            <wp:extent cx="4338084" cy="5879805"/>
            <wp:effectExtent l="0" t="0" r="5715" b="6985"/>
            <wp:docPr id="5" name="Content Placeholder 4">
              <a:extLst xmlns:a="http://schemas.openxmlformats.org/drawingml/2006/main">
                <a:ext uri="{FF2B5EF4-FFF2-40B4-BE49-F238E27FC236}">
                  <a16:creationId xmlns:a16="http://schemas.microsoft.com/office/drawing/2014/main" id="{BA70EC08-D28B-4099-9D24-93C8B35D41AF}"/>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BA70EC08-D28B-4099-9D24-93C8B35D41AF}"/>
                        </a:ext>
                      </a:extLst>
                    </pic:cNvPr>
                    <pic:cNvPicPr>
                      <a:picLocks noGrp="1"/>
                    </pic:cNvPicPr>
                  </pic:nvPicPr>
                  <pic:blipFill rotWithShape="1">
                    <a:blip r:embed="rId18">
                      <a:extLst>
                        <a:ext uri="{28A0092B-C50C-407E-A947-70E740481C1C}">
                          <a14:useLocalDpi xmlns:a14="http://schemas.microsoft.com/office/drawing/2010/main" val="0"/>
                        </a:ext>
                      </a:extLst>
                    </a:blip>
                    <a:srcRect r="51287"/>
                    <a:stretch/>
                  </pic:blipFill>
                  <pic:spPr>
                    <a:xfrm>
                      <a:off x="0" y="0"/>
                      <a:ext cx="4352389" cy="5899194"/>
                    </a:xfrm>
                    <a:prstGeom prst="rect">
                      <a:avLst/>
                    </a:prstGeom>
                  </pic:spPr>
                </pic:pic>
              </a:graphicData>
            </a:graphic>
          </wp:inline>
        </w:drawing>
      </w:r>
    </w:p>
    <w:p w14:paraId="42ACC5AA" w14:textId="0374D36B" w:rsidR="00162224" w:rsidRPr="003037D2" w:rsidRDefault="00162224" w:rsidP="00162224">
      <w:pPr>
        <w:pStyle w:val="Caption"/>
        <w:spacing w:line="360" w:lineRule="auto"/>
        <w:jc w:val="center"/>
        <w:rPr>
          <w:rFonts w:ascii="Garamond" w:hAnsi="Garamond"/>
          <w:color w:val="auto"/>
          <w:sz w:val="24"/>
          <w:szCs w:val="24"/>
        </w:rPr>
      </w:pPr>
      <w:bookmarkStart w:id="115" w:name="_Ref529095725"/>
      <w:bookmarkStart w:id="116" w:name="_Toc3973223"/>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7</w:t>
      </w:r>
      <w:r w:rsidRPr="003037D2">
        <w:rPr>
          <w:rFonts w:ascii="Garamond" w:hAnsi="Garamond"/>
          <w:noProof/>
          <w:color w:val="auto"/>
          <w:sz w:val="24"/>
          <w:szCs w:val="24"/>
        </w:rPr>
        <w:fldChar w:fldCharType="end"/>
      </w:r>
      <w:bookmarkEnd w:id="115"/>
      <w:r w:rsidRPr="003037D2">
        <w:rPr>
          <w:rFonts w:ascii="Garamond" w:hAnsi="Garamond"/>
          <w:color w:val="auto"/>
          <w:sz w:val="24"/>
          <w:szCs w:val="24"/>
        </w:rPr>
        <w:t xml:space="preserve"> Thomas Kidman (1635), f. 4.  (Early English Books Online)</w:t>
      </w:r>
      <w:bookmarkEnd w:id="116"/>
    </w:p>
    <w:p w14:paraId="7927D875"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5FAA89B2" wp14:editId="2C7169B3">
            <wp:extent cx="3987210" cy="5773479"/>
            <wp:effectExtent l="0" t="0" r="0" b="0"/>
            <wp:docPr id="50" name="Content Placeholder 4">
              <a:extLst xmlns:a="http://schemas.openxmlformats.org/drawingml/2006/main">
                <a:ext uri="{FF2B5EF4-FFF2-40B4-BE49-F238E27FC236}">
                  <a16:creationId xmlns:a16="http://schemas.microsoft.com/office/drawing/2014/main" id="{FF7F4080-0BEB-4D64-959C-41E9729AB40F}"/>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FF7F4080-0BEB-4D64-959C-41E9729AB40F}"/>
                        </a:ext>
                      </a:extLst>
                    </pic:cNvPr>
                    <pic:cNvPicPr>
                      <a:picLocks noGrp="1"/>
                    </pic:cNvPicPr>
                  </pic:nvPicPr>
                  <pic:blipFill rotWithShape="1">
                    <a:blip r:embed="rId19">
                      <a:extLst>
                        <a:ext uri="{28A0092B-C50C-407E-A947-70E740481C1C}">
                          <a14:useLocalDpi xmlns:a14="http://schemas.microsoft.com/office/drawing/2010/main" val="0"/>
                        </a:ext>
                      </a:extLst>
                    </a:blip>
                    <a:srcRect r="51722"/>
                    <a:stretch/>
                  </pic:blipFill>
                  <pic:spPr bwMode="auto">
                    <a:xfrm>
                      <a:off x="0" y="0"/>
                      <a:ext cx="3996756" cy="5787302"/>
                    </a:xfrm>
                    <a:prstGeom prst="rect">
                      <a:avLst/>
                    </a:prstGeom>
                    <a:ln>
                      <a:noFill/>
                    </a:ln>
                    <a:extLst>
                      <a:ext uri="{53640926-AAD7-44D8-BBD7-CCE9431645EC}">
                        <a14:shadowObscured xmlns:a14="http://schemas.microsoft.com/office/drawing/2010/main"/>
                      </a:ext>
                    </a:extLst>
                  </pic:spPr>
                </pic:pic>
              </a:graphicData>
            </a:graphic>
          </wp:inline>
        </w:drawing>
      </w:r>
    </w:p>
    <w:p w14:paraId="08A7E835" w14:textId="5731721E" w:rsidR="00162224" w:rsidRPr="003037D2" w:rsidRDefault="00162224" w:rsidP="00162224">
      <w:pPr>
        <w:pStyle w:val="Caption"/>
        <w:spacing w:line="360" w:lineRule="auto"/>
        <w:jc w:val="center"/>
        <w:rPr>
          <w:rFonts w:ascii="Garamond" w:hAnsi="Garamond"/>
          <w:color w:val="auto"/>
          <w:sz w:val="24"/>
          <w:szCs w:val="24"/>
        </w:rPr>
      </w:pPr>
      <w:bookmarkStart w:id="117" w:name="_Ref529095748"/>
      <w:bookmarkStart w:id="118" w:name="_Toc3973224"/>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8</w:t>
      </w:r>
      <w:r w:rsidRPr="003037D2">
        <w:rPr>
          <w:rFonts w:ascii="Garamond" w:hAnsi="Garamond"/>
          <w:noProof/>
          <w:color w:val="auto"/>
          <w:sz w:val="24"/>
          <w:szCs w:val="24"/>
        </w:rPr>
        <w:fldChar w:fldCharType="end"/>
      </w:r>
      <w:bookmarkEnd w:id="117"/>
      <w:r w:rsidRPr="003037D2">
        <w:rPr>
          <w:rFonts w:ascii="Garamond" w:hAnsi="Garamond"/>
          <w:color w:val="auto"/>
          <w:sz w:val="24"/>
          <w:szCs w:val="24"/>
        </w:rPr>
        <w:t xml:space="preserve"> John White (1635), f. 5. (Early English Books Online)</w:t>
      </w:r>
      <w:bookmarkEnd w:id="118"/>
    </w:p>
    <w:p w14:paraId="2C83FBB8" w14:textId="77777777" w:rsidR="00162224" w:rsidRPr="003037D2" w:rsidRDefault="00162224" w:rsidP="00162224">
      <w:pPr>
        <w:keepNext/>
        <w:spacing w:line="360" w:lineRule="auto"/>
        <w:jc w:val="center"/>
        <w:rPr>
          <w:rFonts w:ascii="Garamond" w:hAnsi="Garamond"/>
          <w:i/>
          <w:iCs/>
        </w:rPr>
      </w:pPr>
    </w:p>
    <w:p w14:paraId="5E5C79BD"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drawing>
          <wp:inline distT="0" distB="0" distL="0" distR="0" wp14:anchorId="15F0D16B" wp14:editId="529EC418">
            <wp:extent cx="2902688" cy="5279886"/>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20"/>
                    <a:srcRect l="23668" t="10996" r="12547" b="1994"/>
                    <a:stretch/>
                  </pic:blipFill>
                  <pic:spPr>
                    <a:xfrm>
                      <a:off x="0" y="0"/>
                      <a:ext cx="2905857" cy="5285650"/>
                    </a:xfrm>
                    <a:prstGeom prst="rect">
                      <a:avLst/>
                    </a:prstGeom>
                  </pic:spPr>
                </pic:pic>
              </a:graphicData>
            </a:graphic>
          </wp:inline>
        </w:drawing>
      </w:r>
    </w:p>
    <w:p w14:paraId="1CB734D5" w14:textId="7A2F8EAA" w:rsidR="00162224" w:rsidRPr="003037D2" w:rsidRDefault="00162224" w:rsidP="00162224">
      <w:pPr>
        <w:pStyle w:val="Caption"/>
        <w:spacing w:line="360" w:lineRule="auto"/>
        <w:jc w:val="center"/>
        <w:rPr>
          <w:rFonts w:ascii="Garamond" w:hAnsi="Garamond"/>
          <w:color w:val="auto"/>
          <w:sz w:val="24"/>
          <w:szCs w:val="24"/>
        </w:rPr>
      </w:pPr>
      <w:bookmarkStart w:id="119" w:name="_Ref529305543"/>
      <w:bookmarkStart w:id="120" w:name="_Toc3973225"/>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9</w:t>
      </w:r>
      <w:r w:rsidRPr="003037D2">
        <w:rPr>
          <w:rFonts w:ascii="Garamond" w:hAnsi="Garamond"/>
          <w:noProof/>
          <w:color w:val="auto"/>
          <w:sz w:val="24"/>
          <w:szCs w:val="24"/>
        </w:rPr>
        <w:fldChar w:fldCharType="end"/>
      </w:r>
      <w:bookmarkEnd w:id="119"/>
      <w:r w:rsidRPr="003037D2">
        <w:rPr>
          <w:rFonts w:ascii="Garamond" w:hAnsi="Garamond"/>
          <w:color w:val="auto"/>
          <w:sz w:val="24"/>
          <w:szCs w:val="24"/>
        </w:rPr>
        <w:t xml:space="preserve"> Thomas Gallen (1648), f. 4.</w:t>
      </w:r>
      <w:bookmarkEnd w:id="120"/>
    </w:p>
    <w:p w14:paraId="3B729BCE" w14:textId="77777777" w:rsidR="00162224" w:rsidRPr="003037D2" w:rsidRDefault="00162224" w:rsidP="00162224">
      <w:pPr>
        <w:keepNext/>
        <w:jc w:val="center"/>
        <w:rPr>
          <w:rFonts w:ascii="Garamond" w:hAnsi="Garamond"/>
          <w:i/>
          <w:iCs/>
        </w:rPr>
      </w:pPr>
      <w:r w:rsidRPr="003037D2">
        <w:rPr>
          <w:rFonts w:ascii="Garamond" w:hAnsi="Garamond"/>
          <w:i/>
          <w:iCs/>
          <w:noProof/>
          <w:lang w:val="en-GB" w:eastAsia="zh-CN"/>
        </w:rPr>
        <w:lastRenderedPageBreak/>
        <w:drawing>
          <wp:inline distT="0" distB="0" distL="0" distR="0" wp14:anchorId="2FD5BED6" wp14:editId="3606E3B8">
            <wp:extent cx="5665471" cy="5156791"/>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70006" cy="5160918"/>
                    </a:xfrm>
                    <a:prstGeom prst="rect">
                      <a:avLst/>
                    </a:prstGeom>
                  </pic:spPr>
                </pic:pic>
              </a:graphicData>
            </a:graphic>
          </wp:inline>
        </w:drawing>
      </w:r>
    </w:p>
    <w:p w14:paraId="36D0122A" w14:textId="1D1A0560" w:rsidR="00162224" w:rsidRPr="003037D2" w:rsidRDefault="00162224" w:rsidP="00162224">
      <w:pPr>
        <w:pStyle w:val="Caption"/>
        <w:jc w:val="center"/>
        <w:rPr>
          <w:rFonts w:ascii="Garamond" w:hAnsi="Garamond"/>
          <w:color w:val="auto"/>
          <w:sz w:val="24"/>
          <w:szCs w:val="24"/>
        </w:rPr>
      </w:pPr>
      <w:bookmarkStart w:id="121" w:name="_Ref532896660"/>
      <w:bookmarkStart w:id="122" w:name="_Toc3973226"/>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10</w:t>
      </w:r>
      <w:r w:rsidRPr="003037D2">
        <w:rPr>
          <w:rFonts w:ascii="Garamond" w:hAnsi="Garamond"/>
          <w:noProof/>
          <w:color w:val="auto"/>
          <w:sz w:val="24"/>
          <w:szCs w:val="24"/>
        </w:rPr>
        <w:fldChar w:fldCharType="end"/>
      </w:r>
      <w:bookmarkEnd w:id="121"/>
      <w:r w:rsidRPr="003037D2">
        <w:rPr>
          <w:rFonts w:ascii="Garamond" w:hAnsi="Garamond"/>
          <w:color w:val="auto"/>
          <w:sz w:val="24"/>
          <w:szCs w:val="24"/>
        </w:rPr>
        <w:t xml:space="preserve"> Samuel </w:t>
      </w:r>
      <w:proofErr w:type="spellStart"/>
      <w:r w:rsidRPr="003037D2">
        <w:rPr>
          <w:rFonts w:ascii="Garamond" w:hAnsi="Garamond"/>
          <w:color w:val="auto"/>
          <w:sz w:val="24"/>
          <w:szCs w:val="24"/>
        </w:rPr>
        <w:t>Danforth</w:t>
      </w:r>
      <w:proofErr w:type="spellEnd"/>
      <w:r w:rsidRPr="003037D2">
        <w:rPr>
          <w:rFonts w:ascii="Garamond" w:hAnsi="Garamond"/>
          <w:color w:val="auto"/>
          <w:sz w:val="24"/>
          <w:szCs w:val="24"/>
        </w:rPr>
        <w:t xml:space="preserve"> (1648), f. 16</w:t>
      </w:r>
      <w:bookmarkEnd w:id="122"/>
    </w:p>
    <w:p w14:paraId="6755B769"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415AEABA" wp14:editId="57EBB617">
            <wp:extent cx="4354033" cy="5805377"/>
            <wp:effectExtent l="0" t="0" r="8890" b="5080"/>
            <wp:docPr id="6" name="Picture 5">
              <a:extLst xmlns:a="http://schemas.openxmlformats.org/drawingml/2006/main">
                <a:ext uri="{FF2B5EF4-FFF2-40B4-BE49-F238E27FC236}">
                  <a16:creationId xmlns:a16="http://schemas.microsoft.com/office/drawing/2014/main" id="{2BBAA23A-AA3E-40FC-B205-D7D21093E2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2BBAA23A-AA3E-40FC-B205-D7D21093E2E9}"/>
                        </a:ext>
                      </a:extLst>
                    </pic:cNvPr>
                    <pic:cNvPicPr>
                      <a:picLocks noChangeAspect="1"/>
                    </pic:cNvPicPr>
                  </pic:nvPicPr>
                  <pic:blipFill>
                    <a:blip r:embed="rId22"/>
                    <a:stretch>
                      <a:fillRect/>
                    </a:stretch>
                  </pic:blipFill>
                  <pic:spPr>
                    <a:xfrm>
                      <a:off x="0" y="0"/>
                      <a:ext cx="4381189" cy="5841585"/>
                    </a:xfrm>
                    <a:prstGeom prst="rect">
                      <a:avLst/>
                    </a:prstGeom>
                  </pic:spPr>
                </pic:pic>
              </a:graphicData>
            </a:graphic>
          </wp:inline>
        </w:drawing>
      </w:r>
    </w:p>
    <w:p w14:paraId="5E6A3566" w14:textId="09417227" w:rsidR="00162224" w:rsidRPr="003037D2" w:rsidRDefault="00162224" w:rsidP="00162224">
      <w:pPr>
        <w:pStyle w:val="Caption"/>
        <w:spacing w:line="360" w:lineRule="auto"/>
        <w:jc w:val="center"/>
        <w:rPr>
          <w:rFonts w:ascii="Garamond" w:hAnsi="Garamond"/>
          <w:color w:val="auto"/>
          <w:sz w:val="24"/>
          <w:szCs w:val="24"/>
        </w:rPr>
      </w:pPr>
      <w:bookmarkStart w:id="123" w:name="_Ref530143991"/>
      <w:bookmarkStart w:id="124" w:name="_Ref531603563"/>
      <w:bookmarkStart w:id="125" w:name="_Toc3973227"/>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11</w:t>
      </w:r>
      <w:r w:rsidRPr="003037D2">
        <w:rPr>
          <w:rFonts w:ascii="Garamond" w:hAnsi="Garamond"/>
          <w:noProof/>
          <w:color w:val="auto"/>
          <w:sz w:val="24"/>
          <w:szCs w:val="24"/>
        </w:rPr>
        <w:fldChar w:fldCharType="end"/>
      </w:r>
      <w:bookmarkEnd w:id="123"/>
      <w:r w:rsidRPr="003037D2">
        <w:rPr>
          <w:rFonts w:ascii="Garamond" w:hAnsi="Garamond"/>
          <w:color w:val="auto"/>
          <w:sz w:val="24"/>
          <w:szCs w:val="24"/>
        </w:rPr>
        <w:t xml:space="preserve"> George Winters (1637), B2</w:t>
      </w:r>
      <w:bookmarkEnd w:id="124"/>
      <w:bookmarkEnd w:id="125"/>
    </w:p>
    <w:p w14:paraId="2B8F665E"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08B56601" wp14:editId="3216D914">
            <wp:extent cx="4508205" cy="6010941"/>
            <wp:effectExtent l="0" t="0" r="6985" b="8890"/>
            <wp:docPr id="8" name="Picture 4">
              <a:extLst xmlns:a="http://schemas.openxmlformats.org/drawingml/2006/main">
                <a:ext uri="{FF2B5EF4-FFF2-40B4-BE49-F238E27FC236}">
                  <a16:creationId xmlns:a16="http://schemas.microsoft.com/office/drawing/2014/main" id="{428E3716-EDA6-415B-862E-F1BA931EB2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28E3716-EDA6-415B-862E-F1BA931EB2D5}"/>
                        </a:ext>
                      </a:extLst>
                    </pic:cNvPr>
                    <pic:cNvPicPr>
                      <a:picLocks noChangeAspect="1"/>
                    </pic:cNvPicPr>
                  </pic:nvPicPr>
                  <pic:blipFill>
                    <a:blip r:embed="rId23"/>
                    <a:stretch>
                      <a:fillRect/>
                    </a:stretch>
                  </pic:blipFill>
                  <pic:spPr>
                    <a:xfrm>
                      <a:off x="0" y="0"/>
                      <a:ext cx="4538096" cy="6050796"/>
                    </a:xfrm>
                    <a:prstGeom prst="rect">
                      <a:avLst/>
                    </a:prstGeom>
                  </pic:spPr>
                </pic:pic>
              </a:graphicData>
            </a:graphic>
          </wp:inline>
        </w:drawing>
      </w:r>
    </w:p>
    <w:p w14:paraId="3756F599" w14:textId="3C069A99" w:rsidR="00162224" w:rsidRPr="003037D2" w:rsidRDefault="00162224" w:rsidP="00162224">
      <w:pPr>
        <w:pStyle w:val="Caption"/>
        <w:spacing w:line="360" w:lineRule="auto"/>
        <w:jc w:val="center"/>
        <w:rPr>
          <w:rFonts w:ascii="Garamond" w:hAnsi="Garamond"/>
          <w:color w:val="auto"/>
          <w:sz w:val="24"/>
          <w:szCs w:val="24"/>
        </w:rPr>
      </w:pPr>
      <w:bookmarkStart w:id="126" w:name="_Ref530144007"/>
      <w:bookmarkStart w:id="127" w:name="_Toc3973228"/>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12</w:t>
      </w:r>
      <w:r w:rsidRPr="003037D2">
        <w:rPr>
          <w:rFonts w:ascii="Garamond" w:hAnsi="Garamond"/>
          <w:noProof/>
          <w:color w:val="auto"/>
          <w:sz w:val="24"/>
          <w:szCs w:val="24"/>
        </w:rPr>
        <w:fldChar w:fldCharType="end"/>
      </w:r>
      <w:bookmarkEnd w:id="126"/>
      <w:r w:rsidRPr="003037D2">
        <w:rPr>
          <w:rFonts w:ascii="Garamond" w:hAnsi="Garamond"/>
          <w:color w:val="auto"/>
          <w:sz w:val="24"/>
          <w:szCs w:val="24"/>
        </w:rPr>
        <w:t xml:space="preserve"> George Winters (1637) C1r</w:t>
      </w:r>
      <w:bookmarkEnd w:id="127"/>
    </w:p>
    <w:p w14:paraId="1E18B312"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3192AE41" wp14:editId="6333D338">
            <wp:extent cx="7712093" cy="5783885"/>
            <wp:effectExtent l="0" t="7302" r="0" b="0"/>
            <wp:docPr id="59"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24"/>
                    <a:stretch>
                      <a:fillRect/>
                    </a:stretch>
                  </pic:blipFill>
                  <pic:spPr>
                    <a:xfrm rot="16200000">
                      <a:off x="0" y="0"/>
                      <a:ext cx="7715709" cy="5786597"/>
                    </a:xfrm>
                    <a:prstGeom prst="rect">
                      <a:avLst/>
                    </a:prstGeom>
                  </pic:spPr>
                </pic:pic>
              </a:graphicData>
            </a:graphic>
          </wp:inline>
        </w:drawing>
      </w:r>
    </w:p>
    <w:p w14:paraId="349A6DC4" w14:textId="407263A1" w:rsidR="00162224" w:rsidRPr="003037D2" w:rsidRDefault="00162224" w:rsidP="00162224">
      <w:pPr>
        <w:pStyle w:val="Caption"/>
        <w:jc w:val="center"/>
        <w:rPr>
          <w:rFonts w:ascii="Garamond" w:hAnsi="Garamond"/>
          <w:color w:val="auto"/>
          <w:sz w:val="24"/>
          <w:szCs w:val="24"/>
        </w:rPr>
      </w:pPr>
      <w:bookmarkStart w:id="128" w:name="_Ref532896782"/>
      <w:bookmarkStart w:id="129" w:name="_Toc3973229"/>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13</w:t>
      </w:r>
      <w:r w:rsidRPr="003037D2">
        <w:rPr>
          <w:rFonts w:ascii="Garamond" w:hAnsi="Garamond"/>
          <w:noProof/>
          <w:color w:val="auto"/>
          <w:sz w:val="24"/>
          <w:szCs w:val="24"/>
        </w:rPr>
        <w:fldChar w:fldCharType="end"/>
      </w:r>
      <w:bookmarkEnd w:id="128"/>
      <w:r w:rsidRPr="003037D2">
        <w:rPr>
          <w:rFonts w:ascii="Garamond" w:hAnsi="Garamond"/>
          <w:color w:val="auto"/>
          <w:sz w:val="24"/>
          <w:szCs w:val="24"/>
        </w:rPr>
        <w:t xml:space="preserve"> Thomas Hill (</w:t>
      </w:r>
      <w:proofErr w:type="gramStart"/>
      <w:r w:rsidRPr="003037D2">
        <w:rPr>
          <w:rFonts w:ascii="Garamond" w:hAnsi="Garamond"/>
          <w:color w:val="auto"/>
          <w:sz w:val="24"/>
          <w:szCs w:val="24"/>
        </w:rPr>
        <w:t>1571,  f.</w:t>
      </w:r>
      <w:proofErr w:type="gramEnd"/>
      <w:r w:rsidRPr="003037D2">
        <w:rPr>
          <w:rFonts w:ascii="Garamond" w:hAnsi="Garamond"/>
          <w:color w:val="auto"/>
          <w:sz w:val="24"/>
          <w:szCs w:val="24"/>
        </w:rPr>
        <w:t xml:space="preserve"> 5r</w:t>
      </w:r>
      <w:bookmarkEnd w:id="129"/>
    </w:p>
    <w:p w14:paraId="2371C2D5" w14:textId="77777777" w:rsidR="00162224" w:rsidRPr="003037D2" w:rsidRDefault="00162224" w:rsidP="00162224">
      <w:pPr>
        <w:pStyle w:val="Caption"/>
        <w:spacing w:line="360" w:lineRule="auto"/>
        <w:jc w:val="center"/>
        <w:rPr>
          <w:rFonts w:ascii="Garamond" w:hAnsi="Garamond"/>
          <w:color w:val="auto"/>
          <w:sz w:val="24"/>
          <w:szCs w:val="24"/>
        </w:rPr>
      </w:pPr>
    </w:p>
    <w:p w14:paraId="5E4C3BEB" w14:textId="77777777" w:rsidR="00162224" w:rsidRPr="003037D2" w:rsidRDefault="00162224" w:rsidP="00162224">
      <w:pPr>
        <w:jc w:val="center"/>
        <w:rPr>
          <w:rFonts w:ascii="Garamond" w:hAnsi="Garamond"/>
          <w:i/>
          <w:iCs/>
          <w:lang w:eastAsia="zh-CN"/>
        </w:rPr>
      </w:pPr>
    </w:p>
    <w:p w14:paraId="2DA39EB5"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563B02DA" wp14:editId="30E95A89">
            <wp:extent cx="8009247" cy="4967216"/>
            <wp:effectExtent l="0" t="3175" r="8255" b="8255"/>
            <wp:docPr id="56" name="Picture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pic:cNvPicPr>
                      <a:picLocks noGrp="1" noChangeAspect="1"/>
                    </pic:cNvPicPr>
                  </pic:nvPicPr>
                  <pic:blipFill rotWithShape="1">
                    <a:blip r:embed="rId25" cstate="print">
                      <a:extLst>
                        <a:ext uri="{28A0092B-C50C-407E-A947-70E740481C1C}">
                          <a14:useLocalDpi xmlns:a14="http://schemas.microsoft.com/office/drawing/2010/main" val="0"/>
                        </a:ext>
                      </a:extLst>
                    </a:blip>
                    <a:srcRect l="7856" r="7856" b="30300"/>
                    <a:stretch/>
                  </pic:blipFill>
                  <pic:spPr>
                    <a:xfrm rot="16200000">
                      <a:off x="0" y="0"/>
                      <a:ext cx="8021013" cy="4974513"/>
                    </a:xfrm>
                    <a:prstGeom prst="rect">
                      <a:avLst/>
                    </a:prstGeom>
                    <a:solidFill>
                      <a:schemeClr val="bg1">
                        <a:lumMod val="75000"/>
                      </a:schemeClr>
                    </a:solidFill>
                  </pic:spPr>
                </pic:pic>
              </a:graphicData>
            </a:graphic>
          </wp:inline>
        </w:drawing>
      </w:r>
    </w:p>
    <w:p w14:paraId="790C54A6" w14:textId="01B3909C" w:rsidR="00162224" w:rsidRPr="003037D2" w:rsidRDefault="00162224" w:rsidP="00162224">
      <w:pPr>
        <w:pStyle w:val="Caption"/>
        <w:spacing w:line="360" w:lineRule="auto"/>
        <w:jc w:val="center"/>
        <w:rPr>
          <w:rFonts w:ascii="Garamond" w:hAnsi="Garamond"/>
          <w:color w:val="auto"/>
          <w:sz w:val="24"/>
          <w:szCs w:val="24"/>
        </w:rPr>
      </w:pPr>
      <w:bookmarkStart w:id="130" w:name="_Ref529305654"/>
      <w:bookmarkStart w:id="131" w:name="_Ref532832104"/>
      <w:bookmarkStart w:id="132" w:name="_Toc3973230"/>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14</w:t>
      </w:r>
      <w:r w:rsidRPr="003037D2">
        <w:rPr>
          <w:rFonts w:ascii="Garamond" w:hAnsi="Garamond"/>
          <w:noProof/>
          <w:color w:val="auto"/>
          <w:sz w:val="24"/>
          <w:szCs w:val="24"/>
        </w:rPr>
        <w:fldChar w:fldCharType="end"/>
      </w:r>
      <w:bookmarkEnd w:id="130"/>
      <w:r w:rsidRPr="003037D2">
        <w:rPr>
          <w:rFonts w:ascii="Garamond" w:hAnsi="Garamond"/>
          <w:color w:val="auto"/>
          <w:sz w:val="24"/>
          <w:szCs w:val="24"/>
        </w:rPr>
        <w:t xml:space="preserve"> Nathaniel Nye (1645) f. 7</w:t>
      </w:r>
      <w:bookmarkEnd w:id="131"/>
      <w:r w:rsidRPr="003037D2">
        <w:rPr>
          <w:rFonts w:ascii="Garamond" w:hAnsi="Garamond"/>
          <w:color w:val="auto"/>
          <w:sz w:val="24"/>
          <w:szCs w:val="24"/>
        </w:rPr>
        <w:t>r</w:t>
      </w:r>
      <w:bookmarkEnd w:id="132"/>
    </w:p>
    <w:p w14:paraId="69186EC5" w14:textId="77777777" w:rsidR="00162224" w:rsidRPr="003037D2" w:rsidRDefault="00162224" w:rsidP="00162224">
      <w:pPr>
        <w:spacing w:line="360" w:lineRule="auto"/>
        <w:ind w:right="567"/>
        <w:jc w:val="center"/>
        <w:rPr>
          <w:rFonts w:ascii="Garamond" w:hAnsi="Garamond"/>
          <w:i/>
          <w:iCs/>
          <w:u w:val="single"/>
        </w:rPr>
      </w:pPr>
    </w:p>
    <w:p w14:paraId="695E6F2E" w14:textId="77777777" w:rsidR="00162224" w:rsidRPr="003037D2" w:rsidRDefault="00162224" w:rsidP="00162224">
      <w:pPr>
        <w:spacing w:line="360" w:lineRule="auto"/>
        <w:ind w:right="567"/>
        <w:jc w:val="center"/>
        <w:rPr>
          <w:rFonts w:ascii="Garamond" w:hAnsi="Garamond"/>
          <w:i/>
          <w:iCs/>
          <w:u w:val="single"/>
        </w:rPr>
      </w:pPr>
    </w:p>
    <w:p w14:paraId="66DC1BF7" w14:textId="77777777" w:rsidR="00162224" w:rsidRPr="003037D2" w:rsidRDefault="00162224" w:rsidP="00162224">
      <w:pPr>
        <w:keepNext/>
        <w:spacing w:line="360" w:lineRule="auto"/>
        <w:ind w:right="567"/>
        <w:jc w:val="center"/>
        <w:rPr>
          <w:rFonts w:ascii="Garamond" w:hAnsi="Garamond"/>
          <w:i/>
          <w:iCs/>
        </w:rPr>
      </w:pPr>
      <w:r w:rsidRPr="003037D2">
        <w:rPr>
          <w:rFonts w:ascii="Garamond" w:hAnsi="Garamond"/>
          <w:i/>
          <w:iCs/>
          <w:noProof/>
          <w:u w:val="single"/>
          <w:lang w:val="en-GB" w:eastAsia="zh-CN"/>
        </w:rPr>
        <w:drawing>
          <wp:inline distT="0" distB="0" distL="0" distR="0" wp14:anchorId="0342FE7C" wp14:editId="3C297DD0">
            <wp:extent cx="5613120" cy="4643561"/>
            <wp:effectExtent l="0" t="0" r="6985" b="50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037" r="-1" b="5795"/>
                    <a:stretch/>
                  </pic:blipFill>
                  <pic:spPr bwMode="auto">
                    <a:xfrm>
                      <a:off x="0" y="0"/>
                      <a:ext cx="5625685" cy="4653956"/>
                    </a:xfrm>
                    <a:prstGeom prst="rect">
                      <a:avLst/>
                    </a:prstGeom>
                    <a:noFill/>
                    <a:ln>
                      <a:noFill/>
                    </a:ln>
                    <a:extLst>
                      <a:ext uri="{53640926-AAD7-44D8-BBD7-CCE9431645EC}">
                        <a14:shadowObscured xmlns:a14="http://schemas.microsoft.com/office/drawing/2010/main"/>
                      </a:ext>
                    </a:extLst>
                  </pic:spPr>
                </pic:pic>
              </a:graphicData>
            </a:graphic>
          </wp:inline>
        </w:drawing>
      </w:r>
    </w:p>
    <w:p w14:paraId="2529ADEC" w14:textId="5D3D52B7" w:rsidR="00162224" w:rsidRPr="003037D2" w:rsidRDefault="00162224" w:rsidP="00162224">
      <w:pPr>
        <w:pStyle w:val="Caption"/>
        <w:spacing w:line="360" w:lineRule="auto"/>
        <w:jc w:val="center"/>
        <w:rPr>
          <w:rFonts w:ascii="Garamond" w:hAnsi="Garamond"/>
          <w:color w:val="auto"/>
          <w:sz w:val="24"/>
          <w:szCs w:val="24"/>
        </w:rPr>
      </w:pPr>
      <w:bookmarkStart w:id="133" w:name="_Ref529305921"/>
      <w:bookmarkStart w:id="134" w:name="_Toc3973231"/>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15</w:t>
      </w:r>
      <w:r w:rsidRPr="003037D2">
        <w:rPr>
          <w:rFonts w:ascii="Garamond" w:hAnsi="Garamond"/>
          <w:noProof/>
          <w:color w:val="auto"/>
          <w:sz w:val="24"/>
          <w:szCs w:val="24"/>
        </w:rPr>
        <w:fldChar w:fldCharType="end"/>
      </w:r>
      <w:bookmarkEnd w:id="133"/>
      <w:r w:rsidRPr="003037D2">
        <w:rPr>
          <w:rFonts w:ascii="Garamond" w:hAnsi="Garamond"/>
          <w:color w:val="auto"/>
          <w:sz w:val="24"/>
          <w:szCs w:val="24"/>
        </w:rPr>
        <w:t xml:space="preserve"> Pond (1650) f. 8.</w:t>
      </w:r>
      <w:bookmarkEnd w:id="134"/>
    </w:p>
    <w:p w14:paraId="4B01EC62" w14:textId="77777777" w:rsidR="00162224" w:rsidRPr="003037D2" w:rsidRDefault="00162224" w:rsidP="00162224">
      <w:pPr>
        <w:keepNext/>
        <w:spacing w:line="360" w:lineRule="auto"/>
        <w:ind w:right="567"/>
        <w:jc w:val="center"/>
        <w:rPr>
          <w:rFonts w:ascii="Garamond" w:hAnsi="Garamond"/>
          <w:i/>
          <w:iCs/>
        </w:rPr>
      </w:pPr>
      <w:r w:rsidRPr="003037D2">
        <w:rPr>
          <w:rFonts w:ascii="Garamond" w:hAnsi="Garamond"/>
          <w:i/>
          <w:iCs/>
          <w:noProof/>
          <w:u w:val="single"/>
          <w:lang w:val="en-GB" w:eastAsia="zh-CN"/>
        </w:rPr>
        <w:lastRenderedPageBreak/>
        <w:drawing>
          <wp:inline distT="0" distB="0" distL="0" distR="0" wp14:anchorId="1ECC7932" wp14:editId="25523B79">
            <wp:extent cx="2727298" cy="3334152"/>
            <wp:effectExtent l="95250" t="57150" r="92710" b="952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41384" cy="3351372"/>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3D6478A" w14:textId="7AF8FCB1" w:rsidR="00162224" w:rsidRPr="003037D2" w:rsidRDefault="00162224" w:rsidP="00162224">
      <w:pPr>
        <w:pStyle w:val="Caption"/>
        <w:spacing w:line="360" w:lineRule="auto"/>
        <w:jc w:val="center"/>
        <w:rPr>
          <w:rFonts w:ascii="Garamond" w:hAnsi="Garamond"/>
          <w:color w:val="auto"/>
          <w:sz w:val="24"/>
          <w:szCs w:val="24"/>
          <w:u w:val="single"/>
        </w:rPr>
      </w:pPr>
      <w:bookmarkStart w:id="135" w:name="_Ref529305836"/>
      <w:bookmarkStart w:id="136" w:name="_Toc3973232"/>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16</w:t>
      </w:r>
      <w:r w:rsidRPr="003037D2">
        <w:rPr>
          <w:rFonts w:ascii="Garamond" w:hAnsi="Garamond"/>
          <w:noProof/>
          <w:color w:val="auto"/>
          <w:sz w:val="24"/>
          <w:szCs w:val="24"/>
        </w:rPr>
        <w:fldChar w:fldCharType="end"/>
      </w:r>
      <w:bookmarkEnd w:id="135"/>
      <w:r w:rsidRPr="003037D2">
        <w:rPr>
          <w:rFonts w:ascii="Garamond" w:hAnsi="Garamond"/>
          <w:color w:val="auto"/>
          <w:sz w:val="24"/>
          <w:szCs w:val="24"/>
        </w:rPr>
        <w:t xml:space="preserve"> Thomas Gallen (1648) F.56v</w:t>
      </w:r>
      <w:bookmarkEnd w:id="136"/>
    </w:p>
    <w:p w14:paraId="6E834E19" w14:textId="77777777" w:rsidR="00162224" w:rsidRPr="003037D2" w:rsidRDefault="00162224" w:rsidP="00162224">
      <w:pPr>
        <w:jc w:val="center"/>
        <w:rPr>
          <w:rFonts w:ascii="Garamond" w:hAnsi="Garamond"/>
          <w:i/>
          <w:iCs/>
          <w:lang w:eastAsia="zh-CN"/>
        </w:rPr>
      </w:pPr>
    </w:p>
    <w:p w14:paraId="3E581489" w14:textId="77777777" w:rsidR="00162224" w:rsidRPr="003037D2" w:rsidRDefault="00162224" w:rsidP="00162224">
      <w:pPr>
        <w:keepNext/>
        <w:spacing w:line="360" w:lineRule="auto"/>
        <w:ind w:right="567"/>
        <w:jc w:val="center"/>
        <w:rPr>
          <w:rFonts w:ascii="Garamond" w:hAnsi="Garamond"/>
          <w:i/>
          <w:iCs/>
        </w:rPr>
      </w:pPr>
      <w:r w:rsidRPr="003037D2">
        <w:rPr>
          <w:rFonts w:ascii="Garamond" w:hAnsi="Garamond"/>
          <w:i/>
          <w:iCs/>
          <w:noProof/>
          <w:u w:val="single"/>
          <w:lang w:val="en-GB" w:eastAsia="zh-CN"/>
        </w:rPr>
        <w:drawing>
          <wp:inline distT="0" distB="0" distL="0" distR="0" wp14:anchorId="5EC04F4C" wp14:editId="12AEF53F">
            <wp:extent cx="3201105" cy="2927934"/>
            <wp:effectExtent l="79693" t="72707" r="98107" b="98108"/>
            <wp:docPr id="55" name="Picture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pic:cNvPicPr>
                      <a:picLocks noGrp="1" noChangeAspect="1"/>
                    </pic:cNvPicPr>
                  </pic:nvPicPr>
                  <pic:blipFill rotWithShape="1">
                    <a:blip r:embed="rId28"/>
                    <a:srcRect l="16632" t="18616" r="16632"/>
                    <a:stretch/>
                  </pic:blipFill>
                  <pic:spPr>
                    <a:xfrm rot="16200000">
                      <a:off x="0" y="0"/>
                      <a:ext cx="3345841" cy="3060318"/>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418A48F" w14:textId="4A495568" w:rsidR="00162224" w:rsidRPr="003037D2" w:rsidRDefault="00162224" w:rsidP="00162224">
      <w:pPr>
        <w:pStyle w:val="Caption"/>
        <w:jc w:val="center"/>
        <w:rPr>
          <w:rFonts w:ascii="Garamond" w:hAnsi="Garamond"/>
          <w:color w:val="auto"/>
          <w:sz w:val="24"/>
          <w:szCs w:val="24"/>
        </w:rPr>
      </w:pPr>
      <w:bookmarkStart w:id="137" w:name="_Ref532832885"/>
      <w:bookmarkStart w:id="138" w:name="_Toc3973233"/>
      <w:r w:rsidRPr="003037D2">
        <w:rPr>
          <w:rFonts w:ascii="Garamond" w:hAnsi="Garamond"/>
          <w:color w:val="auto"/>
          <w:sz w:val="24"/>
          <w:szCs w:val="24"/>
        </w:rPr>
        <w:t xml:space="preserve">Figure </w:t>
      </w:r>
      <w:r w:rsidRPr="003037D2">
        <w:rPr>
          <w:rFonts w:ascii="Garamond" w:hAnsi="Garamond"/>
          <w:color w:val="auto"/>
          <w:sz w:val="24"/>
          <w:szCs w:val="24"/>
        </w:rPr>
        <w:fldChar w:fldCharType="begin"/>
      </w:r>
      <w:r w:rsidRPr="003037D2">
        <w:rPr>
          <w:rFonts w:ascii="Garamond" w:hAnsi="Garamond"/>
          <w:color w:val="auto"/>
          <w:sz w:val="24"/>
          <w:szCs w:val="24"/>
        </w:rPr>
        <w:instrText xml:space="preserve"> SEQ Figure \* ARABIC </w:instrText>
      </w:r>
      <w:r w:rsidRPr="003037D2">
        <w:rPr>
          <w:rFonts w:ascii="Garamond" w:hAnsi="Garamond"/>
          <w:color w:val="auto"/>
          <w:sz w:val="24"/>
          <w:szCs w:val="24"/>
        </w:rPr>
        <w:fldChar w:fldCharType="separate"/>
      </w:r>
      <w:r w:rsidR="001117A3" w:rsidRPr="003037D2">
        <w:rPr>
          <w:rFonts w:ascii="Garamond" w:hAnsi="Garamond"/>
          <w:noProof/>
          <w:color w:val="auto"/>
          <w:sz w:val="24"/>
          <w:szCs w:val="24"/>
        </w:rPr>
        <w:t>17</w:t>
      </w:r>
      <w:r w:rsidRPr="003037D2">
        <w:rPr>
          <w:rFonts w:ascii="Garamond" w:hAnsi="Garamond"/>
          <w:color w:val="auto"/>
          <w:sz w:val="24"/>
          <w:szCs w:val="24"/>
        </w:rPr>
        <w:fldChar w:fldCharType="end"/>
      </w:r>
      <w:bookmarkEnd w:id="137"/>
      <w:r w:rsidRPr="003037D2">
        <w:rPr>
          <w:rFonts w:ascii="Garamond" w:hAnsi="Garamond"/>
          <w:color w:val="auto"/>
          <w:sz w:val="24"/>
          <w:szCs w:val="24"/>
        </w:rPr>
        <w:t xml:space="preserve"> Thomas Gallen (1648), f. 55r</w:t>
      </w:r>
      <w:bookmarkEnd w:id="138"/>
    </w:p>
    <w:p w14:paraId="506DE527" w14:textId="77777777" w:rsidR="00162224" w:rsidRPr="003037D2" w:rsidRDefault="00162224" w:rsidP="00162224">
      <w:pPr>
        <w:spacing w:line="360" w:lineRule="auto"/>
        <w:ind w:right="567"/>
        <w:jc w:val="center"/>
        <w:rPr>
          <w:rFonts w:ascii="Garamond" w:hAnsi="Garamond"/>
          <w:i/>
          <w:iCs/>
          <w:u w:val="single"/>
        </w:rPr>
      </w:pPr>
    </w:p>
    <w:p w14:paraId="22FCF5E4" w14:textId="77777777" w:rsidR="00162224" w:rsidRPr="003037D2" w:rsidRDefault="00162224" w:rsidP="00162224">
      <w:pPr>
        <w:spacing w:line="360" w:lineRule="auto"/>
        <w:ind w:right="567"/>
        <w:jc w:val="center"/>
        <w:rPr>
          <w:rFonts w:ascii="Garamond" w:hAnsi="Garamond"/>
          <w:i/>
          <w:iCs/>
          <w:u w:val="single"/>
        </w:rPr>
      </w:pPr>
    </w:p>
    <w:p w14:paraId="5D71F4CF" w14:textId="77777777" w:rsidR="00162224" w:rsidRPr="003037D2" w:rsidRDefault="00162224" w:rsidP="00162224">
      <w:pPr>
        <w:spacing w:line="360" w:lineRule="auto"/>
        <w:ind w:right="567"/>
        <w:jc w:val="center"/>
        <w:rPr>
          <w:rFonts w:ascii="Garamond" w:hAnsi="Garamond"/>
          <w:i/>
          <w:iCs/>
          <w:u w:val="single"/>
        </w:rPr>
      </w:pPr>
    </w:p>
    <w:p w14:paraId="77C97FE3"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5D03352C" wp14:editId="5F1BB72B">
            <wp:extent cx="4972050" cy="777885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73059" cy="7780430"/>
                    </a:xfrm>
                    <a:prstGeom prst="rect">
                      <a:avLst/>
                    </a:prstGeom>
                    <a:noFill/>
                    <a:ln>
                      <a:noFill/>
                    </a:ln>
                  </pic:spPr>
                </pic:pic>
              </a:graphicData>
            </a:graphic>
          </wp:inline>
        </w:drawing>
      </w:r>
    </w:p>
    <w:p w14:paraId="083C2DBD" w14:textId="74968CCB" w:rsidR="00162224" w:rsidRPr="003037D2" w:rsidRDefault="00162224" w:rsidP="00162224">
      <w:pPr>
        <w:pStyle w:val="Caption"/>
        <w:spacing w:line="360" w:lineRule="auto"/>
        <w:jc w:val="center"/>
        <w:rPr>
          <w:rFonts w:ascii="Garamond" w:hAnsi="Garamond"/>
          <w:color w:val="auto"/>
          <w:sz w:val="24"/>
          <w:szCs w:val="24"/>
        </w:rPr>
      </w:pPr>
      <w:bookmarkStart w:id="139" w:name="_Ref529203305"/>
      <w:bookmarkStart w:id="140" w:name="_Toc3973234"/>
      <w:r w:rsidRPr="003037D2">
        <w:rPr>
          <w:rFonts w:ascii="Garamond" w:hAnsi="Garamond"/>
          <w:color w:val="auto"/>
          <w:sz w:val="24"/>
          <w:szCs w:val="24"/>
        </w:rPr>
        <w:t xml:space="preserve">Figure </w:t>
      </w:r>
      <w:r w:rsidRPr="003037D2">
        <w:rPr>
          <w:rFonts w:ascii="Garamond" w:hAnsi="Garamond"/>
          <w:color w:val="auto"/>
          <w:sz w:val="24"/>
          <w:szCs w:val="24"/>
        </w:rPr>
        <w:fldChar w:fldCharType="begin"/>
      </w:r>
      <w:r w:rsidRPr="003037D2">
        <w:rPr>
          <w:rFonts w:ascii="Garamond" w:hAnsi="Garamond"/>
          <w:color w:val="auto"/>
          <w:sz w:val="24"/>
          <w:szCs w:val="24"/>
        </w:rPr>
        <w:instrText xml:space="preserve"> SEQ Figure \* ARABIC </w:instrText>
      </w:r>
      <w:r w:rsidRPr="003037D2">
        <w:rPr>
          <w:rFonts w:ascii="Garamond" w:hAnsi="Garamond"/>
          <w:color w:val="auto"/>
          <w:sz w:val="24"/>
          <w:szCs w:val="24"/>
        </w:rPr>
        <w:fldChar w:fldCharType="separate"/>
      </w:r>
      <w:r w:rsidR="001117A3" w:rsidRPr="003037D2">
        <w:rPr>
          <w:rFonts w:ascii="Garamond" w:hAnsi="Garamond"/>
          <w:noProof/>
          <w:color w:val="auto"/>
          <w:sz w:val="24"/>
          <w:szCs w:val="24"/>
        </w:rPr>
        <w:t>18</w:t>
      </w:r>
      <w:r w:rsidRPr="003037D2">
        <w:rPr>
          <w:rFonts w:ascii="Garamond" w:hAnsi="Garamond"/>
          <w:color w:val="auto"/>
          <w:sz w:val="24"/>
          <w:szCs w:val="24"/>
        </w:rPr>
        <w:fldChar w:fldCharType="end"/>
      </w:r>
      <w:bookmarkEnd w:id="139"/>
      <w:r w:rsidR="00667CD5">
        <w:rPr>
          <w:rFonts w:ascii="Garamond" w:hAnsi="Garamond"/>
          <w:color w:val="auto"/>
          <w:sz w:val="24"/>
          <w:szCs w:val="24"/>
        </w:rPr>
        <w:t xml:space="preserve"> The Bishop</w:t>
      </w:r>
      <w:r w:rsidRPr="003037D2">
        <w:rPr>
          <w:rFonts w:ascii="Garamond" w:hAnsi="Garamond"/>
          <w:color w:val="auto"/>
          <w:sz w:val="24"/>
          <w:szCs w:val="24"/>
        </w:rPr>
        <w:t>s</w:t>
      </w:r>
      <w:r w:rsidR="00667CD5">
        <w:rPr>
          <w:rFonts w:ascii="Garamond" w:hAnsi="Garamond"/>
          <w:color w:val="auto"/>
          <w:sz w:val="24"/>
          <w:szCs w:val="24"/>
        </w:rPr>
        <w:t>’</w:t>
      </w:r>
      <w:r w:rsidRPr="003037D2">
        <w:rPr>
          <w:rFonts w:ascii="Garamond" w:hAnsi="Garamond"/>
          <w:color w:val="auto"/>
          <w:sz w:val="24"/>
          <w:szCs w:val="24"/>
        </w:rPr>
        <w:t xml:space="preserve"> Bible or The Holi Bible (London: 1572), f. 5r (Early English Books Online)</w:t>
      </w:r>
      <w:bookmarkEnd w:id="140"/>
    </w:p>
    <w:p w14:paraId="07B37252" w14:textId="77777777" w:rsidR="00162224" w:rsidRPr="003037D2" w:rsidRDefault="00162224" w:rsidP="00162224">
      <w:pPr>
        <w:spacing w:line="360" w:lineRule="auto"/>
        <w:jc w:val="center"/>
        <w:rPr>
          <w:rFonts w:ascii="Garamond" w:hAnsi="Garamond"/>
          <w:i/>
          <w:iCs/>
        </w:rPr>
      </w:pPr>
    </w:p>
    <w:p w14:paraId="0A357248" w14:textId="77777777" w:rsidR="00162224" w:rsidRPr="003037D2" w:rsidRDefault="00162224" w:rsidP="00162224">
      <w:pPr>
        <w:pStyle w:val="Caption"/>
        <w:spacing w:line="360" w:lineRule="auto"/>
        <w:jc w:val="center"/>
        <w:rPr>
          <w:rFonts w:ascii="Garamond" w:hAnsi="Garamond"/>
          <w:color w:val="auto"/>
          <w:sz w:val="24"/>
          <w:szCs w:val="24"/>
        </w:rPr>
      </w:pPr>
      <w:r w:rsidRPr="003037D2">
        <w:rPr>
          <w:rFonts w:ascii="Garamond" w:hAnsi="Garamond"/>
          <w:noProof/>
          <w:color w:val="auto"/>
          <w:sz w:val="24"/>
          <w:szCs w:val="24"/>
        </w:rPr>
        <w:lastRenderedPageBreak/>
        <w:drawing>
          <wp:inline distT="0" distB="0" distL="0" distR="0" wp14:anchorId="454ED2D3" wp14:editId="7BFAB932">
            <wp:extent cx="6607620" cy="5176171"/>
            <wp:effectExtent l="0" t="8255"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untitled.png"/>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6622396" cy="5187746"/>
                    </a:xfrm>
                    <a:prstGeom prst="rect">
                      <a:avLst/>
                    </a:prstGeom>
                  </pic:spPr>
                </pic:pic>
              </a:graphicData>
            </a:graphic>
          </wp:inline>
        </w:drawing>
      </w:r>
    </w:p>
    <w:p w14:paraId="3F6DFA5D" w14:textId="77777777" w:rsidR="00162224" w:rsidRPr="003037D2" w:rsidRDefault="00162224" w:rsidP="00162224">
      <w:pPr>
        <w:keepNext/>
        <w:spacing w:line="360" w:lineRule="auto"/>
        <w:jc w:val="center"/>
        <w:rPr>
          <w:rFonts w:ascii="Garamond" w:hAnsi="Garamond"/>
          <w:i/>
          <w:iCs/>
        </w:rPr>
      </w:pPr>
    </w:p>
    <w:p w14:paraId="792AA330" w14:textId="594B08F5" w:rsidR="00162224" w:rsidRPr="003037D2" w:rsidRDefault="00162224" w:rsidP="00162224">
      <w:pPr>
        <w:pStyle w:val="Caption"/>
        <w:spacing w:line="360" w:lineRule="auto"/>
        <w:jc w:val="center"/>
        <w:rPr>
          <w:rFonts w:ascii="Garamond" w:hAnsi="Garamond"/>
          <w:color w:val="auto"/>
          <w:sz w:val="24"/>
          <w:szCs w:val="24"/>
        </w:rPr>
      </w:pPr>
      <w:bookmarkStart w:id="141" w:name="_Ref529267713"/>
      <w:bookmarkStart w:id="142" w:name="_Toc3973235"/>
      <w:r w:rsidRPr="003037D2">
        <w:rPr>
          <w:rFonts w:ascii="Garamond" w:hAnsi="Garamond"/>
          <w:color w:val="auto"/>
          <w:sz w:val="24"/>
          <w:szCs w:val="24"/>
        </w:rPr>
        <w:t xml:space="preserve">Figure </w:t>
      </w:r>
      <w:r w:rsidRPr="003037D2">
        <w:rPr>
          <w:rFonts w:ascii="Garamond" w:hAnsi="Garamond"/>
          <w:color w:val="auto"/>
          <w:sz w:val="24"/>
          <w:szCs w:val="24"/>
        </w:rPr>
        <w:fldChar w:fldCharType="begin"/>
      </w:r>
      <w:r w:rsidRPr="003037D2">
        <w:rPr>
          <w:rFonts w:ascii="Garamond" w:hAnsi="Garamond"/>
          <w:color w:val="auto"/>
          <w:sz w:val="24"/>
          <w:szCs w:val="24"/>
        </w:rPr>
        <w:instrText xml:space="preserve"> SEQ Figure \* ARABIC </w:instrText>
      </w:r>
      <w:r w:rsidRPr="003037D2">
        <w:rPr>
          <w:rFonts w:ascii="Garamond" w:hAnsi="Garamond"/>
          <w:color w:val="auto"/>
          <w:sz w:val="24"/>
          <w:szCs w:val="24"/>
        </w:rPr>
        <w:fldChar w:fldCharType="separate"/>
      </w:r>
      <w:r w:rsidR="001117A3" w:rsidRPr="003037D2">
        <w:rPr>
          <w:rFonts w:ascii="Garamond" w:hAnsi="Garamond"/>
          <w:noProof/>
          <w:color w:val="auto"/>
          <w:sz w:val="24"/>
          <w:szCs w:val="24"/>
        </w:rPr>
        <w:t>19</w:t>
      </w:r>
      <w:r w:rsidRPr="003037D2">
        <w:rPr>
          <w:rFonts w:ascii="Garamond" w:hAnsi="Garamond"/>
          <w:color w:val="auto"/>
          <w:sz w:val="24"/>
          <w:szCs w:val="24"/>
        </w:rPr>
        <w:fldChar w:fldCharType="end"/>
      </w:r>
      <w:bookmarkEnd w:id="141"/>
      <w:r w:rsidRPr="003037D2">
        <w:rPr>
          <w:rFonts w:ascii="Garamond" w:hAnsi="Garamond"/>
          <w:color w:val="auto"/>
          <w:sz w:val="24"/>
          <w:szCs w:val="24"/>
        </w:rPr>
        <w:t xml:space="preserve"> The </w:t>
      </w:r>
      <w:proofErr w:type="spellStart"/>
      <w:r w:rsidRPr="003037D2">
        <w:rPr>
          <w:rFonts w:ascii="Garamond" w:hAnsi="Garamond"/>
          <w:color w:val="auto"/>
          <w:sz w:val="24"/>
          <w:szCs w:val="24"/>
        </w:rPr>
        <w:t>Holie</w:t>
      </w:r>
      <w:proofErr w:type="spellEnd"/>
      <w:r w:rsidRPr="003037D2">
        <w:rPr>
          <w:rFonts w:ascii="Garamond" w:hAnsi="Garamond"/>
          <w:color w:val="auto"/>
          <w:sz w:val="24"/>
          <w:szCs w:val="24"/>
        </w:rPr>
        <w:t xml:space="preserve"> Bible (London: 1572), f. 5v-6r (Early English Books Online)</w:t>
      </w:r>
      <w:bookmarkEnd w:id="142"/>
    </w:p>
    <w:p w14:paraId="73C36DBB" w14:textId="77777777" w:rsidR="00162224" w:rsidRPr="003037D2" w:rsidRDefault="00162224" w:rsidP="00162224">
      <w:pPr>
        <w:spacing w:line="360" w:lineRule="auto"/>
        <w:jc w:val="center"/>
        <w:rPr>
          <w:rFonts w:ascii="Garamond" w:hAnsi="Garamond"/>
          <w:i/>
          <w:iCs/>
        </w:rPr>
      </w:pPr>
    </w:p>
    <w:p w14:paraId="2B55A488"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5C9FBD7B" wp14:editId="7734FD82">
            <wp:extent cx="4565708" cy="7100515"/>
            <wp:effectExtent l="0" t="0" r="635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69247" cy="7106018"/>
                    </a:xfrm>
                    <a:prstGeom prst="rect">
                      <a:avLst/>
                    </a:prstGeom>
                    <a:noFill/>
                    <a:ln>
                      <a:noFill/>
                    </a:ln>
                  </pic:spPr>
                </pic:pic>
              </a:graphicData>
            </a:graphic>
          </wp:inline>
        </w:drawing>
      </w:r>
    </w:p>
    <w:p w14:paraId="0F95CA27" w14:textId="354B4771" w:rsidR="00162224" w:rsidRPr="003037D2" w:rsidRDefault="00162224" w:rsidP="00162224">
      <w:pPr>
        <w:pStyle w:val="Caption"/>
        <w:spacing w:line="360" w:lineRule="auto"/>
        <w:jc w:val="center"/>
        <w:rPr>
          <w:rFonts w:ascii="Garamond" w:hAnsi="Garamond"/>
          <w:color w:val="auto"/>
          <w:sz w:val="24"/>
          <w:szCs w:val="24"/>
        </w:rPr>
      </w:pPr>
      <w:bookmarkStart w:id="143" w:name="_Ref529204050"/>
      <w:bookmarkStart w:id="144" w:name="_Toc3973236"/>
      <w:r w:rsidRPr="003037D2">
        <w:rPr>
          <w:rFonts w:ascii="Garamond" w:hAnsi="Garamond"/>
          <w:color w:val="auto"/>
          <w:sz w:val="24"/>
          <w:szCs w:val="24"/>
        </w:rPr>
        <w:t xml:space="preserve">Figure </w:t>
      </w:r>
      <w:r w:rsidRPr="003037D2">
        <w:rPr>
          <w:rFonts w:ascii="Garamond" w:hAnsi="Garamond"/>
          <w:color w:val="auto"/>
          <w:sz w:val="24"/>
          <w:szCs w:val="24"/>
        </w:rPr>
        <w:fldChar w:fldCharType="begin"/>
      </w:r>
      <w:r w:rsidRPr="003037D2">
        <w:rPr>
          <w:rFonts w:ascii="Garamond" w:hAnsi="Garamond"/>
          <w:color w:val="auto"/>
          <w:sz w:val="24"/>
          <w:szCs w:val="24"/>
        </w:rPr>
        <w:instrText xml:space="preserve"> SEQ Figure \* ARABIC </w:instrText>
      </w:r>
      <w:r w:rsidRPr="003037D2">
        <w:rPr>
          <w:rFonts w:ascii="Garamond" w:hAnsi="Garamond"/>
          <w:color w:val="auto"/>
          <w:sz w:val="24"/>
          <w:szCs w:val="24"/>
        </w:rPr>
        <w:fldChar w:fldCharType="separate"/>
      </w:r>
      <w:r w:rsidR="001117A3" w:rsidRPr="003037D2">
        <w:rPr>
          <w:rFonts w:ascii="Garamond" w:hAnsi="Garamond"/>
          <w:noProof/>
          <w:color w:val="auto"/>
          <w:sz w:val="24"/>
          <w:szCs w:val="24"/>
        </w:rPr>
        <w:t>20</w:t>
      </w:r>
      <w:r w:rsidRPr="003037D2">
        <w:rPr>
          <w:rFonts w:ascii="Garamond" w:hAnsi="Garamond"/>
          <w:color w:val="auto"/>
          <w:sz w:val="24"/>
          <w:szCs w:val="24"/>
        </w:rPr>
        <w:fldChar w:fldCharType="end"/>
      </w:r>
      <w:bookmarkEnd w:id="143"/>
      <w:r w:rsidRPr="003037D2">
        <w:rPr>
          <w:rFonts w:ascii="Garamond" w:hAnsi="Garamond"/>
          <w:color w:val="auto"/>
          <w:sz w:val="24"/>
          <w:szCs w:val="24"/>
        </w:rPr>
        <w:t xml:space="preserve"> The </w:t>
      </w:r>
      <w:proofErr w:type="spellStart"/>
      <w:r w:rsidRPr="003037D2">
        <w:rPr>
          <w:rFonts w:ascii="Garamond" w:hAnsi="Garamond"/>
          <w:color w:val="auto"/>
          <w:sz w:val="24"/>
          <w:szCs w:val="24"/>
        </w:rPr>
        <w:t>Holie</w:t>
      </w:r>
      <w:proofErr w:type="spellEnd"/>
      <w:r w:rsidRPr="003037D2">
        <w:rPr>
          <w:rFonts w:ascii="Garamond" w:hAnsi="Garamond"/>
          <w:color w:val="auto"/>
          <w:sz w:val="24"/>
          <w:szCs w:val="24"/>
        </w:rPr>
        <w:t xml:space="preserve"> Bible (1568) f. 2v</w:t>
      </w:r>
      <w:bookmarkEnd w:id="144"/>
    </w:p>
    <w:p w14:paraId="0078FE5B" w14:textId="77777777" w:rsidR="00162224" w:rsidRPr="003037D2" w:rsidRDefault="00162224" w:rsidP="00162224">
      <w:pPr>
        <w:jc w:val="center"/>
        <w:rPr>
          <w:rFonts w:ascii="Garamond" w:hAnsi="Garamond"/>
          <w:i/>
          <w:iCs/>
          <w:lang w:eastAsia="zh-CN"/>
        </w:rPr>
      </w:pPr>
    </w:p>
    <w:p w14:paraId="3CC2A7C6" w14:textId="77777777" w:rsidR="00162224" w:rsidRPr="003037D2" w:rsidRDefault="00162224" w:rsidP="00162224">
      <w:pPr>
        <w:keepNext/>
        <w:jc w:val="center"/>
        <w:rPr>
          <w:rFonts w:ascii="Garamond" w:hAnsi="Garamond"/>
          <w:i/>
          <w:iCs/>
        </w:rPr>
      </w:pPr>
    </w:p>
    <w:p w14:paraId="12AB320C" w14:textId="77777777" w:rsidR="00162224" w:rsidRPr="003037D2" w:rsidRDefault="00162224" w:rsidP="00162224">
      <w:pPr>
        <w:pStyle w:val="Caption"/>
        <w:jc w:val="center"/>
        <w:rPr>
          <w:rFonts w:ascii="Garamond" w:hAnsi="Garamond"/>
          <w:color w:val="auto"/>
          <w:sz w:val="24"/>
          <w:szCs w:val="24"/>
        </w:rPr>
      </w:pPr>
    </w:p>
    <w:p w14:paraId="4CABB081"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46EE5EA9" wp14:editId="41B24BBE">
            <wp:extent cx="5524500" cy="8134884"/>
            <wp:effectExtent l="0" t="0" r="0" b="0"/>
            <wp:docPr id="62" name="Picture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pic:cNvPicPr>
                      <a:picLocks noGrp="1" noChangeAspect="1"/>
                    </pic:cNvPicPr>
                  </pic:nvPicPr>
                  <pic:blipFill rotWithShape="1">
                    <a:blip r:embed="rId32"/>
                    <a:srcRect t="1110" r="-3" b="9064"/>
                    <a:stretch/>
                  </pic:blipFill>
                  <pic:spPr>
                    <a:xfrm>
                      <a:off x="0" y="0"/>
                      <a:ext cx="5528156" cy="8140267"/>
                    </a:xfrm>
                    <a:prstGeom prst="rect">
                      <a:avLst/>
                    </a:prstGeom>
                    <a:solidFill>
                      <a:schemeClr val="bg1">
                        <a:lumMod val="75000"/>
                      </a:schemeClr>
                    </a:solidFill>
                  </pic:spPr>
                </pic:pic>
              </a:graphicData>
            </a:graphic>
          </wp:inline>
        </w:drawing>
      </w:r>
    </w:p>
    <w:p w14:paraId="719F1CE7" w14:textId="065AD92A" w:rsidR="00162224" w:rsidRPr="003037D2" w:rsidRDefault="00162224" w:rsidP="00162224">
      <w:pPr>
        <w:pStyle w:val="Caption"/>
        <w:spacing w:line="360" w:lineRule="auto"/>
        <w:jc w:val="center"/>
        <w:rPr>
          <w:rFonts w:ascii="Garamond" w:hAnsi="Garamond"/>
          <w:color w:val="auto"/>
          <w:sz w:val="24"/>
          <w:szCs w:val="24"/>
        </w:rPr>
      </w:pPr>
      <w:bookmarkStart w:id="145" w:name="_Ref532208367"/>
      <w:bookmarkStart w:id="146" w:name="_Toc3973237"/>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21</w:t>
      </w:r>
      <w:r w:rsidRPr="003037D2">
        <w:rPr>
          <w:rFonts w:ascii="Garamond" w:hAnsi="Garamond"/>
          <w:noProof/>
          <w:color w:val="auto"/>
          <w:sz w:val="24"/>
          <w:szCs w:val="24"/>
        </w:rPr>
        <w:fldChar w:fldCharType="end"/>
      </w:r>
      <w:bookmarkEnd w:id="145"/>
      <w:r w:rsidRPr="003037D2">
        <w:rPr>
          <w:rFonts w:ascii="Garamond" w:hAnsi="Garamond"/>
          <w:color w:val="auto"/>
          <w:sz w:val="24"/>
          <w:szCs w:val="24"/>
        </w:rPr>
        <w:t xml:space="preserve"> William Perkins, The Golden </w:t>
      </w:r>
      <w:proofErr w:type="spellStart"/>
      <w:r w:rsidRPr="003037D2">
        <w:rPr>
          <w:rFonts w:ascii="Garamond" w:hAnsi="Garamond"/>
          <w:color w:val="auto"/>
          <w:sz w:val="24"/>
          <w:szCs w:val="24"/>
        </w:rPr>
        <w:t>Chaine</w:t>
      </w:r>
      <w:proofErr w:type="spellEnd"/>
      <w:r w:rsidRPr="003037D2">
        <w:rPr>
          <w:rFonts w:ascii="Garamond" w:hAnsi="Garamond"/>
          <w:color w:val="auto"/>
          <w:sz w:val="24"/>
          <w:szCs w:val="24"/>
        </w:rPr>
        <w:t xml:space="preserve"> (1591)</w:t>
      </w:r>
      <w:bookmarkEnd w:id="146"/>
      <w:r w:rsidRPr="003037D2">
        <w:rPr>
          <w:rFonts w:ascii="Garamond" w:hAnsi="Garamond"/>
          <w:color w:val="auto"/>
          <w:sz w:val="24"/>
          <w:szCs w:val="24"/>
        </w:rPr>
        <w:t xml:space="preserve"> </w:t>
      </w:r>
    </w:p>
    <w:p w14:paraId="0024B42C" w14:textId="77777777" w:rsidR="00162224" w:rsidRPr="003037D2" w:rsidRDefault="00162224" w:rsidP="00162224">
      <w:pPr>
        <w:jc w:val="center"/>
        <w:rPr>
          <w:rFonts w:ascii="Garamond" w:hAnsi="Garamond"/>
          <w:i/>
          <w:iCs/>
          <w:lang w:eastAsia="zh-CN"/>
        </w:rPr>
      </w:pPr>
    </w:p>
    <w:p w14:paraId="1B209EFA" w14:textId="77777777" w:rsidR="00162224" w:rsidRPr="003037D2" w:rsidRDefault="00162224" w:rsidP="00162224">
      <w:pPr>
        <w:keepNext/>
        <w:jc w:val="center"/>
        <w:rPr>
          <w:rFonts w:ascii="Garamond" w:hAnsi="Garamond"/>
          <w:i/>
          <w:iCs/>
        </w:rPr>
      </w:pPr>
      <w:r w:rsidRPr="003037D2">
        <w:rPr>
          <w:rFonts w:ascii="Garamond" w:hAnsi="Garamond"/>
          <w:i/>
          <w:iCs/>
          <w:noProof/>
          <w:lang w:val="en-GB" w:eastAsia="zh-CN"/>
        </w:rPr>
        <w:lastRenderedPageBreak/>
        <w:drawing>
          <wp:inline distT="0" distB="0" distL="0" distR="0" wp14:anchorId="70108366" wp14:editId="448DD5EB">
            <wp:extent cx="3615070" cy="6980700"/>
            <wp:effectExtent l="0" t="0" r="4445" b="0"/>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3"/>
                    <a:stretch>
                      <a:fillRect/>
                    </a:stretch>
                  </pic:blipFill>
                  <pic:spPr>
                    <a:xfrm>
                      <a:off x="0" y="0"/>
                      <a:ext cx="3617925" cy="6986213"/>
                    </a:xfrm>
                    <a:prstGeom prst="rect">
                      <a:avLst/>
                    </a:prstGeom>
                  </pic:spPr>
                </pic:pic>
              </a:graphicData>
            </a:graphic>
          </wp:inline>
        </w:drawing>
      </w:r>
    </w:p>
    <w:p w14:paraId="4D7FAFFE" w14:textId="4710AF6D" w:rsidR="00162224" w:rsidRPr="003037D2" w:rsidRDefault="00162224" w:rsidP="00162224">
      <w:pPr>
        <w:pStyle w:val="Caption"/>
        <w:jc w:val="center"/>
        <w:rPr>
          <w:rFonts w:ascii="Garamond" w:hAnsi="Garamond" w:cs="Arial"/>
          <w:color w:val="auto"/>
          <w:sz w:val="24"/>
          <w:szCs w:val="24"/>
          <w:lang w:val="it-IT"/>
        </w:rPr>
      </w:pPr>
      <w:bookmarkStart w:id="147" w:name="_Ref532832705"/>
      <w:bookmarkStart w:id="148" w:name="_Toc3973238"/>
      <w:r w:rsidRPr="003037D2">
        <w:rPr>
          <w:rFonts w:ascii="Garamond" w:hAnsi="Garamond"/>
          <w:color w:val="auto"/>
          <w:sz w:val="24"/>
          <w:szCs w:val="24"/>
          <w:lang w:val="it-IT"/>
        </w:rPr>
        <w:t xml:space="preserve">Figure </w:t>
      </w:r>
      <w:r w:rsidRPr="003037D2">
        <w:rPr>
          <w:rFonts w:ascii="Garamond" w:hAnsi="Garamond"/>
          <w:color w:val="auto"/>
          <w:sz w:val="24"/>
          <w:szCs w:val="24"/>
        </w:rPr>
        <w:fldChar w:fldCharType="begin"/>
      </w:r>
      <w:r w:rsidRPr="003037D2">
        <w:rPr>
          <w:rFonts w:ascii="Garamond" w:hAnsi="Garamond"/>
          <w:color w:val="auto"/>
          <w:sz w:val="24"/>
          <w:szCs w:val="24"/>
          <w:lang w:val="it-IT"/>
        </w:rPr>
        <w:instrText xml:space="preserve"> SEQ Figure \* ARABIC </w:instrText>
      </w:r>
      <w:r w:rsidRPr="003037D2">
        <w:rPr>
          <w:rFonts w:ascii="Garamond" w:hAnsi="Garamond"/>
          <w:color w:val="auto"/>
          <w:sz w:val="24"/>
          <w:szCs w:val="24"/>
        </w:rPr>
        <w:fldChar w:fldCharType="separate"/>
      </w:r>
      <w:r w:rsidR="001117A3" w:rsidRPr="003037D2">
        <w:rPr>
          <w:rFonts w:ascii="Garamond" w:hAnsi="Garamond"/>
          <w:noProof/>
          <w:color w:val="auto"/>
          <w:sz w:val="24"/>
          <w:szCs w:val="24"/>
          <w:lang w:val="it-IT"/>
        </w:rPr>
        <w:t>22</w:t>
      </w:r>
      <w:r w:rsidRPr="003037D2">
        <w:rPr>
          <w:rFonts w:ascii="Garamond" w:hAnsi="Garamond"/>
          <w:color w:val="auto"/>
          <w:sz w:val="24"/>
          <w:szCs w:val="24"/>
        </w:rPr>
        <w:fldChar w:fldCharType="end"/>
      </w:r>
      <w:bookmarkEnd w:id="147"/>
      <w:r w:rsidRPr="003037D2">
        <w:rPr>
          <w:rFonts w:ascii="Garamond" w:hAnsi="Garamond"/>
          <w:color w:val="auto"/>
          <w:sz w:val="24"/>
          <w:szCs w:val="24"/>
          <w:lang w:val="it-IT"/>
        </w:rPr>
        <w:t xml:space="preserve"> </w:t>
      </w:r>
      <w:r w:rsidRPr="003037D2">
        <w:rPr>
          <w:rFonts w:ascii="Garamond" w:hAnsi="Garamond" w:cs="Arial"/>
          <w:color w:val="auto"/>
          <w:sz w:val="24"/>
          <w:szCs w:val="24"/>
          <w:lang w:val="it-IT"/>
        </w:rPr>
        <w:t>Girolamo Di Carpi, ‘</w:t>
      </w:r>
      <w:r w:rsidRPr="003037D2">
        <w:rPr>
          <w:rStyle w:val="il"/>
          <w:rFonts w:ascii="Garamond" w:hAnsi="Garamond" w:cs="Arial"/>
          <w:color w:val="auto"/>
          <w:sz w:val="24"/>
          <w:szCs w:val="24"/>
          <w:lang w:val="it-IT"/>
        </w:rPr>
        <w:t>Kairos</w:t>
      </w:r>
      <w:r w:rsidRPr="003037D2">
        <w:rPr>
          <w:rFonts w:ascii="Garamond" w:hAnsi="Garamond" w:cs="Arial"/>
          <w:color w:val="auto"/>
          <w:sz w:val="24"/>
          <w:szCs w:val="24"/>
          <w:lang w:val="it-IT"/>
        </w:rPr>
        <w:t xml:space="preserve"> et Metanoia’ (1541)</w:t>
      </w:r>
      <w:bookmarkEnd w:id="148"/>
    </w:p>
    <w:p w14:paraId="368F7CF7" w14:textId="77777777" w:rsidR="00162224" w:rsidRPr="003037D2" w:rsidRDefault="00162224" w:rsidP="00162224">
      <w:pPr>
        <w:pStyle w:val="Caption"/>
        <w:jc w:val="center"/>
        <w:rPr>
          <w:rFonts w:ascii="Garamond" w:hAnsi="Garamond" w:cs="Arial"/>
          <w:color w:val="auto"/>
          <w:sz w:val="24"/>
          <w:szCs w:val="24"/>
          <w:lang w:val="de-DE"/>
        </w:rPr>
      </w:pPr>
      <w:r w:rsidRPr="003037D2">
        <w:rPr>
          <w:rFonts w:ascii="Garamond" w:hAnsi="Garamond" w:cs="Arial"/>
          <w:color w:val="auto"/>
          <w:sz w:val="24"/>
          <w:szCs w:val="24"/>
          <w:lang w:val="de-DE"/>
        </w:rPr>
        <w:t>Staatliche Kunstsammlungen Dresden (Dresden State Art Collections)</w:t>
      </w:r>
    </w:p>
    <w:p w14:paraId="39B9D377" w14:textId="77777777" w:rsidR="00162224" w:rsidRPr="003037D2" w:rsidRDefault="00162224" w:rsidP="00162224">
      <w:pPr>
        <w:spacing w:line="360" w:lineRule="auto"/>
        <w:jc w:val="center"/>
        <w:rPr>
          <w:rFonts w:ascii="Garamond" w:hAnsi="Garamond"/>
          <w:i/>
          <w:iCs/>
          <w:lang w:val="de-DE" w:eastAsia="zh-CN"/>
        </w:rPr>
      </w:pPr>
    </w:p>
    <w:p w14:paraId="28F25DDD" w14:textId="77777777" w:rsidR="00162224" w:rsidRPr="003037D2" w:rsidRDefault="00162224" w:rsidP="00162224">
      <w:pPr>
        <w:spacing w:line="360" w:lineRule="auto"/>
        <w:jc w:val="center"/>
        <w:rPr>
          <w:rFonts w:ascii="Garamond" w:hAnsi="Garamond"/>
          <w:i/>
          <w:iCs/>
          <w:lang w:val="de-DE" w:eastAsia="zh-CN"/>
        </w:rPr>
      </w:pPr>
    </w:p>
    <w:p w14:paraId="7507B4C2" w14:textId="77777777" w:rsidR="00162224" w:rsidRPr="003037D2" w:rsidRDefault="00162224" w:rsidP="00162224">
      <w:pPr>
        <w:spacing w:line="360" w:lineRule="auto"/>
        <w:jc w:val="center"/>
        <w:rPr>
          <w:rFonts w:ascii="Garamond" w:hAnsi="Garamond"/>
          <w:i/>
          <w:iCs/>
          <w:lang w:val="de-DE" w:eastAsia="zh-CN"/>
        </w:rPr>
      </w:pPr>
    </w:p>
    <w:p w14:paraId="43AE6FA3" w14:textId="77777777" w:rsidR="00162224" w:rsidRPr="003037D2" w:rsidRDefault="00162224" w:rsidP="00162224">
      <w:pPr>
        <w:keepNext/>
        <w:spacing w:line="360" w:lineRule="auto"/>
        <w:jc w:val="center"/>
        <w:rPr>
          <w:rFonts w:ascii="Garamond" w:hAnsi="Garamond"/>
          <w:i/>
          <w:iCs/>
        </w:rPr>
      </w:pPr>
      <w:r w:rsidRPr="003037D2">
        <w:rPr>
          <w:rFonts w:ascii="Garamond" w:hAnsi="Garamond" w:cstheme="majorBidi"/>
          <w:i/>
          <w:iCs/>
          <w:noProof/>
          <w:lang w:val="en-GB" w:eastAsia="zh-CN"/>
        </w:rPr>
        <w:lastRenderedPageBreak/>
        <w:drawing>
          <wp:inline distT="0" distB="0" distL="0" distR="0" wp14:anchorId="10546793" wp14:editId="111625A8">
            <wp:extent cx="5163055" cy="6146358"/>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rbert_George-Sunday-Early-1852a1160-A7_2_221_-p1.t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73386" cy="6158657"/>
                    </a:xfrm>
                    <a:prstGeom prst="rect">
                      <a:avLst/>
                    </a:prstGeom>
                  </pic:spPr>
                </pic:pic>
              </a:graphicData>
            </a:graphic>
          </wp:inline>
        </w:drawing>
      </w:r>
    </w:p>
    <w:p w14:paraId="15FD8F1E" w14:textId="120A9281" w:rsidR="00162224" w:rsidRPr="003037D2" w:rsidRDefault="00162224" w:rsidP="00162224">
      <w:pPr>
        <w:spacing w:after="200" w:line="360" w:lineRule="auto"/>
        <w:jc w:val="center"/>
        <w:rPr>
          <w:rFonts w:ascii="Garamond" w:eastAsiaTheme="minorEastAsia" w:hAnsi="Garamond"/>
          <w:i/>
          <w:iCs/>
          <w:lang w:eastAsia="zh-CN"/>
        </w:rPr>
      </w:pPr>
      <w:bookmarkStart w:id="149" w:name="_Ref497131099"/>
      <w:bookmarkStart w:id="150" w:name="_Toc3973239"/>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23</w:t>
      </w:r>
      <w:r w:rsidRPr="003037D2">
        <w:rPr>
          <w:rFonts w:ascii="Garamond" w:eastAsiaTheme="minorEastAsia" w:hAnsi="Garamond"/>
          <w:i/>
          <w:iCs/>
          <w:noProof/>
          <w:lang w:eastAsia="zh-CN"/>
        </w:rPr>
        <w:fldChar w:fldCharType="end"/>
      </w:r>
      <w:bookmarkEnd w:id="149"/>
      <w:r w:rsidRPr="003037D2">
        <w:rPr>
          <w:rFonts w:ascii="Garamond" w:eastAsiaTheme="minorEastAsia" w:hAnsi="Garamond"/>
          <w:i/>
          <w:iCs/>
          <w:noProof/>
          <w:lang w:eastAsia="zh-CN"/>
        </w:rPr>
        <w:t xml:space="preserve"> George</w:t>
      </w:r>
      <w:r w:rsidRPr="003037D2">
        <w:rPr>
          <w:rFonts w:ascii="Garamond" w:eastAsiaTheme="minorEastAsia" w:hAnsi="Garamond"/>
          <w:i/>
          <w:iCs/>
          <w:lang w:eastAsia="zh-CN"/>
        </w:rPr>
        <w:t xml:space="preserve"> Herbert, ‘Sunday’ (Religious Tract Society: London, 1856)</w:t>
      </w:r>
      <w:bookmarkEnd w:id="150"/>
    </w:p>
    <w:p w14:paraId="3B682FA4" w14:textId="4EA43CC9" w:rsidR="00162224" w:rsidRPr="003037D2" w:rsidRDefault="00162224" w:rsidP="00162224">
      <w:pPr>
        <w:spacing w:after="200" w:line="360" w:lineRule="auto"/>
        <w:jc w:val="center"/>
        <w:rPr>
          <w:rFonts w:ascii="Garamond" w:eastAsiaTheme="minorEastAsia" w:hAnsi="Garamond"/>
          <w:i/>
          <w:iCs/>
          <w:lang w:eastAsia="zh-CN"/>
        </w:rPr>
      </w:pPr>
      <w:r w:rsidRPr="003037D2">
        <w:rPr>
          <w:rFonts w:ascii="Garamond" w:eastAsiaTheme="minorEastAsia" w:hAnsi="Garamond"/>
          <w:i/>
          <w:iCs/>
          <w:lang w:eastAsia="zh-CN"/>
        </w:rPr>
        <w:t xml:space="preserve">London, British Library, 1852.a.1[160] (Early English Books Online) </w:t>
      </w:r>
    </w:p>
    <w:p w14:paraId="26F873D5" w14:textId="77777777" w:rsidR="00162224" w:rsidRPr="003037D2" w:rsidRDefault="00162224" w:rsidP="00162224">
      <w:pPr>
        <w:spacing w:line="360" w:lineRule="auto"/>
        <w:jc w:val="center"/>
        <w:rPr>
          <w:rFonts w:ascii="Garamond" w:hAnsi="Garamond"/>
          <w:i/>
          <w:iCs/>
        </w:rPr>
      </w:pPr>
    </w:p>
    <w:p w14:paraId="24807046"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19AF5ACD" wp14:editId="773B29DC">
            <wp:extent cx="5603359" cy="5580109"/>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nday in 1633 Temple.gif"/>
                    <pic:cNvPicPr/>
                  </pic:nvPicPr>
                  <pic:blipFill>
                    <a:blip r:embed="rId35">
                      <a:extLst>
                        <a:ext uri="{28A0092B-C50C-407E-A947-70E740481C1C}">
                          <a14:useLocalDpi xmlns:a14="http://schemas.microsoft.com/office/drawing/2010/main" val="0"/>
                        </a:ext>
                      </a:extLst>
                    </a:blip>
                    <a:stretch>
                      <a:fillRect/>
                    </a:stretch>
                  </pic:blipFill>
                  <pic:spPr>
                    <a:xfrm>
                      <a:off x="0" y="0"/>
                      <a:ext cx="5610474" cy="5587194"/>
                    </a:xfrm>
                    <a:prstGeom prst="rect">
                      <a:avLst/>
                    </a:prstGeom>
                  </pic:spPr>
                </pic:pic>
              </a:graphicData>
            </a:graphic>
          </wp:inline>
        </w:drawing>
      </w:r>
    </w:p>
    <w:p w14:paraId="6E5FE240" w14:textId="0DBCBA5F" w:rsidR="00162224" w:rsidRPr="003037D2" w:rsidRDefault="00162224" w:rsidP="00162224">
      <w:pPr>
        <w:spacing w:after="200" w:line="360" w:lineRule="auto"/>
        <w:jc w:val="center"/>
        <w:rPr>
          <w:rFonts w:ascii="Garamond" w:eastAsiaTheme="minorEastAsia" w:hAnsi="Garamond"/>
          <w:i/>
          <w:iCs/>
          <w:lang w:eastAsia="zh-CN"/>
        </w:rPr>
      </w:pPr>
      <w:bookmarkStart w:id="151" w:name="_Ref497131126"/>
      <w:bookmarkStart w:id="152" w:name="_Toc3973240"/>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24</w:t>
      </w:r>
      <w:r w:rsidRPr="003037D2">
        <w:rPr>
          <w:rFonts w:ascii="Garamond" w:eastAsiaTheme="minorEastAsia" w:hAnsi="Garamond"/>
          <w:i/>
          <w:iCs/>
          <w:noProof/>
          <w:lang w:eastAsia="zh-CN"/>
        </w:rPr>
        <w:fldChar w:fldCharType="end"/>
      </w:r>
      <w:bookmarkEnd w:id="151"/>
      <w:r w:rsidRPr="003037D2">
        <w:rPr>
          <w:rFonts w:ascii="Garamond" w:eastAsiaTheme="minorEastAsia" w:hAnsi="Garamond"/>
          <w:i/>
          <w:iCs/>
          <w:noProof/>
          <w:lang w:eastAsia="zh-CN"/>
        </w:rPr>
        <w:t xml:space="preserve"> George Herbert,</w:t>
      </w:r>
      <w:r w:rsidRPr="003037D2">
        <w:rPr>
          <w:rFonts w:ascii="Garamond" w:eastAsiaTheme="minorEastAsia" w:hAnsi="Garamond"/>
          <w:i/>
          <w:iCs/>
          <w:lang w:eastAsia="zh-CN"/>
        </w:rPr>
        <w:t xml:space="preserve"> ‘The Church’ The Temple (Cambridge: 1633), pp. 66-7 (Early English Books Online)</w:t>
      </w:r>
      <w:bookmarkEnd w:id="152"/>
    </w:p>
    <w:p w14:paraId="6F77B39F"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33C1D063" wp14:editId="2D643C5C">
            <wp:extent cx="7647579" cy="5414987"/>
            <wp:effectExtent l="0" t="7620" r="3175"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eter_Brueghel_the_Elder_-_The_Dutch_Proverbs_-_Google_Art_Project.jp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7670385" cy="5431135"/>
                    </a:xfrm>
                    <a:prstGeom prst="rect">
                      <a:avLst/>
                    </a:prstGeom>
                  </pic:spPr>
                </pic:pic>
              </a:graphicData>
            </a:graphic>
          </wp:inline>
        </w:drawing>
      </w:r>
    </w:p>
    <w:p w14:paraId="5E32DD0F" w14:textId="740988EC" w:rsidR="00162224" w:rsidRPr="003037D2" w:rsidRDefault="00162224" w:rsidP="00162224">
      <w:pPr>
        <w:spacing w:after="200" w:line="360" w:lineRule="auto"/>
        <w:jc w:val="center"/>
        <w:rPr>
          <w:rFonts w:ascii="Garamond" w:eastAsiaTheme="minorEastAsia" w:hAnsi="Garamond"/>
          <w:i/>
          <w:iCs/>
          <w:lang w:eastAsia="zh-CN"/>
        </w:rPr>
      </w:pPr>
      <w:bookmarkStart w:id="153" w:name="_Ref506546354"/>
      <w:bookmarkStart w:id="154" w:name="_Ref506546345"/>
      <w:bookmarkStart w:id="155" w:name="_Toc3973241"/>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25</w:t>
      </w:r>
      <w:r w:rsidRPr="003037D2">
        <w:rPr>
          <w:rFonts w:ascii="Garamond" w:eastAsiaTheme="minorEastAsia" w:hAnsi="Garamond"/>
          <w:i/>
          <w:iCs/>
          <w:noProof/>
          <w:lang w:eastAsia="zh-CN"/>
        </w:rPr>
        <w:fldChar w:fldCharType="end"/>
      </w:r>
      <w:bookmarkEnd w:id="153"/>
      <w:r w:rsidRPr="003037D2">
        <w:rPr>
          <w:rFonts w:ascii="Garamond" w:eastAsiaTheme="minorEastAsia" w:hAnsi="Garamond"/>
          <w:i/>
          <w:iCs/>
          <w:lang w:eastAsia="zh-CN"/>
        </w:rPr>
        <w:t xml:space="preserve"> Pieter Brueghel the Elder ‘Netherlandish Proverbs’ (1559) Google Cultural Institute, Public Domain</w:t>
      </w:r>
      <w:bookmarkEnd w:id="154"/>
      <w:bookmarkEnd w:id="155"/>
    </w:p>
    <w:p w14:paraId="605783DB" w14:textId="77777777" w:rsidR="00162224" w:rsidRPr="003037D2" w:rsidRDefault="00162224" w:rsidP="00162224">
      <w:pPr>
        <w:spacing w:after="200" w:line="360" w:lineRule="auto"/>
        <w:jc w:val="center"/>
        <w:rPr>
          <w:rFonts w:ascii="Garamond" w:eastAsiaTheme="minorEastAsia" w:hAnsi="Garamond"/>
          <w:i/>
          <w:iCs/>
          <w:lang w:eastAsia="zh-CN"/>
        </w:rPr>
      </w:pPr>
    </w:p>
    <w:p w14:paraId="186A489F"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796C5974" wp14:editId="4CB0B4A5">
            <wp:extent cx="2965837" cy="2951780"/>
            <wp:effectExtent l="0" t="0" r="635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P-5.jpg"/>
                    <pic:cNvPicPr/>
                  </pic:nvPicPr>
                  <pic:blipFill>
                    <a:blip r:embed="rId37">
                      <a:extLst>
                        <a:ext uri="{28A0092B-C50C-407E-A947-70E740481C1C}">
                          <a14:useLocalDpi xmlns:a14="http://schemas.microsoft.com/office/drawing/2010/main" val="0"/>
                        </a:ext>
                      </a:extLst>
                    </a:blip>
                    <a:stretch>
                      <a:fillRect/>
                    </a:stretch>
                  </pic:blipFill>
                  <pic:spPr>
                    <a:xfrm>
                      <a:off x="0" y="0"/>
                      <a:ext cx="2990790" cy="2976615"/>
                    </a:xfrm>
                    <a:prstGeom prst="rect">
                      <a:avLst/>
                    </a:prstGeom>
                  </pic:spPr>
                </pic:pic>
              </a:graphicData>
            </a:graphic>
          </wp:inline>
        </w:drawing>
      </w:r>
    </w:p>
    <w:p w14:paraId="4070A9FE" w14:textId="5CFA09D7" w:rsidR="00162224" w:rsidRPr="003037D2" w:rsidRDefault="00162224" w:rsidP="00162224">
      <w:pPr>
        <w:spacing w:after="200" w:line="360" w:lineRule="auto"/>
        <w:jc w:val="center"/>
        <w:rPr>
          <w:rFonts w:ascii="Garamond" w:eastAsiaTheme="minorEastAsia" w:hAnsi="Garamond"/>
          <w:i/>
          <w:iCs/>
          <w:noProof/>
          <w:lang w:eastAsia="zh-CN"/>
        </w:rPr>
      </w:pPr>
      <w:bookmarkStart w:id="156" w:name="_Ref506546385"/>
      <w:bookmarkStart w:id="157" w:name="_Toc3973242"/>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26</w:t>
      </w:r>
      <w:r w:rsidRPr="003037D2">
        <w:rPr>
          <w:rFonts w:ascii="Garamond" w:eastAsiaTheme="minorEastAsia" w:hAnsi="Garamond"/>
          <w:i/>
          <w:iCs/>
          <w:noProof/>
          <w:lang w:eastAsia="zh-CN"/>
        </w:rPr>
        <w:fldChar w:fldCharType="end"/>
      </w:r>
      <w:bookmarkEnd w:id="156"/>
      <w:r w:rsidRPr="003037D2">
        <w:rPr>
          <w:rFonts w:ascii="Garamond" w:eastAsiaTheme="minorEastAsia" w:hAnsi="Garamond"/>
          <w:i/>
          <w:iCs/>
          <w:lang w:eastAsia="zh-CN"/>
        </w:rPr>
        <w:t xml:space="preserve"> Detail from ‘Netherlandish Proverbs’ (1559)</w:t>
      </w:r>
      <w:bookmarkEnd w:id="157"/>
    </w:p>
    <w:p w14:paraId="3D3651E3"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drawing>
          <wp:inline distT="0" distB="0" distL="0" distR="0" wp14:anchorId="320F015F" wp14:editId="04B474C7">
            <wp:extent cx="2997641" cy="116981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nagram 1633 cropped.jpg"/>
                    <pic:cNvPicPr/>
                  </pic:nvPicPr>
                  <pic:blipFill>
                    <a:blip r:embed="rId38">
                      <a:extLst>
                        <a:ext uri="{28A0092B-C50C-407E-A947-70E740481C1C}">
                          <a14:useLocalDpi xmlns:a14="http://schemas.microsoft.com/office/drawing/2010/main" val="0"/>
                        </a:ext>
                      </a:extLst>
                    </a:blip>
                    <a:stretch>
                      <a:fillRect/>
                    </a:stretch>
                  </pic:blipFill>
                  <pic:spPr>
                    <a:xfrm>
                      <a:off x="0" y="0"/>
                      <a:ext cx="3061267" cy="1194641"/>
                    </a:xfrm>
                    <a:prstGeom prst="rect">
                      <a:avLst/>
                    </a:prstGeom>
                  </pic:spPr>
                </pic:pic>
              </a:graphicData>
            </a:graphic>
          </wp:inline>
        </w:drawing>
      </w:r>
    </w:p>
    <w:p w14:paraId="67F0386B" w14:textId="57939598" w:rsidR="00162224" w:rsidRPr="003037D2" w:rsidRDefault="00162224" w:rsidP="00162224">
      <w:pPr>
        <w:spacing w:after="200" w:line="360" w:lineRule="auto"/>
        <w:jc w:val="center"/>
        <w:rPr>
          <w:rFonts w:ascii="Garamond" w:eastAsiaTheme="minorEastAsia" w:hAnsi="Garamond"/>
          <w:i/>
          <w:iCs/>
          <w:lang w:eastAsia="zh-CN"/>
        </w:rPr>
      </w:pPr>
      <w:bookmarkStart w:id="158" w:name="_Ref497743403"/>
      <w:bookmarkStart w:id="159" w:name="_Ref497743395"/>
      <w:bookmarkStart w:id="160" w:name="_Toc3973243"/>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27</w:t>
      </w:r>
      <w:r w:rsidRPr="003037D2">
        <w:rPr>
          <w:rFonts w:ascii="Garamond" w:eastAsiaTheme="minorEastAsia" w:hAnsi="Garamond"/>
          <w:i/>
          <w:iCs/>
          <w:noProof/>
          <w:lang w:eastAsia="zh-CN"/>
        </w:rPr>
        <w:fldChar w:fldCharType="end"/>
      </w:r>
      <w:bookmarkEnd w:id="158"/>
      <w:r w:rsidRPr="003037D2">
        <w:rPr>
          <w:rFonts w:ascii="Garamond" w:eastAsiaTheme="minorEastAsia" w:hAnsi="Garamond"/>
          <w:i/>
          <w:iCs/>
          <w:lang w:eastAsia="zh-CN"/>
        </w:rPr>
        <w:t xml:space="preserve"> George Herbert, ‘Anagram’ The Temple (Cambridge: 1633), p. 69</w:t>
      </w:r>
      <w:bookmarkEnd w:id="159"/>
      <w:r w:rsidRPr="003037D2">
        <w:rPr>
          <w:rFonts w:ascii="Garamond" w:eastAsiaTheme="minorEastAsia" w:hAnsi="Garamond"/>
          <w:i/>
          <w:iCs/>
          <w:lang w:eastAsia="zh-CN"/>
        </w:rPr>
        <w:t xml:space="preserve"> (Early English Books Online)</w:t>
      </w:r>
      <w:bookmarkEnd w:id="160"/>
    </w:p>
    <w:p w14:paraId="05B1619A"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drawing>
          <wp:inline distT="0" distB="0" distL="0" distR="0" wp14:anchorId="19F0B2EA" wp14:editId="420C6C76">
            <wp:extent cx="2654787" cy="1975431"/>
            <wp:effectExtent l="0" t="3175"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2589" r="8267" b="6435"/>
                    <a:stretch/>
                  </pic:blipFill>
                  <pic:spPr bwMode="auto">
                    <a:xfrm rot="5400000">
                      <a:off x="0" y="0"/>
                      <a:ext cx="2672102" cy="1988315"/>
                    </a:xfrm>
                    <a:prstGeom prst="rect">
                      <a:avLst/>
                    </a:prstGeom>
                    <a:noFill/>
                    <a:ln>
                      <a:noFill/>
                    </a:ln>
                    <a:extLst>
                      <a:ext uri="{53640926-AAD7-44D8-BBD7-CCE9431645EC}">
                        <a14:shadowObscured xmlns:a14="http://schemas.microsoft.com/office/drawing/2010/main"/>
                      </a:ext>
                    </a:extLst>
                  </pic:spPr>
                </pic:pic>
              </a:graphicData>
            </a:graphic>
          </wp:inline>
        </w:drawing>
      </w:r>
    </w:p>
    <w:p w14:paraId="00FA06AC" w14:textId="69E2175D" w:rsidR="00162224" w:rsidRPr="003037D2" w:rsidRDefault="00162224" w:rsidP="00162224">
      <w:pPr>
        <w:spacing w:after="200" w:line="360" w:lineRule="auto"/>
        <w:jc w:val="center"/>
        <w:rPr>
          <w:rFonts w:ascii="Garamond" w:eastAsiaTheme="minorEastAsia" w:hAnsi="Garamond"/>
          <w:i/>
          <w:iCs/>
          <w:lang w:eastAsia="zh-CN"/>
        </w:rPr>
      </w:pPr>
      <w:bookmarkStart w:id="161" w:name="_Ref499295501"/>
      <w:bookmarkStart w:id="162" w:name="_Toc3973244"/>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28</w:t>
      </w:r>
      <w:r w:rsidRPr="003037D2">
        <w:rPr>
          <w:rFonts w:ascii="Garamond" w:eastAsiaTheme="minorEastAsia" w:hAnsi="Garamond"/>
          <w:i/>
          <w:iCs/>
          <w:noProof/>
          <w:lang w:eastAsia="zh-CN"/>
        </w:rPr>
        <w:fldChar w:fldCharType="end"/>
      </w:r>
      <w:bookmarkEnd w:id="161"/>
      <w:r w:rsidRPr="003037D2">
        <w:rPr>
          <w:rFonts w:ascii="Garamond" w:eastAsiaTheme="minorEastAsia" w:hAnsi="Garamond"/>
          <w:i/>
          <w:iCs/>
          <w:lang w:eastAsia="zh-CN"/>
        </w:rPr>
        <w:t xml:space="preserve"> London, British Library, Add MS 18044, Title Page</w:t>
      </w:r>
      <w:bookmarkEnd w:id="162"/>
    </w:p>
    <w:p w14:paraId="12DEB108"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71A9C035" wp14:editId="183FAD30">
            <wp:extent cx="6829091" cy="5123713"/>
            <wp:effectExtent l="0" t="4445" r="5715"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6850611" cy="5139859"/>
                    </a:xfrm>
                    <a:prstGeom prst="rect">
                      <a:avLst/>
                    </a:prstGeom>
                    <a:noFill/>
                    <a:ln>
                      <a:noFill/>
                    </a:ln>
                  </pic:spPr>
                </pic:pic>
              </a:graphicData>
            </a:graphic>
          </wp:inline>
        </w:drawing>
      </w:r>
    </w:p>
    <w:p w14:paraId="043A2A65" w14:textId="677F31E9" w:rsidR="00162224" w:rsidRPr="003037D2" w:rsidRDefault="00162224" w:rsidP="00162224">
      <w:pPr>
        <w:spacing w:after="200" w:line="360" w:lineRule="auto"/>
        <w:jc w:val="center"/>
        <w:rPr>
          <w:rFonts w:ascii="Garamond" w:eastAsiaTheme="minorEastAsia" w:hAnsi="Garamond"/>
          <w:i/>
          <w:iCs/>
          <w:lang w:eastAsia="zh-CN"/>
        </w:rPr>
      </w:pPr>
      <w:bookmarkStart w:id="163" w:name="_Ref499295520"/>
      <w:bookmarkStart w:id="164" w:name="_Toc3973245"/>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29</w:t>
      </w:r>
      <w:r w:rsidRPr="003037D2">
        <w:rPr>
          <w:rFonts w:ascii="Garamond" w:eastAsiaTheme="minorEastAsia" w:hAnsi="Garamond"/>
          <w:i/>
          <w:iCs/>
          <w:noProof/>
          <w:lang w:eastAsia="zh-CN"/>
        </w:rPr>
        <w:fldChar w:fldCharType="end"/>
      </w:r>
      <w:bookmarkEnd w:id="163"/>
      <w:r w:rsidRPr="003037D2">
        <w:rPr>
          <w:rFonts w:ascii="Garamond" w:eastAsiaTheme="minorEastAsia" w:hAnsi="Garamond"/>
          <w:i/>
          <w:iCs/>
          <w:lang w:eastAsia="zh-CN"/>
        </w:rPr>
        <w:t xml:space="preserve"> London, British Library, Add MS 18044, f. 25r</w:t>
      </w:r>
      <w:bookmarkEnd w:id="164"/>
    </w:p>
    <w:p w14:paraId="4679234B" w14:textId="77777777" w:rsidR="00162224" w:rsidRPr="003037D2" w:rsidRDefault="00162224" w:rsidP="00162224">
      <w:pPr>
        <w:spacing w:line="360" w:lineRule="auto"/>
        <w:jc w:val="center"/>
        <w:rPr>
          <w:rFonts w:ascii="Garamond" w:hAnsi="Garamond"/>
          <w:i/>
          <w:iCs/>
        </w:rPr>
      </w:pPr>
    </w:p>
    <w:p w14:paraId="304BD817" w14:textId="77777777" w:rsidR="00162224" w:rsidRPr="003037D2" w:rsidRDefault="00162224" w:rsidP="00162224">
      <w:pPr>
        <w:keepNext/>
        <w:spacing w:after="200" w:line="360" w:lineRule="auto"/>
        <w:jc w:val="center"/>
        <w:rPr>
          <w:rFonts w:ascii="Garamond" w:eastAsiaTheme="minorEastAsia" w:hAnsi="Garamond"/>
          <w:i/>
          <w:iCs/>
          <w:lang w:eastAsia="zh-CN"/>
        </w:rPr>
      </w:pPr>
      <w:r w:rsidRPr="003037D2">
        <w:rPr>
          <w:rFonts w:ascii="Garamond" w:eastAsiaTheme="minorEastAsia" w:hAnsi="Garamond"/>
          <w:i/>
          <w:iCs/>
          <w:noProof/>
          <w:lang w:val="en-GB" w:eastAsia="zh-CN"/>
        </w:rPr>
        <w:lastRenderedPageBreak/>
        <w:drawing>
          <wp:inline distT="0" distB="0" distL="0" distR="0" wp14:anchorId="5DE3CEB2" wp14:editId="077D6EB7">
            <wp:extent cx="2742594" cy="3675812"/>
            <wp:effectExtent l="0" t="9207"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290.JPG"/>
                    <pic:cNvPicPr/>
                  </pic:nvPicPr>
                  <pic:blipFill rotWithShape="1">
                    <a:blip r:embed="rId41" cstate="print">
                      <a:extLst>
                        <a:ext uri="{28A0092B-C50C-407E-A947-70E740481C1C}">
                          <a14:useLocalDpi xmlns:a14="http://schemas.microsoft.com/office/drawing/2010/main" val="0"/>
                        </a:ext>
                      </a:extLst>
                    </a:blip>
                    <a:srcRect l="48821" t="8539"/>
                    <a:stretch/>
                  </pic:blipFill>
                  <pic:spPr bwMode="auto">
                    <a:xfrm rot="5400000">
                      <a:off x="0" y="0"/>
                      <a:ext cx="2747153" cy="3681923"/>
                    </a:xfrm>
                    <a:prstGeom prst="rect">
                      <a:avLst/>
                    </a:prstGeom>
                    <a:ln>
                      <a:noFill/>
                    </a:ln>
                    <a:extLst>
                      <a:ext uri="{53640926-AAD7-44D8-BBD7-CCE9431645EC}">
                        <a14:shadowObscured xmlns:a14="http://schemas.microsoft.com/office/drawing/2010/main"/>
                      </a:ext>
                    </a:extLst>
                  </pic:spPr>
                </pic:pic>
              </a:graphicData>
            </a:graphic>
          </wp:inline>
        </w:drawing>
      </w:r>
    </w:p>
    <w:p w14:paraId="68ADB26F" w14:textId="008B23D3" w:rsidR="00162224" w:rsidRPr="003037D2" w:rsidRDefault="00162224" w:rsidP="00162224">
      <w:pPr>
        <w:spacing w:after="200" w:line="360" w:lineRule="auto"/>
        <w:jc w:val="center"/>
        <w:rPr>
          <w:rFonts w:ascii="Garamond" w:eastAsiaTheme="minorEastAsia" w:hAnsi="Garamond"/>
          <w:i/>
          <w:iCs/>
          <w:lang w:eastAsia="zh-CN"/>
        </w:rPr>
      </w:pPr>
      <w:bookmarkStart w:id="165" w:name="_Ref499296849"/>
      <w:bookmarkStart w:id="166" w:name="_Toc3973246"/>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30</w:t>
      </w:r>
      <w:r w:rsidRPr="003037D2">
        <w:rPr>
          <w:rFonts w:ascii="Garamond" w:eastAsiaTheme="minorEastAsia" w:hAnsi="Garamond"/>
          <w:i/>
          <w:iCs/>
          <w:noProof/>
          <w:lang w:eastAsia="zh-CN"/>
        </w:rPr>
        <w:fldChar w:fldCharType="end"/>
      </w:r>
      <w:bookmarkEnd w:id="165"/>
      <w:r w:rsidRPr="003037D2">
        <w:rPr>
          <w:rFonts w:ascii="Garamond" w:eastAsiaTheme="minorEastAsia" w:hAnsi="Garamond"/>
          <w:i/>
          <w:iCs/>
          <w:lang w:eastAsia="zh-CN"/>
        </w:rPr>
        <w:t xml:space="preserve"> London, British </w:t>
      </w:r>
      <w:proofErr w:type="gramStart"/>
      <w:r w:rsidRPr="003037D2">
        <w:rPr>
          <w:rFonts w:ascii="Garamond" w:eastAsiaTheme="minorEastAsia" w:hAnsi="Garamond"/>
          <w:i/>
          <w:iCs/>
          <w:lang w:eastAsia="zh-CN"/>
        </w:rPr>
        <w:t>Library,  Add</w:t>
      </w:r>
      <w:proofErr w:type="gramEnd"/>
      <w:r w:rsidRPr="003037D2">
        <w:rPr>
          <w:rFonts w:ascii="Garamond" w:eastAsiaTheme="minorEastAsia" w:hAnsi="Garamond"/>
          <w:i/>
          <w:iCs/>
          <w:lang w:eastAsia="zh-CN"/>
        </w:rPr>
        <w:t xml:space="preserve"> MS 18044, f. 22r</w:t>
      </w:r>
      <w:bookmarkEnd w:id="166"/>
    </w:p>
    <w:p w14:paraId="6AA3427C"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drawing>
          <wp:inline distT="0" distB="0" distL="0" distR="0" wp14:anchorId="720D131B" wp14:editId="7AA2EE96">
            <wp:extent cx="4889770" cy="3668540"/>
            <wp:effectExtent l="0" t="0" r="635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00000">
                      <a:off x="0" y="0"/>
                      <a:ext cx="4891336" cy="3669715"/>
                    </a:xfrm>
                    <a:prstGeom prst="rect">
                      <a:avLst/>
                    </a:prstGeom>
                    <a:noFill/>
                    <a:ln>
                      <a:noFill/>
                    </a:ln>
                  </pic:spPr>
                </pic:pic>
              </a:graphicData>
            </a:graphic>
          </wp:inline>
        </w:drawing>
      </w:r>
    </w:p>
    <w:p w14:paraId="143A7A0C" w14:textId="66B1B5B3" w:rsidR="00162224" w:rsidRPr="003037D2" w:rsidRDefault="00162224" w:rsidP="00162224">
      <w:pPr>
        <w:spacing w:after="200" w:line="360" w:lineRule="auto"/>
        <w:jc w:val="center"/>
        <w:rPr>
          <w:rFonts w:ascii="Garamond" w:eastAsiaTheme="minorEastAsia" w:hAnsi="Garamond"/>
          <w:i/>
          <w:iCs/>
          <w:noProof/>
          <w:lang w:eastAsia="zh-CN"/>
        </w:rPr>
      </w:pPr>
      <w:bookmarkStart w:id="167" w:name="_Ref499300001"/>
      <w:bookmarkStart w:id="168" w:name="_Toc3973247"/>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31</w:t>
      </w:r>
      <w:r w:rsidRPr="003037D2">
        <w:rPr>
          <w:rFonts w:ascii="Garamond" w:eastAsiaTheme="minorEastAsia" w:hAnsi="Garamond"/>
          <w:i/>
          <w:iCs/>
          <w:noProof/>
          <w:lang w:eastAsia="zh-CN"/>
        </w:rPr>
        <w:fldChar w:fldCharType="end"/>
      </w:r>
      <w:bookmarkEnd w:id="167"/>
      <w:r w:rsidRPr="003037D2">
        <w:rPr>
          <w:rFonts w:ascii="Garamond" w:eastAsiaTheme="minorEastAsia" w:hAnsi="Garamond"/>
          <w:i/>
          <w:iCs/>
          <w:lang w:eastAsia="zh-CN"/>
        </w:rPr>
        <w:t xml:space="preserve"> London, British Library, Add MS 18044, f. 175v</w:t>
      </w:r>
      <w:r w:rsidRPr="003037D2">
        <w:rPr>
          <w:rFonts w:ascii="Garamond" w:eastAsiaTheme="minorEastAsia" w:hAnsi="Garamond"/>
          <w:i/>
          <w:iCs/>
          <w:noProof/>
          <w:lang w:eastAsia="zh-CN"/>
        </w:rPr>
        <w:t>, ‘Anagrame’</w:t>
      </w:r>
      <w:bookmarkEnd w:id="168"/>
    </w:p>
    <w:p w14:paraId="2268E086"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57A7F364" wp14:editId="613129C1">
            <wp:extent cx="3922005" cy="5226229"/>
            <wp:effectExtent l="95250" t="76200" r="97790" b="127000"/>
            <wp:docPr id="21" name="Picture 21" descr="C:\Users\egp15cre\Dropbox\PhD\Herbert\Commonplace books MS\Images BL Add MS 18044\IMG_2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gp15cre\Dropbox\PhD\Herbert\Commonplace books MS\Images BL Add MS 18044\IMG_271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23880" cy="5228728"/>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contourClr>
                        <a:srgbClr val="FFFFFF"/>
                      </a:contourClr>
                    </a:sp3d>
                  </pic:spPr>
                </pic:pic>
              </a:graphicData>
            </a:graphic>
          </wp:inline>
        </w:drawing>
      </w:r>
    </w:p>
    <w:p w14:paraId="2C7A3711" w14:textId="40604903" w:rsidR="00162224" w:rsidRPr="003037D2" w:rsidRDefault="00162224" w:rsidP="00162224">
      <w:pPr>
        <w:spacing w:after="200" w:line="360" w:lineRule="auto"/>
        <w:jc w:val="center"/>
        <w:rPr>
          <w:rFonts w:ascii="Garamond" w:eastAsiaTheme="minorEastAsia" w:hAnsi="Garamond"/>
          <w:i/>
          <w:iCs/>
          <w:lang w:eastAsia="zh-CN"/>
        </w:rPr>
      </w:pPr>
      <w:bookmarkStart w:id="169" w:name="_Ref506736434"/>
      <w:bookmarkStart w:id="170" w:name="_Toc3973248"/>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32</w:t>
      </w:r>
      <w:r w:rsidRPr="003037D2">
        <w:rPr>
          <w:rFonts w:ascii="Garamond" w:eastAsiaTheme="minorEastAsia" w:hAnsi="Garamond"/>
          <w:i/>
          <w:iCs/>
          <w:noProof/>
          <w:lang w:eastAsia="zh-CN"/>
        </w:rPr>
        <w:fldChar w:fldCharType="end"/>
      </w:r>
      <w:bookmarkEnd w:id="169"/>
      <w:r w:rsidRPr="003037D2">
        <w:rPr>
          <w:rFonts w:ascii="Garamond" w:eastAsiaTheme="minorEastAsia" w:hAnsi="Garamond"/>
          <w:i/>
          <w:iCs/>
          <w:lang w:eastAsia="zh-CN"/>
        </w:rPr>
        <w:t xml:space="preserve"> London, British </w:t>
      </w:r>
      <w:proofErr w:type="gramStart"/>
      <w:r w:rsidRPr="003037D2">
        <w:rPr>
          <w:rFonts w:ascii="Garamond" w:eastAsiaTheme="minorEastAsia" w:hAnsi="Garamond"/>
          <w:i/>
          <w:iCs/>
          <w:lang w:eastAsia="zh-CN"/>
        </w:rPr>
        <w:t>Library,  Add</w:t>
      </w:r>
      <w:proofErr w:type="gramEnd"/>
      <w:r w:rsidRPr="003037D2">
        <w:rPr>
          <w:rFonts w:ascii="Garamond" w:eastAsiaTheme="minorEastAsia" w:hAnsi="Garamond"/>
          <w:i/>
          <w:iCs/>
          <w:lang w:eastAsia="zh-CN"/>
        </w:rPr>
        <w:t xml:space="preserve"> MS 18044, f. 132r, ‘Paradise’</w:t>
      </w:r>
      <w:bookmarkEnd w:id="170"/>
    </w:p>
    <w:p w14:paraId="679F5E77"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drawing>
          <wp:inline distT="0" distB="0" distL="0" distR="0" wp14:anchorId="361BB691" wp14:editId="6037B044">
            <wp:extent cx="2809301" cy="2046071"/>
            <wp:effectExtent l="0" t="0" r="0" b="0"/>
            <wp:docPr id="23" name="Picture 23" descr="C:\Users\egp15cre\AppData\Local\Microsoft\Windows\Temporary Internet Files\Content.IE5\NJ7V5H2I\Herbert_George-The_temple-STC-13183-890_03-p6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gp15cre\AppData\Local\Microsoft\Windows\Temporary Internet Files\Content.IE5\NJ7V5H2I\Herbert_George-The_temple-STC-13183-890_03-p67.tif"/>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50867" t="64023"/>
                    <a:stretch/>
                  </pic:blipFill>
                  <pic:spPr bwMode="auto">
                    <a:xfrm>
                      <a:off x="0" y="0"/>
                      <a:ext cx="2816060" cy="2050994"/>
                    </a:xfrm>
                    <a:prstGeom prst="rect">
                      <a:avLst/>
                    </a:prstGeom>
                    <a:noFill/>
                    <a:ln>
                      <a:noFill/>
                    </a:ln>
                    <a:extLst>
                      <a:ext uri="{53640926-AAD7-44D8-BBD7-CCE9431645EC}">
                        <a14:shadowObscured xmlns:a14="http://schemas.microsoft.com/office/drawing/2010/main"/>
                      </a:ext>
                    </a:extLst>
                  </pic:spPr>
                </pic:pic>
              </a:graphicData>
            </a:graphic>
          </wp:inline>
        </w:drawing>
      </w:r>
    </w:p>
    <w:p w14:paraId="67F7EC85" w14:textId="77E083D4" w:rsidR="00162224" w:rsidRPr="003037D2" w:rsidRDefault="00162224" w:rsidP="00162224">
      <w:pPr>
        <w:spacing w:after="200" w:line="360" w:lineRule="auto"/>
        <w:jc w:val="center"/>
        <w:rPr>
          <w:rFonts w:ascii="Garamond" w:eastAsiaTheme="minorEastAsia" w:hAnsi="Garamond"/>
          <w:i/>
          <w:iCs/>
          <w:lang w:eastAsia="zh-CN"/>
        </w:rPr>
      </w:pPr>
      <w:bookmarkStart w:id="171" w:name="_Ref506736935"/>
      <w:bookmarkStart w:id="172" w:name="_Toc3973249"/>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33</w:t>
      </w:r>
      <w:r w:rsidRPr="003037D2">
        <w:rPr>
          <w:rFonts w:ascii="Garamond" w:eastAsiaTheme="minorEastAsia" w:hAnsi="Garamond"/>
          <w:i/>
          <w:iCs/>
          <w:noProof/>
          <w:lang w:eastAsia="zh-CN"/>
        </w:rPr>
        <w:fldChar w:fldCharType="end"/>
      </w:r>
      <w:bookmarkEnd w:id="171"/>
      <w:r w:rsidRPr="003037D2">
        <w:rPr>
          <w:rFonts w:ascii="Garamond" w:eastAsiaTheme="minorEastAsia" w:hAnsi="Garamond"/>
          <w:i/>
          <w:iCs/>
          <w:lang w:eastAsia="zh-CN"/>
        </w:rPr>
        <w:t xml:space="preserve"> The Temple (Cambridge: 1633), F3, ‘Paradise’</w:t>
      </w:r>
      <w:bookmarkEnd w:id="172"/>
    </w:p>
    <w:p w14:paraId="2D399CBC"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53720781" wp14:editId="5896C1CB">
            <wp:extent cx="2663825" cy="3646624"/>
            <wp:effectExtent l="4128" t="0" r="7302" b="7303"/>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53508" b="15169"/>
                    <a:stretch/>
                  </pic:blipFill>
                  <pic:spPr bwMode="auto">
                    <a:xfrm rot="5400000">
                      <a:off x="0" y="0"/>
                      <a:ext cx="2664675" cy="3647788"/>
                    </a:xfrm>
                    <a:prstGeom prst="rect">
                      <a:avLst/>
                    </a:prstGeom>
                    <a:noFill/>
                    <a:ln>
                      <a:noFill/>
                    </a:ln>
                    <a:extLst>
                      <a:ext uri="{53640926-AAD7-44D8-BBD7-CCE9431645EC}">
                        <a14:shadowObscured xmlns:a14="http://schemas.microsoft.com/office/drawing/2010/main"/>
                      </a:ext>
                    </a:extLst>
                  </pic:spPr>
                </pic:pic>
              </a:graphicData>
            </a:graphic>
          </wp:inline>
        </w:drawing>
      </w:r>
    </w:p>
    <w:p w14:paraId="163E99C9" w14:textId="29E57894" w:rsidR="00162224" w:rsidRPr="003037D2" w:rsidRDefault="00162224" w:rsidP="00162224">
      <w:pPr>
        <w:spacing w:after="200" w:line="360" w:lineRule="auto"/>
        <w:jc w:val="center"/>
        <w:rPr>
          <w:rFonts w:ascii="Garamond" w:eastAsiaTheme="minorEastAsia" w:hAnsi="Garamond"/>
          <w:i/>
          <w:iCs/>
          <w:lang w:eastAsia="zh-CN"/>
        </w:rPr>
      </w:pPr>
      <w:bookmarkStart w:id="173" w:name="_Ref499300661"/>
      <w:bookmarkStart w:id="174" w:name="_Toc3973250"/>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34</w:t>
      </w:r>
      <w:r w:rsidRPr="003037D2">
        <w:rPr>
          <w:rFonts w:ascii="Garamond" w:eastAsiaTheme="minorEastAsia" w:hAnsi="Garamond"/>
          <w:i/>
          <w:iCs/>
          <w:noProof/>
          <w:lang w:eastAsia="zh-CN"/>
        </w:rPr>
        <w:fldChar w:fldCharType="end"/>
      </w:r>
      <w:bookmarkEnd w:id="173"/>
      <w:r w:rsidRPr="003037D2">
        <w:rPr>
          <w:rFonts w:ascii="Garamond" w:eastAsiaTheme="minorEastAsia" w:hAnsi="Garamond"/>
          <w:i/>
          <w:iCs/>
          <w:lang w:eastAsia="zh-CN"/>
        </w:rPr>
        <w:t xml:space="preserve"> London, British Library, Add MS 18044, f. 177r ‘Colossians 3 </w:t>
      </w:r>
      <w:proofErr w:type="spellStart"/>
      <w:r w:rsidRPr="003037D2">
        <w:rPr>
          <w:rFonts w:ascii="Garamond" w:eastAsiaTheme="minorEastAsia" w:hAnsi="Garamond"/>
          <w:i/>
          <w:iCs/>
          <w:lang w:eastAsia="zh-CN"/>
        </w:rPr>
        <w:t>ver</w:t>
      </w:r>
      <w:proofErr w:type="spellEnd"/>
      <w:r w:rsidRPr="003037D2">
        <w:rPr>
          <w:rFonts w:ascii="Garamond" w:eastAsiaTheme="minorEastAsia" w:hAnsi="Garamond"/>
          <w:i/>
          <w:iCs/>
          <w:lang w:eastAsia="zh-CN"/>
        </w:rPr>
        <w:t xml:space="preserve"> 3’</w:t>
      </w:r>
      <w:bookmarkEnd w:id="174"/>
    </w:p>
    <w:p w14:paraId="7A9E846A"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drawing>
          <wp:inline distT="0" distB="0" distL="0" distR="0" wp14:anchorId="2A957219" wp14:editId="4246EB65">
            <wp:extent cx="3605842" cy="270527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11089" cy="2709213"/>
                    </a:xfrm>
                    <a:prstGeom prst="rect">
                      <a:avLst/>
                    </a:prstGeom>
                    <a:noFill/>
                    <a:ln>
                      <a:noFill/>
                    </a:ln>
                  </pic:spPr>
                </pic:pic>
              </a:graphicData>
            </a:graphic>
          </wp:inline>
        </w:drawing>
      </w:r>
    </w:p>
    <w:p w14:paraId="2E4AD2E4" w14:textId="38207FC9" w:rsidR="00162224" w:rsidRPr="003037D2" w:rsidRDefault="00162224" w:rsidP="00162224">
      <w:pPr>
        <w:spacing w:after="200" w:line="360" w:lineRule="auto"/>
        <w:jc w:val="center"/>
        <w:rPr>
          <w:rFonts w:ascii="Garamond" w:eastAsiaTheme="minorEastAsia" w:hAnsi="Garamond"/>
          <w:i/>
          <w:iCs/>
          <w:lang w:eastAsia="zh-CN"/>
        </w:rPr>
      </w:pPr>
      <w:bookmarkStart w:id="175" w:name="_Ref499301417"/>
      <w:bookmarkStart w:id="176" w:name="_Toc3973251"/>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35</w:t>
      </w:r>
      <w:r w:rsidRPr="003037D2">
        <w:rPr>
          <w:rFonts w:ascii="Garamond" w:eastAsiaTheme="minorEastAsia" w:hAnsi="Garamond"/>
          <w:i/>
          <w:iCs/>
          <w:noProof/>
          <w:lang w:eastAsia="zh-CN"/>
        </w:rPr>
        <w:fldChar w:fldCharType="end"/>
      </w:r>
      <w:bookmarkEnd w:id="175"/>
      <w:r w:rsidRPr="003037D2">
        <w:rPr>
          <w:rFonts w:ascii="Garamond" w:eastAsiaTheme="minorEastAsia" w:hAnsi="Garamond"/>
          <w:i/>
          <w:iCs/>
          <w:lang w:eastAsia="zh-CN"/>
        </w:rPr>
        <w:t xml:space="preserve"> London, British Library, Add MS 18044, f. 180v, ‘JESU’</w:t>
      </w:r>
      <w:bookmarkEnd w:id="176"/>
    </w:p>
    <w:p w14:paraId="07893C63"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drawing>
          <wp:inline distT="0" distB="0" distL="0" distR="0" wp14:anchorId="35C15204" wp14:editId="54743280">
            <wp:extent cx="4155514" cy="183742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28332" b="16943"/>
                    <a:stretch/>
                  </pic:blipFill>
                  <pic:spPr bwMode="auto">
                    <a:xfrm>
                      <a:off x="0" y="0"/>
                      <a:ext cx="4162667" cy="1840589"/>
                    </a:xfrm>
                    <a:prstGeom prst="rect">
                      <a:avLst/>
                    </a:prstGeom>
                    <a:noFill/>
                    <a:ln>
                      <a:noFill/>
                    </a:ln>
                    <a:extLst>
                      <a:ext uri="{53640926-AAD7-44D8-BBD7-CCE9431645EC}">
                        <a14:shadowObscured xmlns:a14="http://schemas.microsoft.com/office/drawing/2010/main"/>
                      </a:ext>
                    </a:extLst>
                  </pic:spPr>
                </pic:pic>
              </a:graphicData>
            </a:graphic>
          </wp:inline>
        </w:drawing>
      </w:r>
    </w:p>
    <w:p w14:paraId="36DE6759" w14:textId="54650253" w:rsidR="00162224" w:rsidRPr="003037D2" w:rsidRDefault="00162224" w:rsidP="00162224">
      <w:pPr>
        <w:spacing w:after="200" w:line="360" w:lineRule="auto"/>
        <w:jc w:val="center"/>
        <w:rPr>
          <w:rFonts w:ascii="Garamond" w:eastAsiaTheme="minorEastAsia" w:hAnsi="Garamond"/>
          <w:i/>
          <w:iCs/>
          <w:lang w:eastAsia="zh-CN"/>
        </w:rPr>
      </w:pPr>
      <w:bookmarkStart w:id="177" w:name="_Ref499470819"/>
      <w:bookmarkStart w:id="178" w:name="_Toc3973252"/>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36</w:t>
      </w:r>
      <w:r w:rsidRPr="003037D2">
        <w:rPr>
          <w:rFonts w:ascii="Garamond" w:eastAsiaTheme="minorEastAsia" w:hAnsi="Garamond"/>
          <w:i/>
          <w:iCs/>
          <w:noProof/>
          <w:lang w:eastAsia="zh-CN"/>
        </w:rPr>
        <w:fldChar w:fldCharType="end"/>
      </w:r>
      <w:bookmarkEnd w:id="177"/>
      <w:r w:rsidRPr="003037D2">
        <w:rPr>
          <w:rFonts w:ascii="Garamond" w:eastAsiaTheme="minorEastAsia" w:hAnsi="Garamond"/>
          <w:i/>
          <w:iCs/>
          <w:lang w:eastAsia="zh-CN"/>
        </w:rPr>
        <w:t xml:space="preserve"> London, British Library, Add MS 18044, f.181r ‘Love-Joy’</w:t>
      </w:r>
      <w:bookmarkEnd w:id="178"/>
    </w:p>
    <w:p w14:paraId="0D2FA2D1"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08C24A8B" wp14:editId="20B27B82">
            <wp:extent cx="5914854" cy="4236598"/>
            <wp:effectExtent l="952"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tenham_George-The_arte_of_English_poesie pp.76-7 .tif"/>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5939753" cy="4254432"/>
                    </a:xfrm>
                    <a:prstGeom prst="rect">
                      <a:avLst/>
                    </a:prstGeom>
                  </pic:spPr>
                </pic:pic>
              </a:graphicData>
            </a:graphic>
          </wp:inline>
        </w:drawing>
      </w:r>
    </w:p>
    <w:p w14:paraId="7785EB76" w14:textId="2FEDD550" w:rsidR="00162224" w:rsidRPr="003037D2" w:rsidRDefault="00162224" w:rsidP="00162224">
      <w:pPr>
        <w:spacing w:after="200" w:line="360" w:lineRule="auto"/>
        <w:jc w:val="center"/>
        <w:rPr>
          <w:rFonts w:ascii="Garamond" w:eastAsiaTheme="minorEastAsia" w:hAnsi="Garamond"/>
          <w:i/>
          <w:iCs/>
          <w:noProof/>
          <w:lang w:eastAsia="zh-CN"/>
        </w:rPr>
      </w:pPr>
      <w:bookmarkStart w:id="179" w:name="_Ref506992201"/>
      <w:bookmarkStart w:id="180" w:name="_Toc3973253"/>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37</w:t>
      </w:r>
      <w:r w:rsidRPr="003037D2">
        <w:rPr>
          <w:rFonts w:ascii="Garamond" w:eastAsiaTheme="minorEastAsia" w:hAnsi="Garamond"/>
          <w:i/>
          <w:iCs/>
          <w:noProof/>
          <w:lang w:eastAsia="zh-CN"/>
        </w:rPr>
        <w:fldChar w:fldCharType="end"/>
      </w:r>
      <w:bookmarkEnd w:id="179"/>
      <w:r w:rsidRPr="003037D2">
        <w:rPr>
          <w:rFonts w:ascii="Garamond" w:eastAsiaTheme="minorEastAsia" w:hAnsi="Garamond"/>
          <w:i/>
          <w:iCs/>
          <w:noProof/>
          <w:lang w:eastAsia="zh-CN"/>
        </w:rPr>
        <w:t xml:space="preserve"> George Puttenham, The Arte of Eglish Poesie (London: 1589), pp. 76-7 (Early English Books online)</w:t>
      </w:r>
      <w:bookmarkEnd w:id="180"/>
    </w:p>
    <w:p w14:paraId="67A70F44"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7A38E8DD" wp14:editId="744A60CA">
            <wp:extent cx="7290954" cy="4938401"/>
            <wp:effectExtent l="0" t="5080" r="635" b="635"/>
            <wp:docPr id="29" name="Picture 29" descr="C:\Users\egp15cre\AppData\Local\Microsoft\Windows\Temporary Internet Files\Content.IE5\QDLOPQ30\Watson_Thomas-The_hekatompathia_or_Passionate-STC-25118a-400_12-p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gp15cre\AppData\Local\Microsoft\Windows\Temporary Internet Files\Content.IE5\QDLOPQ30\Watson_Thomas-The_hekatompathia_or_Passionate-STC-25118a-400_12-p49.tif"/>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10180"/>
                    <a:stretch/>
                  </pic:blipFill>
                  <pic:spPr bwMode="auto">
                    <a:xfrm rot="5400000">
                      <a:off x="0" y="0"/>
                      <a:ext cx="7302102" cy="4945952"/>
                    </a:xfrm>
                    <a:prstGeom prst="rect">
                      <a:avLst/>
                    </a:prstGeom>
                    <a:noFill/>
                    <a:ln>
                      <a:noFill/>
                    </a:ln>
                    <a:extLst>
                      <a:ext uri="{53640926-AAD7-44D8-BBD7-CCE9431645EC}">
                        <a14:shadowObscured xmlns:a14="http://schemas.microsoft.com/office/drawing/2010/main"/>
                      </a:ext>
                    </a:extLst>
                  </pic:spPr>
                </pic:pic>
              </a:graphicData>
            </a:graphic>
          </wp:inline>
        </w:drawing>
      </w:r>
    </w:p>
    <w:p w14:paraId="0F019838" w14:textId="1C332F1C" w:rsidR="00162224" w:rsidRPr="003037D2" w:rsidRDefault="00162224" w:rsidP="00162224">
      <w:pPr>
        <w:spacing w:after="200" w:line="360" w:lineRule="auto"/>
        <w:jc w:val="center"/>
        <w:rPr>
          <w:rFonts w:ascii="Garamond" w:eastAsiaTheme="minorEastAsia" w:hAnsi="Garamond"/>
          <w:i/>
          <w:iCs/>
          <w:lang w:eastAsia="zh-CN"/>
        </w:rPr>
      </w:pPr>
      <w:bookmarkStart w:id="181" w:name="_Ref506993078"/>
      <w:bookmarkStart w:id="182" w:name="_Toc3973254"/>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38</w:t>
      </w:r>
      <w:r w:rsidRPr="003037D2">
        <w:rPr>
          <w:rFonts w:ascii="Garamond" w:eastAsiaTheme="minorEastAsia" w:hAnsi="Garamond"/>
          <w:i/>
          <w:iCs/>
          <w:noProof/>
          <w:lang w:eastAsia="zh-CN"/>
        </w:rPr>
        <w:fldChar w:fldCharType="end"/>
      </w:r>
      <w:bookmarkEnd w:id="181"/>
      <w:r w:rsidRPr="003037D2">
        <w:rPr>
          <w:rFonts w:ascii="Garamond" w:eastAsiaTheme="minorEastAsia" w:hAnsi="Garamond"/>
          <w:i/>
          <w:iCs/>
          <w:lang w:eastAsia="zh-CN"/>
        </w:rPr>
        <w:t xml:space="preserve"> Thomas Watson, ‘A </w:t>
      </w:r>
      <w:proofErr w:type="spellStart"/>
      <w:r w:rsidRPr="003037D2">
        <w:rPr>
          <w:rFonts w:ascii="Garamond" w:eastAsiaTheme="minorEastAsia" w:hAnsi="Garamond"/>
          <w:i/>
          <w:iCs/>
          <w:lang w:eastAsia="zh-CN"/>
        </w:rPr>
        <w:t>Pasquine</w:t>
      </w:r>
      <w:proofErr w:type="spellEnd"/>
      <w:r w:rsidRPr="003037D2">
        <w:rPr>
          <w:rFonts w:ascii="Garamond" w:eastAsiaTheme="minorEastAsia" w:hAnsi="Garamond"/>
          <w:i/>
          <w:iCs/>
          <w:lang w:eastAsia="zh-CN"/>
        </w:rPr>
        <w:t xml:space="preserve"> </w:t>
      </w:r>
      <w:proofErr w:type="spellStart"/>
      <w:r w:rsidRPr="003037D2">
        <w:rPr>
          <w:rFonts w:ascii="Garamond" w:eastAsiaTheme="minorEastAsia" w:hAnsi="Garamond"/>
          <w:i/>
          <w:iCs/>
          <w:lang w:eastAsia="zh-CN"/>
        </w:rPr>
        <w:t>Piller</w:t>
      </w:r>
      <w:proofErr w:type="spellEnd"/>
      <w:r w:rsidRPr="003037D2">
        <w:rPr>
          <w:rFonts w:ascii="Garamond" w:eastAsiaTheme="minorEastAsia" w:hAnsi="Garamond"/>
          <w:i/>
          <w:iCs/>
          <w:lang w:eastAsia="zh-CN"/>
        </w:rPr>
        <w:t xml:space="preserve">’ in </w:t>
      </w:r>
      <w:proofErr w:type="spellStart"/>
      <w:r w:rsidRPr="003037D2">
        <w:rPr>
          <w:rFonts w:ascii="Garamond" w:eastAsiaTheme="minorEastAsia" w:hAnsi="Garamond"/>
          <w:i/>
          <w:iCs/>
          <w:lang w:eastAsia="zh-CN"/>
        </w:rPr>
        <w:t>Hekatompathia</w:t>
      </w:r>
      <w:proofErr w:type="spellEnd"/>
      <w:r w:rsidRPr="003037D2">
        <w:rPr>
          <w:rFonts w:ascii="Garamond" w:eastAsiaTheme="minorEastAsia" w:hAnsi="Garamond"/>
          <w:i/>
          <w:iCs/>
          <w:lang w:eastAsia="zh-CN"/>
        </w:rPr>
        <w:t xml:space="preserve"> (1582), K4v-L1r (Early English Books Online)</w:t>
      </w:r>
      <w:bookmarkEnd w:id="182"/>
    </w:p>
    <w:p w14:paraId="4B396121"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647024FC" wp14:editId="3D47BE46">
            <wp:extent cx="6879592" cy="4455042"/>
            <wp:effectExtent l="0" t="6668"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illet D4r-v cropped.jpg"/>
                    <pic:cNvPicPr/>
                  </pic:nvPicPr>
                  <pic:blipFill>
                    <a:blip r:embed="rId50">
                      <a:extLst>
                        <a:ext uri="{28A0092B-C50C-407E-A947-70E740481C1C}">
                          <a14:useLocalDpi xmlns:a14="http://schemas.microsoft.com/office/drawing/2010/main" val="0"/>
                        </a:ext>
                      </a:extLst>
                    </a:blip>
                    <a:stretch>
                      <a:fillRect/>
                    </a:stretch>
                  </pic:blipFill>
                  <pic:spPr>
                    <a:xfrm rot="5400000">
                      <a:off x="0" y="0"/>
                      <a:ext cx="6894012" cy="4464380"/>
                    </a:xfrm>
                    <a:prstGeom prst="rect">
                      <a:avLst/>
                    </a:prstGeom>
                  </pic:spPr>
                </pic:pic>
              </a:graphicData>
            </a:graphic>
          </wp:inline>
        </w:drawing>
      </w:r>
    </w:p>
    <w:p w14:paraId="734FFF15" w14:textId="54BCE258" w:rsidR="00162224" w:rsidRPr="003037D2" w:rsidRDefault="00162224" w:rsidP="00162224">
      <w:pPr>
        <w:spacing w:after="200" w:line="360" w:lineRule="auto"/>
        <w:jc w:val="center"/>
        <w:rPr>
          <w:rFonts w:ascii="Garamond" w:eastAsiaTheme="minorEastAsia" w:hAnsi="Garamond"/>
          <w:i/>
          <w:iCs/>
          <w:lang w:eastAsia="zh-CN"/>
        </w:rPr>
      </w:pPr>
      <w:bookmarkStart w:id="183" w:name="_Ref506973082"/>
      <w:bookmarkStart w:id="184" w:name="_Toc3973255"/>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39</w:t>
      </w:r>
      <w:r w:rsidRPr="003037D2">
        <w:rPr>
          <w:rFonts w:ascii="Garamond" w:eastAsiaTheme="minorEastAsia" w:hAnsi="Garamond"/>
          <w:i/>
          <w:iCs/>
          <w:noProof/>
          <w:lang w:eastAsia="zh-CN"/>
        </w:rPr>
        <w:fldChar w:fldCharType="end"/>
      </w:r>
      <w:bookmarkEnd w:id="183"/>
      <w:r w:rsidRPr="003037D2">
        <w:rPr>
          <w:rFonts w:ascii="Garamond" w:eastAsiaTheme="minorEastAsia" w:hAnsi="Garamond"/>
          <w:i/>
          <w:iCs/>
          <w:lang w:eastAsia="zh-CN"/>
        </w:rPr>
        <w:t xml:space="preserve"> Andrew Willet, </w:t>
      </w:r>
      <w:proofErr w:type="spellStart"/>
      <w:r w:rsidRPr="003037D2">
        <w:rPr>
          <w:rFonts w:ascii="Garamond" w:eastAsiaTheme="minorEastAsia" w:hAnsi="Garamond"/>
          <w:i/>
          <w:iCs/>
          <w:lang w:eastAsia="zh-CN"/>
        </w:rPr>
        <w:t>Sacrorum</w:t>
      </w:r>
      <w:proofErr w:type="spellEnd"/>
      <w:r w:rsidRPr="003037D2">
        <w:rPr>
          <w:rFonts w:ascii="Garamond" w:eastAsiaTheme="minorEastAsia" w:hAnsi="Garamond"/>
          <w:i/>
          <w:iCs/>
          <w:lang w:eastAsia="zh-CN"/>
        </w:rPr>
        <w:t xml:space="preserve"> </w:t>
      </w:r>
      <w:proofErr w:type="spellStart"/>
      <w:r w:rsidRPr="003037D2">
        <w:rPr>
          <w:rFonts w:ascii="Garamond" w:eastAsiaTheme="minorEastAsia" w:hAnsi="Garamond"/>
          <w:i/>
          <w:iCs/>
          <w:lang w:eastAsia="zh-CN"/>
        </w:rPr>
        <w:t>Emblematum</w:t>
      </w:r>
      <w:proofErr w:type="spellEnd"/>
      <w:r w:rsidRPr="003037D2">
        <w:rPr>
          <w:rFonts w:ascii="Garamond" w:eastAsiaTheme="minorEastAsia" w:hAnsi="Garamond"/>
          <w:i/>
          <w:iCs/>
          <w:lang w:eastAsia="zh-CN"/>
        </w:rPr>
        <w:t xml:space="preserve"> (Cambridge: 1596) D4r-v </w:t>
      </w:r>
      <w:bookmarkEnd w:id="184"/>
      <w:r w:rsidR="0065623B" w:rsidRPr="003037D2">
        <w:rPr>
          <w:rFonts w:ascii="Garamond" w:eastAsiaTheme="minorEastAsia" w:hAnsi="Garamond"/>
          <w:i/>
          <w:iCs/>
          <w:lang w:eastAsia="zh-CN"/>
        </w:rPr>
        <w:t>(Early English Books Online)</w:t>
      </w:r>
    </w:p>
    <w:p w14:paraId="5EF9CF80"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045B5E66" wp14:editId="40410FCC">
            <wp:extent cx="7034198" cy="5029200"/>
            <wp:effectExtent l="0" t="7302" r="7302" b="7303"/>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illet_Andrew-Sacrorum_emblematum_centuria_vna-STC-25695-553_08-p5.tif"/>
                    <pic:cNvPicPr/>
                  </pic:nvPicPr>
                  <pic:blipFill rotWithShape="1">
                    <a:blip r:embed="rId51" cstate="print">
                      <a:extLst>
                        <a:ext uri="{28A0092B-C50C-407E-A947-70E740481C1C}">
                          <a14:useLocalDpi xmlns:a14="http://schemas.microsoft.com/office/drawing/2010/main" val="0"/>
                        </a:ext>
                      </a:extLst>
                    </a:blip>
                    <a:srcRect l="7118" t="6303" r="5854" b="9612"/>
                    <a:stretch/>
                  </pic:blipFill>
                  <pic:spPr bwMode="auto">
                    <a:xfrm rot="5400000">
                      <a:off x="0" y="0"/>
                      <a:ext cx="7051240" cy="5041384"/>
                    </a:xfrm>
                    <a:prstGeom prst="rect">
                      <a:avLst/>
                    </a:prstGeom>
                    <a:ln>
                      <a:noFill/>
                    </a:ln>
                    <a:extLst>
                      <a:ext uri="{53640926-AAD7-44D8-BBD7-CCE9431645EC}">
                        <a14:shadowObscured xmlns:a14="http://schemas.microsoft.com/office/drawing/2010/main"/>
                      </a:ext>
                    </a:extLst>
                  </pic:spPr>
                </pic:pic>
              </a:graphicData>
            </a:graphic>
          </wp:inline>
        </w:drawing>
      </w:r>
    </w:p>
    <w:p w14:paraId="41F38A09" w14:textId="10C79C1E" w:rsidR="0065623B" w:rsidRPr="003037D2" w:rsidRDefault="00162224" w:rsidP="00162224">
      <w:pPr>
        <w:spacing w:after="200" w:line="360" w:lineRule="auto"/>
        <w:jc w:val="center"/>
        <w:rPr>
          <w:rFonts w:ascii="Garamond" w:eastAsiaTheme="minorEastAsia" w:hAnsi="Garamond"/>
          <w:i/>
          <w:iCs/>
          <w:noProof/>
          <w:lang w:eastAsia="zh-CN"/>
        </w:rPr>
      </w:pPr>
      <w:bookmarkStart w:id="185" w:name="_Ref506973086"/>
      <w:bookmarkStart w:id="186" w:name="_Toc3973256"/>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40</w:t>
      </w:r>
      <w:r w:rsidRPr="003037D2">
        <w:rPr>
          <w:rFonts w:ascii="Garamond" w:eastAsiaTheme="minorEastAsia" w:hAnsi="Garamond"/>
          <w:i/>
          <w:iCs/>
          <w:noProof/>
          <w:lang w:eastAsia="zh-CN"/>
        </w:rPr>
        <w:fldChar w:fldCharType="end"/>
      </w:r>
      <w:bookmarkEnd w:id="185"/>
      <w:r w:rsidRPr="003037D2">
        <w:rPr>
          <w:rFonts w:ascii="Garamond" w:eastAsiaTheme="minorEastAsia" w:hAnsi="Garamond"/>
          <w:i/>
          <w:iCs/>
          <w:lang w:eastAsia="zh-CN"/>
        </w:rPr>
        <w:t xml:space="preserve"> Andrew Willet, </w:t>
      </w:r>
      <w:proofErr w:type="spellStart"/>
      <w:r w:rsidRPr="003037D2">
        <w:rPr>
          <w:rFonts w:ascii="Garamond" w:eastAsiaTheme="minorEastAsia" w:hAnsi="Garamond"/>
          <w:i/>
          <w:iCs/>
          <w:lang w:eastAsia="zh-CN"/>
        </w:rPr>
        <w:t>Sacrorum</w:t>
      </w:r>
      <w:proofErr w:type="spellEnd"/>
      <w:r w:rsidRPr="003037D2">
        <w:rPr>
          <w:rFonts w:ascii="Garamond" w:eastAsiaTheme="minorEastAsia" w:hAnsi="Garamond"/>
          <w:i/>
          <w:iCs/>
          <w:lang w:eastAsia="zh-CN"/>
        </w:rPr>
        <w:t xml:space="preserve"> </w:t>
      </w:r>
      <w:proofErr w:type="spellStart"/>
      <w:r w:rsidRPr="003037D2">
        <w:rPr>
          <w:rFonts w:ascii="Garamond" w:eastAsiaTheme="minorEastAsia" w:hAnsi="Garamond"/>
          <w:i/>
          <w:iCs/>
          <w:lang w:eastAsia="zh-CN"/>
        </w:rPr>
        <w:t>Emblematum</w:t>
      </w:r>
      <w:proofErr w:type="spellEnd"/>
      <w:r w:rsidRPr="003037D2">
        <w:rPr>
          <w:rFonts w:ascii="Garamond" w:eastAsiaTheme="minorEastAsia" w:hAnsi="Garamond"/>
          <w:i/>
          <w:iCs/>
          <w:lang w:eastAsia="zh-CN"/>
        </w:rPr>
        <w:t xml:space="preserve"> (Cambridge: 1596)</w:t>
      </w:r>
      <w:r w:rsidRPr="003037D2">
        <w:rPr>
          <w:rFonts w:ascii="Garamond" w:eastAsiaTheme="minorEastAsia" w:hAnsi="Garamond"/>
          <w:i/>
          <w:iCs/>
          <w:noProof/>
          <w:lang w:eastAsia="zh-CN"/>
        </w:rPr>
        <w:t xml:space="preserve"> A4v-B1r</w:t>
      </w:r>
      <w:bookmarkEnd w:id="186"/>
      <w:r w:rsidR="0065623B">
        <w:rPr>
          <w:rFonts w:ascii="Garamond" w:eastAsiaTheme="minorEastAsia" w:hAnsi="Garamond"/>
          <w:i/>
          <w:iCs/>
          <w:noProof/>
          <w:lang w:eastAsia="zh-CN"/>
        </w:rPr>
        <w:t xml:space="preserve"> </w:t>
      </w:r>
      <w:r w:rsidR="0065623B" w:rsidRPr="003037D2">
        <w:rPr>
          <w:rFonts w:ascii="Garamond" w:eastAsiaTheme="minorEastAsia" w:hAnsi="Garamond"/>
          <w:i/>
          <w:iCs/>
          <w:lang w:eastAsia="zh-CN"/>
        </w:rPr>
        <w:t>(Early English Books Online)</w:t>
      </w:r>
    </w:p>
    <w:p w14:paraId="279E4D62"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1B07ED6A" wp14:editId="1A2BA8FE">
            <wp:extent cx="4274289" cy="6126303"/>
            <wp:effectExtent l="0" t="0" r="0" b="8255"/>
            <wp:docPr id="25" name="Picture 25" descr="\\stfdata06\home\EG\Egp15cre\ManW7\Downloads\Vicars_John-God_in_the_mount_Or_Englands_remembrancer-Wing-V307-20_E_112_25_-p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fdata06\home\EG\Egp15cre\ManW7\Downloads\Vicars_John-God_in_the_mount_Or_Englands_remembrancer-Wing-V307-20_E_112_25_-p3.tif"/>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53279" t="3075" r="2411" b="140"/>
                    <a:stretch/>
                  </pic:blipFill>
                  <pic:spPr bwMode="auto">
                    <a:xfrm>
                      <a:off x="0" y="0"/>
                      <a:ext cx="4290909" cy="6150125"/>
                    </a:xfrm>
                    <a:prstGeom prst="rect">
                      <a:avLst/>
                    </a:prstGeom>
                    <a:noFill/>
                    <a:ln>
                      <a:noFill/>
                    </a:ln>
                    <a:extLst>
                      <a:ext uri="{53640926-AAD7-44D8-BBD7-CCE9431645EC}">
                        <a14:shadowObscured xmlns:a14="http://schemas.microsoft.com/office/drawing/2010/main"/>
                      </a:ext>
                    </a:extLst>
                  </pic:spPr>
                </pic:pic>
              </a:graphicData>
            </a:graphic>
          </wp:inline>
        </w:drawing>
      </w:r>
    </w:p>
    <w:p w14:paraId="7F0B71CE" w14:textId="56752E9C" w:rsidR="00162224" w:rsidRPr="003037D2" w:rsidRDefault="00162224" w:rsidP="00162224">
      <w:pPr>
        <w:spacing w:after="200" w:line="360" w:lineRule="auto"/>
        <w:jc w:val="center"/>
        <w:rPr>
          <w:rFonts w:ascii="Garamond" w:eastAsiaTheme="minorEastAsia" w:hAnsi="Garamond"/>
          <w:i/>
          <w:iCs/>
          <w:lang w:eastAsia="zh-CN"/>
        </w:rPr>
      </w:pPr>
      <w:bookmarkStart w:id="187" w:name="_Ref506991238"/>
      <w:bookmarkStart w:id="188" w:name="_Toc3973257"/>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41</w:t>
      </w:r>
      <w:r w:rsidRPr="003037D2">
        <w:rPr>
          <w:rFonts w:ascii="Garamond" w:eastAsiaTheme="minorEastAsia" w:hAnsi="Garamond"/>
          <w:i/>
          <w:iCs/>
          <w:noProof/>
          <w:lang w:eastAsia="zh-CN"/>
        </w:rPr>
        <w:fldChar w:fldCharType="end"/>
      </w:r>
      <w:bookmarkEnd w:id="187"/>
      <w:r w:rsidRPr="003037D2">
        <w:rPr>
          <w:rFonts w:ascii="Garamond" w:eastAsiaTheme="minorEastAsia" w:hAnsi="Garamond"/>
          <w:i/>
          <w:iCs/>
          <w:lang w:eastAsia="zh-CN"/>
        </w:rPr>
        <w:t xml:space="preserve"> John Vicars, God in the mount. Or, </w:t>
      </w:r>
      <w:proofErr w:type="spellStart"/>
      <w:r w:rsidRPr="003037D2">
        <w:rPr>
          <w:rFonts w:ascii="Garamond" w:eastAsiaTheme="minorEastAsia" w:hAnsi="Garamond"/>
          <w:i/>
          <w:iCs/>
          <w:lang w:eastAsia="zh-CN"/>
        </w:rPr>
        <w:t>Englands</w:t>
      </w:r>
      <w:proofErr w:type="spellEnd"/>
      <w:r w:rsidRPr="003037D2">
        <w:rPr>
          <w:rFonts w:ascii="Garamond" w:eastAsiaTheme="minorEastAsia" w:hAnsi="Garamond"/>
          <w:i/>
          <w:iCs/>
          <w:lang w:eastAsia="zh-CN"/>
        </w:rPr>
        <w:t xml:space="preserve"> Remembrancer (London: 1641/2) A3 (Early English Books Online)</w:t>
      </w:r>
      <w:bookmarkEnd w:id="188"/>
    </w:p>
    <w:p w14:paraId="7519D76E" w14:textId="77777777" w:rsidR="00162224" w:rsidRPr="003037D2" w:rsidRDefault="00162224" w:rsidP="00162224">
      <w:pPr>
        <w:spacing w:line="360" w:lineRule="auto"/>
        <w:jc w:val="center"/>
        <w:rPr>
          <w:rFonts w:ascii="Garamond" w:hAnsi="Garamond"/>
          <w:i/>
          <w:iCs/>
        </w:rPr>
      </w:pPr>
    </w:p>
    <w:p w14:paraId="7B6A90DE"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17FED591" wp14:editId="2653E57B">
            <wp:extent cx="4610100" cy="6813571"/>
            <wp:effectExtent l="0" t="0" r="0" b="6350"/>
            <wp:docPr id="26" name="Picture 26" descr="C:\Users\egp15cre\AppData\Local\Microsoft\Windows\Temporary Internet Files\Content.IE5\QDLOPQ30\Vicars_John-God_in_the_mount_Or_Englands_remembrancer-Wing-V307-20_E_112_25_-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gp15cre\AppData\Local\Microsoft\Windows\Temporary Internet Files\Content.IE5\QDLOPQ30\Vicars_John-God_in_the_mount_Or_Englands_remembrancer-Wing-V307-20_E_112_25_-p1.tif"/>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53393" r="2240"/>
                    <a:stretch/>
                  </pic:blipFill>
                  <pic:spPr bwMode="auto">
                    <a:xfrm>
                      <a:off x="0" y="0"/>
                      <a:ext cx="4610208" cy="6813731"/>
                    </a:xfrm>
                    <a:prstGeom prst="rect">
                      <a:avLst/>
                    </a:prstGeom>
                    <a:noFill/>
                    <a:ln>
                      <a:noFill/>
                    </a:ln>
                    <a:extLst>
                      <a:ext uri="{53640926-AAD7-44D8-BBD7-CCE9431645EC}">
                        <a14:shadowObscured xmlns:a14="http://schemas.microsoft.com/office/drawing/2010/main"/>
                      </a:ext>
                    </a:extLst>
                  </pic:spPr>
                </pic:pic>
              </a:graphicData>
            </a:graphic>
          </wp:inline>
        </w:drawing>
      </w:r>
    </w:p>
    <w:p w14:paraId="424482DE" w14:textId="092FFD4E" w:rsidR="00162224" w:rsidRPr="003037D2" w:rsidRDefault="00162224" w:rsidP="00162224">
      <w:pPr>
        <w:spacing w:after="200" w:line="360" w:lineRule="auto"/>
        <w:jc w:val="center"/>
        <w:rPr>
          <w:rFonts w:ascii="Garamond" w:eastAsiaTheme="minorEastAsia" w:hAnsi="Garamond"/>
          <w:b/>
          <w:bCs/>
          <w:i/>
          <w:iCs/>
          <w:lang w:eastAsia="zh-CN"/>
        </w:rPr>
      </w:pPr>
      <w:bookmarkStart w:id="189" w:name="_Ref506991271"/>
      <w:bookmarkStart w:id="190" w:name="_Toc3973258"/>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42</w:t>
      </w:r>
      <w:r w:rsidRPr="003037D2">
        <w:rPr>
          <w:rFonts w:ascii="Garamond" w:eastAsiaTheme="minorEastAsia" w:hAnsi="Garamond"/>
          <w:i/>
          <w:iCs/>
          <w:noProof/>
          <w:lang w:eastAsia="zh-CN"/>
        </w:rPr>
        <w:fldChar w:fldCharType="end"/>
      </w:r>
      <w:bookmarkEnd w:id="189"/>
      <w:r w:rsidRPr="003037D2">
        <w:rPr>
          <w:rFonts w:ascii="Garamond" w:eastAsiaTheme="minorEastAsia" w:hAnsi="Garamond"/>
          <w:i/>
          <w:iCs/>
          <w:lang w:eastAsia="zh-CN"/>
        </w:rPr>
        <w:t xml:space="preserve"> John Vicars, God in the mount. Or, </w:t>
      </w:r>
      <w:proofErr w:type="spellStart"/>
      <w:r w:rsidRPr="003037D2">
        <w:rPr>
          <w:rFonts w:ascii="Garamond" w:eastAsiaTheme="minorEastAsia" w:hAnsi="Garamond"/>
          <w:i/>
          <w:iCs/>
          <w:lang w:eastAsia="zh-CN"/>
        </w:rPr>
        <w:t>Englands</w:t>
      </w:r>
      <w:proofErr w:type="spellEnd"/>
      <w:r w:rsidRPr="003037D2">
        <w:rPr>
          <w:rFonts w:ascii="Garamond" w:eastAsiaTheme="minorEastAsia" w:hAnsi="Garamond"/>
          <w:i/>
          <w:iCs/>
          <w:lang w:eastAsia="zh-CN"/>
        </w:rPr>
        <w:t xml:space="preserve"> Remembrancer (London: 1641/2) A1 (Early English Books Online)</w:t>
      </w:r>
      <w:bookmarkEnd w:id="190"/>
    </w:p>
    <w:p w14:paraId="595D5FFB"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7B97764C" wp14:editId="7CA240E9">
            <wp:extent cx="2761035" cy="3821502"/>
            <wp:effectExtent l="0" t="0" r="1270" b="7620"/>
            <wp:docPr id="27" name="Picture 27" descr="C:\Users\egp15cre\AppData\Local\Microsoft\Windows\Temporary Internet Files\Content.IE5\VG3BRDXI\Vicars_John-God_in_the_mount_Or_Englands_remembrancer-Wing-V307-20_E_112_25_-p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gp15cre\AppData\Local\Microsoft\Windows\Temporary Internet Files\Content.IE5\VG3BRDXI\Vicars_John-God_in_the_mount_Or_Englands_remembrancer-Wing-V307-20_E_112_25_-p2.tif"/>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53626" t="4128" r="2840" b="4128"/>
                    <a:stretch/>
                  </pic:blipFill>
                  <pic:spPr bwMode="auto">
                    <a:xfrm>
                      <a:off x="0" y="0"/>
                      <a:ext cx="2763367" cy="3824730"/>
                    </a:xfrm>
                    <a:prstGeom prst="rect">
                      <a:avLst/>
                    </a:prstGeom>
                    <a:noFill/>
                    <a:ln>
                      <a:noFill/>
                    </a:ln>
                    <a:extLst>
                      <a:ext uri="{53640926-AAD7-44D8-BBD7-CCE9431645EC}">
                        <a14:shadowObscured xmlns:a14="http://schemas.microsoft.com/office/drawing/2010/main"/>
                      </a:ext>
                    </a:extLst>
                  </pic:spPr>
                </pic:pic>
              </a:graphicData>
            </a:graphic>
          </wp:inline>
        </w:drawing>
      </w:r>
    </w:p>
    <w:p w14:paraId="6E37F826" w14:textId="33A15000" w:rsidR="00162224" w:rsidRPr="003037D2" w:rsidRDefault="00162224" w:rsidP="00162224">
      <w:pPr>
        <w:spacing w:after="200" w:line="360" w:lineRule="auto"/>
        <w:jc w:val="center"/>
        <w:rPr>
          <w:rFonts w:ascii="Garamond" w:eastAsiaTheme="minorEastAsia" w:hAnsi="Garamond"/>
          <w:i/>
          <w:iCs/>
          <w:lang w:eastAsia="zh-CN"/>
        </w:rPr>
      </w:pPr>
      <w:bookmarkStart w:id="191" w:name="_Ref506991285"/>
      <w:bookmarkStart w:id="192" w:name="_Toc3973259"/>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43</w:t>
      </w:r>
      <w:r w:rsidRPr="003037D2">
        <w:rPr>
          <w:rFonts w:ascii="Garamond" w:eastAsiaTheme="minorEastAsia" w:hAnsi="Garamond"/>
          <w:i/>
          <w:iCs/>
          <w:lang w:eastAsia="zh-CN"/>
        </w:rPr>
        <w:fldChar w:fldCharType="end"/>
      </w:r>
      <w:bookmarkEnd w:id="191"/>
      <w:r w:rsidRPr="003037D2">
        <w:rPr>
          <w:rFonts w:ascii="Garamond" w:eastAsiaTheme="minorEastAsia" w:hAnsi="Garamond"/>
          <w:i/>
          <w:iCs/>
          <w:noProof/>
          <w:lang w:eastAsia="zh-CN"/>
        </w:rPr>
        <w:t xml:space="preserve"> John Vicars,</w:t>
      </w:r>
      <w:r w:rsidRPr="003037D2">
        <w:rPr>
          <w:rFonts w:ascii="Garamond" w:eastAsiaTheme="minorEastAsia" w:hAnsi="Garamond"/>
          <w:i/>
          <w:iCs/>
          <w:lang w:eastAsia="zh-CN"/>
        </w:rPr>
        <w:t xml:space="preserve"> God in the mount. Or, </w:t>
      </w:r>
      <w:proofErr w:type="spellStart"/>
      <w:r w:rsidRPr="003037D2">
        <w:rPr>
          <w:rFonts w:ascii="Garamond" w:eastAsiaTheme="minorEastAsia" w:hAnsi="Garamond"/>
          <w:i/>
          <w:iCs/>
          <w:lang w:eastAsia="zh-CN"/>
        </w:rPr>
        <w:t>Englands</w:t>
      </w:r>
      <w:proofErr w:type="spellEnd"/>
      <w:r w:rsidRPr="003037D2">
        <w:rPr>
          <w:rFonts w:ascii="Garamond" w:eastAsiaTheme="minorEastAsia" w:hAnsi="Garamond"/>
          <w:i/>
          <w:iCs/>
          <w:lang w:eastAsia="zh-CN"/>
        </w:rPr>
        <w:t xml:space="preserve"> Remembrancer</w:t>
      </w:r>
      <w:r w:rsidRPr="003037D2">
        <w:rPr>
          <w:rFonts w:ascii="Garamond" w:eastAsiaTheme="minorEastAsia" w:hAnsi="Garamond"/>
          <w:i/>
          <w:iCs/>
          <w:noProof/>
          <w:lang w:eastAsia="zh-CN"/>
        </w:rPr>
        <w:t xml:space="preserve"> (London: 1641/2) A2</w:t>
      </w:r>
      <w:bookmarkEnd w:id="192"/>
    </w:p>
    <w:p w14:paraId="7437AD15"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drawing>
          <wp:inline distT="0" distB="0" distL="0" distR="0" wp14:anchorId="77A11BDC" wp14:editId="7AB6B271">
            <wp:extent cx="2792437" cy="3719529"/>
            <wp:effectExtent l="0" t="0" r="825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97132" cy="3725782"/>
                    </a:xfrm>
                    <a:prstGeom prst="rect">
                      <a:avLst/>
                    </a:prstGeom>
                    <a:noFill/>
                    <a:ln>
                      <a:noFill/>
                    </a:ln>
                  </pic:spPr>
                </pic:pic>
              </a:graphicData>
            </a:graphic>
          </wp:inline>
        </w:drawing>
      </w:r>
    </w:p>
    <w:p w14:paraId="16F7F265" w14:textId="005ADD94" w:rsidR="00162224" w:rsidRPr="003037D2" w:rsidRDefault="00162224" w:rsidP="00162224">
      <w:pPr>
        <w:spacing w:after="200" w:line="360" w:lineRule="auto"/>
        <w:jc w:val="center"/>
        <w:rPr>
          <w:rFonts w:ascii="Garamond" w:eastAsiaTheme="minorEastAsia" w:hAnsi="Garamond"/>
          <w:i/>
          <w:iCs/>
          <w:lang w:eastAsia="zh-CN"/>
        </w:rPr>
      </w:pPr>
      <w:bookmarkStart w:id="193" w:name="_Ref507009666"/>
      <w:bookmarkStart w:id="194" w:name="_Toc3973260"/>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44</w:t>
      </w:r>
      <w:r w:rsidRPr="003037D2">
        <w:rPr>
          <w:rFonts w:ascii="Garamond" w:eastAsiaTheme="minorEastAsia" w:hAnsi="Garamond"/>
          <w:i/>
          <w:iCs/>
          <w:noProof/>
          <w:lang w:eastAsia="zh-CN"/>
        </w:rPr>
        <w:fldChar w:fldCharType="end"/>
      </w:r>
      <w:bookmarkEnd w:id="193"/>
      <w:r w:rsidRPr="003037D2">
        <w:rPr>
          <w:rFonts w:ascii="Garamond" w:eastAsiaTheme="minorEastAsia" w:hAnsi="Garamond"/>
          <w:i/>
          <w:iCs/>
          <w:lang w:eastAsia="zh-CN"/>
        </w:rPr>
        <w:t xml:space="preserve"> </w:t>
      </w:r>
      <w:proofErr w:type="spellStart"/>
      <w:r w:rsidRPr="003037D2">
        <w:rPr>
          <w:rFonts w:ascii="Garamond" w:eastAsiaTheme="minorEastAsia" w:hAnsi="Garamond"/>
          <w:i/>
          <w:iCs/>
          <w:lang w:eastAsia="zh-CN"/>
        </w:rPr>
        <w:t>Beham</w:t>
      </w:r>
      <w:proofErr w:type="spellEnd"/>
      <w:r w:rsidRPr="003037D2">
        <w:rPr>
          <w:rFonts w:ascii="Garamond" w:eastAsiaTheme="minorEastAsia" w:hAnsi="Garamond"/>
          <w:i/>
          <w:iCs/>
          <w:lang w:eastAsia="zh-CN"/>
        </w:rPr>
        <w:t xml:space="preserve"> </w:t>
      </w:r>
      <w:proofErr w:type="spellStart"/>
      <w:r w:rsidRPr="003037D2">
        <w:rPr>
          <w:rFonts w:ascii="Garamond" w:eastAsiaTheme="minorEastAsia" w:hAnsi="Garamond"/>
          <w:i/>
          <w:iCs/>
          <w:lang w:eastAsia="zh-CN"/>
        </w:rPr>
        <w:t>Sebald</w:t>
      </w:r>
      <w:proofErr w:type="spellEnd"/>
      <w:r w:rsidRPr="003037D2">
        <w:rPr>
          <w:rFonts w:ascii="Garamond" w:eastAsiaTheme="minorEastAsia" w:hAnsi="Garamond"/>
          <w:i/>
          <w:iCs/>
          <w:lang w:eastAsia="zh-CN"/>
        </w:rPr>
        <w:t>, chiaroscuro print (c.1527) London, Victoria and Albert Museum</w:t>
      </w:r>
      <w:bookmarkEnd w:id="194"/>
    </w:p>
    <w:p w14:paraId="411AD898"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4DE88C11" wp14:editId="6D523B1E">
            <wp:extent cx="3638550" cy="524652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50562" r="-513"/>
                    <a:stretch/>
                  </pic:blipFill>
                  <pic:spPr bwMode="auto">
                    <a:xfrm>
                      <a:off x="0" y="0"/>
                      <a:ext cx="3642991" cy="5252930"/>
                    </a:xfrm>
                    <a:prstGeom prst="rect">
                      <a:avLst/>
                    </a:prstGeom>
                    <a:noFill/>
                    <a:ln>
                      <a:noFill/>
                    </a:ln>
                    <a:extLst>
                      <a:ext uri="{53640926-AAD7-44D8-BBD7-CCE9431645EC}">
                        <a14:shadowObscured xmlns:a14="http://schemas.microsoft.com/office/drawing/2010/main"/>
                      </a:ext>
                    </a:extLst>
                  </pic:spPr>
                </pic:pic>
              </a:graphicData>
            </a:graphic>
          </wp:inline>
        </w:drawing>
      </w:r>
    </w:p>
    <w:p w14:paraId="3DF41922" w14:textId="6C7FF274" w:rsidR="00162224" w:rsidRPr="003037D2" w:rsidRDefault="00162224" w:rsidP="00162224">
      <w:pPr>
        <w:spacing w:after="200" w:line="360" w:lineRule="auto"/>
        <w:jc w:val="center"/>
        <w:rPr>
          <w:rFonts w:ascii="Garamond" w:eastAsiaTheme="minorEastAsia" w:hAnsi="Garamond"/>
          <w:i/>
          <w:iCs/>
          <w:lang w:eastAsia="zh-CN"/>
        </w:rPr>
      </w:pPr>
      <w:bookmarkStart w:id="195" w:name="_Ref507011123"/>
      <w:bookmarkStart w:id="196" w:name="_Toc3973261"/>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45</w:t>
      </w:r>
      <w:r w:rsidRPr="003037D2">
        <w:rPr>
          <w:rFonts w:ascii="Garamond" w:eastAsiaTheme="minorEastAsia" w:hAnsi="Garamond"/>
          <w:i/>
          <w:iCs/>
          <w:noProof/>
          <w:lang w:eastAsia="zh-CN"/>
        </w:rPr>
        <w:fldChar w:fldCharType="end"/>
      </w:r>
      <w:bookmarkEnd w:id="195"/>
      <w:r w:rsidRPr="003037D2">
        <w:rPr>
          <w:rFonts w:ascii="Garamond" w:eastAsiaTheme="minorEastAsia" w:hAnsi="Garamond"/>
          <w:i/>
          <w:iCs/>
          <w:lang w:eastAsia="zh-CN"/>
        </w:rPr>
        <w:t xml:space="preserve"> </w:t>
      </w:r>
      <w:bookmarkStart w:id="197" w:name="_Hlk532148992"/>
      <w:r w:rsidRPr="003037D2">
        <w:rPr>
          <w:rFonts w:ascii="Garamond" w:eastAsiaTheme="minorEastAsia" w:hAnsi="Garamond"/>
          <w:i/>
          <w:iCs/>
          <w:lang w:eastAsia="zh-CN"/>
        </w:rPr>
        <w:t xml:space="preserve">Thomas Peyton, The </w:t>
      </w:r>
      <w:proofErr w:type="spellStart"/>
      <w:r w:rsidRPr="003037D2">
        <w:rPr>
          <w:rFonts w:ascii="Garamond" w:eastAsiaTheme="minorEastAsia" w:hAnsi="Garamond"/>
          <w:i/>
          <w:iCs/>
          <w:lang w:eastAsia="zh-CN"/>
        </w:rPr>
        <w:t>Glasse</w:t>
      </w:r>
      <w:proofErr w:type="spellEnd"/>
      <w:r w:rsidRPr="003037D2">
        <w:rPr>
          <w:rFonts w:ascii="Garamond" w:eastAsiaTheme="minorEastAsia" w:hAnsi="Garamond"/>
          <w:i/>
          <w:iCs/>
          <w:lang w:eastAsia="zh-CN"/>
        </w:rPr>
        <w:t xml:space="preserve"> of Time, in the First Age (London: 1620)</w:t>
      </w:r>
      <w:bookmarkEnd w:id="197"/>
      <w:r w:rsidRPr="003037D2">
        <w:rPr>
          <w:rFonts w:ascii="Garamond" w:eastAsiaTheme="minorEastAsia" w:hAnsi="Garamond"/>
          <w:i/>
          <w:iCs/>
          <w:lang w:eastAsia="zh-CN"/>
        </w:rPr>
        <w:t xml:space="preserve"> p. 31 (Early English Books Online)</w:t>
      </w:r>
      <w:bookmarkEnd w:id="196"/>
    </w:p>
    <w:p w14:paraId="587505FE"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06B2F107" wp14:editId="19D5483A">
            <wp:extent cx="5188965" cy="3893009"/>
            <wp:effectExtent l="318"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5211963" cy="3910263"/>
                    </a:xfrm>
                    <a:prstGeom prst="rect">
                      <a:avLst/>
                    </a:prstGeom>
                    <a:noFill/>
                    <a:ln>
                      <a:noFill/>
                    </a:ln>
                  </pic:spPr>
                </pic:pic>
              </a:graphicData>
            </a:graphic>
          </wp:inline>
        </w:drawing>
      </w:r>
    </w:p>
    <w:p w14:paraId="1C73B68B" w14:textId="2B402D78" w:rsidR="00162224" w:rsidRPr="003037D2" w:rsidRDefault="00162224" w:rsidP="00162224">
      <w:pPr>
        <w:spacing w:after="200" w:line="360" w:lineRule="auto"/>
        <w:jc w:val="center"/>
        <w:rPr>
          <w:rFonts w:ascii="Garamond" w:eastAsiaTheme="minorEastAsia" w:hAnsi="Garamond"/>
          <w:i/>
          <w:iCs/>
          <w:lang w:eastAsia="zh-CN"/>
        </w:rPr>
      </w:pPr>
      <w:bookmarkStart w:id="198" w:name="_Ref499470845"/>
      <w:bookmarkStart w:id="199" w:name="_Toc3973262"/>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46</w:t>
      </w:r>
      <w:r w:rsidRPr="003037D2">
        <w:rPr>
          <w:rFonts w:ascii="Garamond" w:eastAsiaTheme="minorEastAsia" w:hAnsi="Garamond"/>
          <w:i/>
          <w:iCs/>
          <w:noProof/>
          <w:lang w:eastAsia="zh-CN"/>
        </w:rPr>
        <w:fldChar w:fldCharType="end"/>
      </w:r>
      <w:bookmarkEnd w:id="198"/>
      <w:r w:rsidRPr="003037D2">
        <w:rPr>
          <w:rFonts w:ascii="Garamond" w:eastAsiaTheme="minorEastAsia" w:hAnsi="Garamond"/>
          <w:i/>
          <w:iCs/>
          <w:lang w:eastAsia="zh-CN"/>
        </w:rPr>
        <w:t xml:space="preserve"> London, British Library Add MS 18044, f. 182r, Index C-D</w:t>
      </w:r>
      <w:bookmarkEnd w:id="199"/>
    </w:p>
    <w:p w14:paraId="1E2EC119" w14:textId="77777777" w:rsidR="00162224" w:rsidRPr="003037D2" w:rsidRDefault="00162224" w:rsidP="00162224">
      <w:pPr>
        <w:spacing w:line="360" w:lineRule="auto"/>
        <w:jc w:val="center"/>
        <w:rPr>
          <w:rFonts w:ascii="Garamond" w:hAnsi="Garamond"/>
          <w:i/>
          <w:iCs/>
        </w:rPr>
      </w:pPr>
    </w:p>
    <w:p w14:paraId="02B2A451" w14:textId="77777777" w:rsidR="00162224" w:rsidRPr="003037D2" w:rsidRDefault="00162224" w:rsidP="00162224">
      <w:pPr>
        <w:spacing w:line="360" w:lineRule="auto"/>
        <w:jc w:val="center"/>
        <w:rPr>
          <w:rFonts w:ascii="Garamond" w:hAnsi="Garamond"/>
          <w:i/>
          <w:iCs/>
        </w:rPr>
      </w:pPr>
    </w:p>
    <w:p w14:paraId="1A566ECD"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264092C4" wp14:editId="164B3DCD">
            <wp:extent cx="4638675" cy="327794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302.JPG"/>
                    <pic:cNvPicPr/>
                  </pic:nvPicPr>
                  <pic:blipFill rotWithShape="1">
                    <a:blip r:embed="rId58" cstate="print">
                      <a:extLst>
                        <a:ext uri="{28A0092B-C50C-407E-A947-70E740481C1C}">
                          <a14:useLocalDpi xmlns:a14="http://schemas.microsoft.com/office/drawing/2010/main" val="0"/>
                        </a:ext>
                      </a:extLst>
                    </a:blip>
                    <a:srcRect t="7956" r="7779" b="5159"/>
                    <a:stretch/>
                  </pic:blipFill>
                  <pic:spPr bwMode="auto">
                    <a:xfrm rot="10800000">
                      <a:off x="0" y="0"/>
                      <a:ext cx="4664182" cy="3295973"/>
                    </a:xfrm>
                    <a:prstGeom prst="rect">
                      <a:avLst/>
                    </a:prstGeom>
                    <a:ln>
                      <a:noFill/>
                    </a:ln>
                    <a:extLst>
                      <a:ext uri="{53640926-AAD7-44D8-BBD7-CCE9431645EC}">
                        <a14:shadowObscured xmlns:a14="http://schemas.microsoft.com/office/drawing/2010/main"/>
                      </a:ext>
                    </a:extLst>
                  </pic:spPr>
                </pic:pic>
              </a:graphicData>
            </a:graphic>
          </wp:inline>
        </w:drawing>
      </w:r>
    </w:p>
    <w:p w14:paraId="00E56ADF" w14:textId="5ECD7E07" w:rsidR="00162224" w:rsidRPr="003037D2" w:rsidRDefault="00162224" w:rsidP="00162224">
      <w:pPr>
        <w:spacing w:after="200" w:line="360" w:lineRule="auto"/>
        <w:jc w:val="center"/>
        <w:rPr>
          <w:rFonts w:ascii="Garamond" w:eastAsiaTheme="minorEastAsia" w:hAnsi="Garamond"/>
          <w:i/>
          <w:iCs/>
          <w:lang w:eastAsia="zh-CN"/>
        </w:rPr>
      </w:pPr>
      <w:bookmarkStart w:id="200" w:name="_Ref499296282"/>
      <w:bookmarkStart w:id="201" w:name="_Toc3973263"/>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47</w:t>
      </w:r>
      <w:r w:rsidRPr="003037D2">
        <w:rPr>
          <w:rFonts w:ascii="Garamond" w:eastAsiaTheme="minorEastAsia" w:hAnsi="Garamond"/>
          <w:i/>
          <w:iCs/>
          <w:noProof/>
          <w:lang w:eastAsia="zh-CN"/>
        </w:rPr>
        <w:fldChar w:fldCharType="end"/>
      </w:r>
      <w:bookmarkEnd w:id="200"/>
      <w:r w:rsidRPr="003037D2">
        <w:rPr>
          <w:rFonts w:ascii="Garamond" w:eastAsiaTheme="minorEastAsia" w:hAnsi="Garamond"/>
          <w:i/>
          <w:iCs/>
          <w:lang w:eastAsia="zh-CN"/>
        </w:rPr>
        <w:t xml:space="preserve"> London British Library Add MS 18044, f.174v ‘The Altar’</w:t>
      </w:r>
      <w:bookmarkEnd w:id="201"/>
    </w:p>
    <w:p w14:paraId="7C41A08F" w14:textId="77777777" w:rsidR="00162224" w:rsidRPr="003037D2" w:rsidRDefault="00162224" w:rsidP="00162224">
      <w:pPr>
        <w:spacing w:line="360" w:lineRule="auto"/>
        <w:jc w:val="center"/>
        <w:rPr>
          <w:rFonts w:ascii="Garamond" w:hAnsi="Garamond"/>
          <w:i/>
          <w:iCs/>
        </w:rPr>
      </w:pPr>
      <w:r w:rsidRPr="003037D2">
        <w:rPr>
          <w:rFonts w:ascii="Garamond" w:hAnsi="Garamond"/>
          <w:i/>
          <w:iCs/>
          <w:noProof/>
          <w:lang w:val="en-GB" w:eastAsia="zh-CN"/>
        </w:rPr>
        <w:drawing>
          <wp:inline distT="0" distB="0" distL="0" distR="0" wp14:anchorId="5F8E97B8" wp14:editId="7C5F5B29">
            <wp:extent cx="2975828" cy="4676344"/>
            <wp:effectExtent l="6985" t="0" r="3175"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49193"/>
                    <a:stretch/>
                  </pic:blipFill>
                  <pic:spPr bwMode="auto">
                    <a:xfrm rot="5400000">
                      <a:off x="0" y="0"/>
                      <a:ext cx="3006698" cy="4724855"/>
                    </a:xfrm>
                    <a:prstGeom prst="rect">
                      <a:avLst/>
                    </a:prstGeom>
                    <a:noFill/>
                    <a:ln>
                      <a:noFill/>
                    </a:ln>
                    <a:extLst>
                      <a:ext uri="{53640926-AAD7-44D8-BBD7-CCE9431645EC}">
                        <a14:shadowObscured xmlns:a14="http://schemas.microsoft.com/office/drawing/2010/main"/>
                      </a:ext>
                    </a:extLst>
                  </pic:spPr>
                </pic:pic>
              </a:graphicData>
            </a:graphic>
          </wp:inline>
        </w:drawing>
      </w:r>
    </w:p>
    <w:p w14:paraId="7CB98CF3" w14:textId="67E842B1" w:rsidR="00162224" w:rsidRPr="003037D2" w:rsidRDefault="00162224" w:rsidP="00162224">
      <w:pPr>
        <w:spacing w:after="200" w:line="360" w:lineRule="auto"/>
        <w:ind w:left="720" w:hanging="720"/>
        <w:jc w:val="center"/>
        <w:rPr>
          <w:rFonts w:ascii="Garamond" w:eastAsiaTheme="minorEastAsia" w:hAnsi="Garamond"/>
          <w:i/>
          <w:iCs/>
          <w:lang w:eastAsia="zh-CN"/>
        </w:rPr>
      </w:pPr>
      <w:bookmarkStart w:id="202" w:name="_Ref499460013"/>
      <w:bookmarkStart w:id="203" w:name="_Toc3973264"/>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48</w:t>
      </w:r>
      <w:r w:rsidRPr="003037D2">
        <w:rPr>
          <w:rFonts w:ascii="Garamond" w:eastAsiaTheme="minorEastAsia" w:hAnsi="Garamond"/>
          <w:i/>
          <w:iCs/>
          <w:noProof/>
          <w:lang w:eastAsia="zh-CN"/>
        </w:rPr>
        <w:fldChar w:fldCharType="end"/>
      </w:r>
      <w:bookmarkEnd w:id="202"/>
      <w:r w:rsidRPr="003037D2">
        <w:rPr>
          <w:rFonts w:ascii="Garamond" w:eastAsiaTheme="minorEastAsia" w:hAnsi="Garamond"/>
          <w:i/>
          <w:iCs/>
          <w:noProof/>
          <w:lang w:eastAsia="zh-CN"/>
        </w:rPr>
        <w:t xml:space="preserve"> George Herbert, ‘The Altar’ in</w:t>
      </w:r>
      <w:r w:rsidRPr="003037D2">
        <w:rPr>
          <w:rFonts w:ascii="Garamond" w:eastAsiaTheme="minorEastAsia" w:hAnsi="Garamond"/>
          <w:i/>
          <w:iCs/>
          <w:lang w:eastAsia="zh-CN"/>
        </w:rPr>
        <w:t xml:space="preserve"> The Temple (London: 1641), p.18. Reproduction of the original in The Huntington Library (Early English Books Online)</w:t>
      </w:r>
      <w:bookmarkEnd w:id="203"/>
    </w:p>
    <w:p w14:paraId="75614D85"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7139349E" wp14:editId="3AA49400">
            <wp:extent cx="2638556" cy="4829857"/>
            <wp:effectExtent l="9208"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50582"/>
                    <a:stretch/>
                  </pic:blipFill>
                  <pic:spPr bwMode="auto">
                    <a:xfrm rot="5400000">
                      <a:off x="0" y="0"/>
                      <a:ext cx="2642956" cy="4837912"/>
                    </a:xfrm>
                    <a:prstGeom prst="rect">
                      <a:avLst/>
                    </a:prstGeom>
                    <a:noFill/>
                    <a:ln>
                      <a:noFill/>
                    </a:ln>
                    <a:extLst>
                      <a:ext uri="{53640926-AAD7-44D8-BBD7-CCE9431645EC}">
                        <a14:shadowObscured xmlns:a14="http://schemas.microsoft.com/office/drawing/2010/main"/>
                      </a:ext>
                    </a:extLst>
                  </pic:spPr>
                </pic:pic>
              </a:graphicData>
            </a:graphic>
          </wp:inline>
        </w:drawing>
      </w:r>
    </w:p>
    <w:p w14:paraId="30E7E246" w14:textId="7C236C62" w:rsidR="00162224" w:rsidRPr="003037D2" w:rsidRDefault="00162224" w:rsidP="00162224">
      <w:pPr>
        <w:spacing w:after="200" w:line="360" w:lineRule="auto"/>
        <w:jc w:val="center"/>
        <w:rPr>
          <w:rFonts w:ascii="Garamond" w:eastAsiaTheme="minorEastAsia" w:hAnsi="Garamond"/>
          <w:i/>
          <w:iCs/>
          <w:lang w:eastAsia="zh-CN"/>
        </w:rPr>
      </w:pPr>
      <w:bookmarkStart w:id="204" w:name="_Ref499463232"/>
      <w:bookmarkStart w:id="205" w:name="_Toc3973265"/>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49</w:t>
      </w:r>
      <w:r w:rsidRPr="003037D2">
        <w:rPr>
          <w:rFonts w:ascii="Garamond" w:eastAsiaTheme="minorEastAsia" w:hAnsi="Garamond"/>
          <w:i/>
          <w:iCs/>
          <w:noProof/>
          <w:lang w:eastAsia="zh-CN"/>
        </w:rPr>
        <w:fldChar w:fldCharType="end"/>
      </w:r>
      <w:bookmarkEnd w:id="204"/>
      <w:r w:rsidRPr="003037D2">
        <w:rPr>
          <w:rFonts w:ascii="Garamond" w:eastAsiaTheme="minorEastAsia" w:hAnsi="Garamond"/>
          <w:i/>
          <w:iCs/>
          <w:noProof/>
          <w:lang w:eastAsia="zh-CN"/>
        </w:rPr>
        <w:t xml:space="preserve"> </w:t>
      </w:r>
      <w:r w:rsidRPr="003037D2">
        <w:rPr>
          <w:rFonts w:ascii="Garamond" w:eastAsiaTheme="minorEastAsia" w:hAnsi="Garamond"/>
          <w:i/>
          <w:iCs/>
          <w:lang w:eastAsia="zh-CN"/>
        </w:rPr>
        <w:t xml:space="preserve"> The Temple (London: 1656) Title Page. Reproduction of original in the University of Illinois (Urbana-Champaign Campus) Library.  (Early English Books Online)</w:t>
      </w:r>
      <w:bookmarkEnd w:id="205"/>
    </w:p>
    <w:p w14:paraId="4AE0741E"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drawing>
          <wp:inline distT="0" distB="0" distL="0" distR="0" wp14:anchorId="56CE8E8D" wp14:editId="4D3FAD29">
            <wp:extent cx="2937280" cy="4953824"/>
            <wp:effectExtent l="127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48517"/>
                    <a:stretch/>
                  </pic:blipFill>
                  <pic:spPr bwMode="auto">
                    <a:xfrm rot="5400000">
                      <a:off x="0" y="0"/>
                      <a:ext cx="2942821" cy="4963169"/>
                    </a:xfrm>
                    <a:prstGeom prst="rect">
                      <a:avLst/>
                    </a:prstGeom>
                    <a:noFill/>
                    <a:ln>
                      <a:noFill/>
                    </a:ln>
                    <a:extLst>
                      <a:ext uri="{53640926-AAD7-44D8-BBD7-CCE9431645EC}">
                        <a14:shadowObscured xmlns:a14="http://schemas.microsoft.com/office/drawing/2010/main"/>
                      </a:ext>
                    </a:extLst>
                  </pic:spPr>
                </pic:pic>
              </a:graphicData>
            </a:graphic>
          </wp:inline>
        </w:drawing>
      </w:r>
    </w:p>
    <w:p w14:paraId="1FD370D3" w14:textId="4B223F8D" w:rsidR="00162224" w:rsidRPr="003037D2" w:rsidRDefault="00162224" w:rsidP="00162224">
      <w:pPr>
        <w:spacing w:after="200" w:line="360" w:lineRule="auto"/>
        <w:jc w:val="center"/>
        <w:rPr>
          <w:rFonts w:ascii="Garamond" w:eastAsiaTheme="minorEastAsia" w:hAnsi="Garamond"/>
          <w:i/>
          <w:iCs/>
          <w:lang w:eastAsia="zh-CN"/>
        </w:rPr>
      </w:pPr>
      <w:bookmarkStart w:id="206" w:name="_Ref499463234"/>
      <w:bookmarkStart w:id="207" w:name="_Toc3973266"/>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50</w:t>
      </w:r>
      <w:r w:rsidRPr="003037D2">
        <w:rPr>
          <w:rFonts w:ascii="Garamond" w:eastAsiaTheme="minorEastAsia" w:hAnsi="Garamond"/>
          <w:i/>
          <w:iCs/>
          <w:noProof/>
          <w:lang w:eastAsia="zh-CN"/>
        </w:rPr>
        <w:fldChar w:fldCharType="end"/>
      </w:r>
      <w:bookmarkEnd w:id="206"/>
      <w:r w:rsidRPr="003037D2">
        <w:rPr>
          <w:rFonts w:ascii="Garamond" w:eastAsiaTheme="minorEastAsia" w:hAnsi="Garamond"/>
          <w:i/>
          <w:iCs/>
          <w:lang w:eastAsia="zh-CN"/>
        </w:rPr>
        <w:t xml:space="preserve">  </w:t>
      </w:r>
      <w:r w:rsidRPr="003037D2">
        <w:rPr>
          <w:rFonts w:ascii="Garamond" w:eastAsiaTheme="minorEastAsia" w:hAnsi="Garamond"/>
          <w:i/>
          <w:iCs/>
          <w:noProof/>
          <w:lang w:eastAsia="zh-CN"/>
        </w:rPr>
        <w:t>George Herbert, ‘The Altar’ in</w:t>
      </w:r>
      <w:r w:rsidRPr="003037D2">
        <w:rPr>
          <w:rFonts w:ascii="Garamond" w:eastAsiaTheme="minorEastAsia" w:hAnsi="Garamond"/>
          <w:i/>
          <w:iCs/>
          <w:lang w:eastAsia="zh-CN"/>
        </w:rPr>
        <w:t xml:space="preserve"> The Temple (London: 1656) p. 18. Reproduction of original in the University of Illinois (Urbana-Champaign Campus) Library.  (Early English Books Online)</w:t>
      </w:r>
      <w:bookmarkEnd w:id="207"/>
    </w:p>
    <w:p w14:paraId="0D9C24E6" w14:textId="77777777" w:rsidR="00162224" w:rsidRPr="003037D2" w:rsidRDefault="00162224" w:rsidP="00162224">
      <w:pPr>
        <w:spacing w:after="200" w:line="360" w:lineRule="auto"/>
        <w:jc w:val="center"/>
        <w:rPr>
          <w:rFonts w:ascii="Garamond" w:eastAsiaTheme="minorEastAsia" w:hAnsi="Garamond"/>
          <w:b/>
          <w:bCs/>
          <w:i/>
          <w:iCs/>
          <w:lang w:eastAsia="zh-CN"/>
        </w:rPr>
      </w:pPr>
      <w:r w:rsidRPr="003037D2">
        <w:rPr>
          <w:rFonts w:ascii="Garamond" w:eastAsiaTheme="minorEastAsia" w:hAnsi="Garamond"/>
          <w:i/>
          <w:iCs/>
          <w:lang w:eastAsia="zh-CN"/>
        </w:rPr>
        <w:t>.</w:t>
      </w:r>
    </w:p>
    <w:p w14:paraId="3A4041A7" w14:textId="77777777" w:rsidR="00162224" w:rsidRPr="003037D2" w:rsidRDefault="00162224" w:rsidP="00162224">
      <w:pPr>
        <w:spacing w:line="360" w:lineRule="auto"/>
        <w:jc w:val="center"/>
        <w:rPr>
          <w:rFonts w:ascii="Garamond" w:hAnsi="Garamond"/>
          <w:i/>
          <w:iCs/>
        </w:rPr>
      </w:pPr>
    </w:p>
    <w:p w14:paraId="4E23830D"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1EE2D3FD" wp14:editId="7EEB5F6E">
            <wp:extent cx="2805074" cy="5112078"/>
            <wp:effectExtent l="8573" t="0" r="4127" b="4128"/>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810587" cy="5122124"/>
                    </a:xfrm>
                    <a:prstGeom prst="rect">
                      <a:avLst/>
                    </a:prstGeom>
                    <a:noFill/>
                    <a:ln>
                      <a:noFill/>
                    </a:ln>
                  </pic:spPr>
                </pic:pic>
              </a:graphicData>
            </a:graphic>
          </wp:inline>
        </w:drawing>
      </w:r>
    </w:p>
    <w:p w14:paraId="43676C54" w14:textId="0B9BEE37" w:rsidR="00162224" w:rsidRPr="003037D2" w:rsidRDefault="00162224" w:rsidP="00162224">
      <w:pPr>
        <w:spacing w:after="200" w:line="360" w:lineRule="auto"/>
        <w:jc w:val="center"/>
        <w:rPr>
          <w:rFonts w:ascii="Garamond" w:eastAsiaTheme="minorEastAsia" w:hAnsi="Garamond"/>
          <w:i/>
          <w:iCs/>
          <w:lang w:eastAsia="zh-CN"/>
        </w:rPr>
      </w:pPr>
      <w:bookmarkStart w:id="208" w:name="_Ref499463236"/>
      <w:bookmarkStart w:id="209" w:name="_Toc3973267"/>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51</w:t>
      </w:r>
      <w:r w:rsidRPr="003037D2">
        <w:rPr>
          <w:rFonts w:ascii="Garamond" w:eastAsiaTheme="minorEastAsia" w:hAnsi="Garamond"/>
          <w:i/>
          <w:iCs/>
          <w:noProof/>
          <w:lang w:eastAsia="zh-CN"/>
        </w:rPr>
        <w:fldChar w:fldCharType="end"/>
      </w:r>
      <w:bookmarkEnd w:id="208"/>
      <w:r w:rsidRPr="003037D2">
        <w:rPr>
          <w:rFonts w:ascii="Garamond" w:eastAsiaTheme="minorEastAsia" w:hAnsi="Garamond"/>
          <w:i/>
          <w:iCs/>
          <w:noProof/>
          <w:lang w:eastAsia="zh-CN"/>
        </w:rPr>
        <w:t xml:space="preserve"> George Herbert,</w:t>
      </w:r>
      <w:r w:rsidRPr="003037D2">
        <w:rPr>
          <w:rFonts w:ascii="Garamond" w:eastAsiaTheme="minorEastAsia" w:hAnsi="Garamond"/>
          <w:i/>
          <w:iCs/>
          <w:lang w:eastAsia="zh-CN"/>
        </w:rPr>
        <w:t xml:space="preserve"> The Temple (Cambridge[?]: 1656) Title Page. </w:t>
      </w:r>
      <w:proofErr w:type="spellStart"/>
      <w:r w:rsidRPr="003037D2">
        <w:rPr>
          <w:rFonts w:ascii="Garamond" w:eastAsiaTheme="minorEastAsia" w:hAnsi="Garamond"/>
          <w:i/>
          <w:iCs/>
          <w:lang w:eastAsia="zh-CN"/>
        </w:rPr>
        <w:t>Reproduciton</w:t>
      </w:r>
      <w:proofErr w:type="spellEnd"/>
      <w:r w:rsidRPr="003037D2">
        <w:rPr>
          <w:rFonts w:ascii="Garamond" w:eastAsiaTheme="minorEastAsia" w:hAnsi="Garamond"/>
          <w:i/>
          <w:iCs/>
          <w:lang w:eastAsia="zh-CN"/>
        </w:rPr>
        <w:t xml:space="preserve"> of the original in the Bodleian. (Early English Books Online)</w:t>
      </w:r>
      <w:bookmarkEnd w:id="209"/>
    </w:p>
    <w:p w14:paraId="71B3ADDA"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drawing>
          <wp:inline distT="0" distB="0" distL="0" distR="0" wp14:anchorId="26B90CF4" wp14:editId="2432A836">
            <wp:extent cx="2795270" cy="5192566"/>
            <wp:effectExtent l="1587" t="0" r="6668" b="6667"/>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r="49340"/>
                    <a:stretch/>
                  </pic:blipFill>
                  <pic:spPr bwMode="auto">
                    <a:xfrm rot="5400000">
                      <a:off x="0" y="0"/>
                      <a:ext cx="2798870" cy="5199254"/>
                    </a:xfrm>
                    <a:prstGeom prst="rect">
                      <a:avLst/>
                    </a:prstGeom>
                    <a:noFill/>
                    <a:ln>
                      <a:noFill/>
                    </a:ln>
                    <a:extLst>
                      <a:ext uri="{53640926-AAD7-44D8-BBD7-CCE9431645EC}">
                        <a14:shadowObscured xmlns:a14="http://schemas.microsoft.com/office/drawing/2010/main"/>
                      </a:ext>
                    </a:extLst>
                  </pic:spPr>
                </pic:pic>
              </a:graphicData>
            </a:graphic>
          </wp:inline>
        </w:drawing>
      </w:r>
    </w:p>
    <w:p w14:paraId="15216E26" w14:textId="72D7E2C7" w:rsidR="00162224" w:rsidRPr="003037D2" w:rsidRDefault="00162224" w:rsidP="00162224">
      <w:pPr>
        <w:spacing w:after="200" w:line="360" w:lineRule="auto"/>
        <w:jc w:val="center"/>
        <w:rPr>
          <w:rFonts w:ascii="Garamond" w:eastAsiaTheme="minorEastAsia" w:hAnsi="Garamond"/>
          <w:i/>
          <w:iCs/>
          <w:color w:val="44546A" w:themeColor="text2"/>
          <w:lang w:eastAsia="zh-CN"/>
        </w:rPr>
      </w:pPr>
      <w:bookmarkStart w:id="210" w:name="_Ref499463238"/>
      <w:bookmarkStart w:id="211" w:name="_Toc3973268"/>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52</w:t>
      </w:r>
      <w:r w:rsidRPr="003037D2">
        <w:rPr>
          <w:rFonts w:ascii="Garamond" w:eastAsiaTheme="minorEastAsia" w:hAnsi="Garamond"/>
          <w:i/>
          <w:iCs/>
          <w:noProof/>
          <w:lang w:eastAsia="zh-CN"/>
        </w:rPr>
        <w:fldChar w:fldCharType="end"/>
      </w:r>
      <w:bookmarkEnd w:id="210"/>
      <w:r w:rsidRPr="003037D2">
        <w:rPr>
          <w:rFonts w:ascii="Garamond" w:eastAsiaTheme="minorEastAsia" w:hAnsi="Garamond"/>
          <w:i/>
          <w:iCs/>
          <w:noProof/>
          <w:lang w:eastAsia="zh-CN"/>
        </w:rPr>
        <w:t xml:space="preserve"> George Herbert,</w:t>
      </w:r>
      <w:r w:rsidRPr="003037D2">
        <w:rPr>
          <w:rFonts w:ascii="Garamond" w:eastAsiaTheme="minorEastAsia" w:hAnsi="Garamond"/>
          <w:i/>
          <w:iCs/>
          <w:lang w:eastAsia="zh-CN"/>
        </w:rPr>
        <w:t xml:space="preserve"> ‘The Altar’ in The Temple (Cambridge</w:t>
      </w:r>
      <w:r w:rsidRPr="003037D2">
        <w:rPr>
          <w:rFonts w:ascii="Garamond" w:eastAsiaTheme="minorEastAsia" w:hAnsi="Garamond"/>
          <w:i/>
          <w:iCs/>
          <w:color w:val="44546A" w:themeColor="text2"/>
          <w:lang w:eastAsia="zh-CN"/>
        </w:rPr>
        <w:t>[?]: 1656), p. 18. (Early English Books Online)</w:t>
      </w:r>
      <w:bookmarkEnd w:id="211"/>
    </w:p>
    <w:p w14:paraId="3E8B5549" w14:textId="77777777" w:rsidR="00162224" w:rsidRPr="003037D2" w:rsidRDefault="00162224" w:rsidP="00162224">
      <w:pPr>
        <w:spacing w:line="360" w:lineRule="auto"/>
        <w:jc w:val="center"/>
        <w:rPr>
          <w:rFonts w:ascii="Garamond" w:hAnsi="Garamond"/>
          <w:i/>
          <w:iCs/>
        </w:rPr>
      </w:pPr>
    </w:p>
    <w:p w14:paraId="0253B52E" w14:textId="77777777" w:rsidR="00162224" w:rsidRPr="003037D2" w:rsidRDefault="00162224" w:rsidP="00162224">
      <w:pPr>
        <w:keepNext/>
        <w:spacing w:line="360" w:lineRule="auto"/>
        <w:jc w:val="center"/>
        <w:rPr>
          <w:rFonts w:ascii="Garamond" w:hAnsi="Garamond"/>
          <w:i/>
          <w:iCs/>
        </w:rPr>
      </w:pPr>
      <w:r w:rsidRPr="003037D2">
        <w:rPr>
          <w:rFonts w:ascii="Garamond" w:hAnsi="Garamond"/>
          <w:i/>
          <w:iCs/>
          <w:noProof/>
          <w:lang w:val="en-GB" w:eastAsia="zh-CN"/>
        </w:rPr>
        <w:lastRenderedPageBreak/>
        <w:drawing>
          <wp:inline distT="0" distB="0" distL="0" distR="0" wp14:anchorId="466BE29A" wp14:editId="33E1169F">
            <wp:extent cx="4619625" cy="7915701"/>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627987" cy="7930029"/>
                    </a:xfrm>
                    <a:prstGeom prst="rect">
                      <a:avLst/>
                    </a:prstGeom>
                    <a:noFill/>
                    <a:ln>
                      <a:noFill/>
                    </a:ln>
                  </pic:spPr>
                </pic:pic>
              </a:graphicData>
            </a:graphic>
          </wp:inline>
        </w:drawing>
      </w:r>
    </w:p>
    <w:p w14:paraId="605A4926" w14:textId="12CA626D" w:rsidR="00162224" w:rsidRPr="003037D2" w:rsidRDefault="00162224" w:rsidP="00162224">
      <w:pPr>
        <w:spacing w:after="200" w:line="360" w:lineRule="auto"/>
        <w:jc w:val="center"/>
        <w:rPr>
          <w:rFonts w:ascii="Garamond" w:eastAsiaTheme="minorEastAsia" w:hAnsi="Garamond"/>
          <w:i/>
          <w:iCs/>
          <w:lang w:eastAsia="zh-CN"/>
        </w:rPr>
      </w:pPr>
      <w:bookmarkStart w:id="212" w:name="_Ref499473922"/>
      <w:bookmarkStart w:id="213" w:name="_Ref499473928"/>
      <w:bookmarkStart w:id="214" w:name="_Toc3973269"/>
      <w:r w:rsidRPr="003037D2">
        <w:rPr>
          <w:rFonts w:ascii="Garamond" w:eastAsiaTheme="minorEastAsia" w:hAnsi="Garamond"/>
          <w:i/>
          <w:iCs/>
          <w:lang w:eastAsia="zh-CN"/>
        </w:rPr>
        <w:t xml:space="preserve">Figure </w:t>
      </w:r>
      <w:r w:rsidRPr="003037D2">
        <w:rPr>
          <w:rFonts w:ascii="Garamond" w:eastAsiaTheme="minorEastAsia" w:hAnsi="Garamond"/>
          <w:i/>
          <w:iCs/>
          <w:lang w:eastAsia="zh-CN"/>
        </w:rPr>
        <w:fldChar w:fldCharType="begin"/>
      </w:r>
      <w:r w:rsidRPr="003037D2">
        <w:rPr>
          <w:rFonts w:ascii="Garamond" w:eastAsiaTheme="minorEastAsia" w:hAnsi="Garamond"/>
          <w:i/>
          <w:iCs/>
          <w:lang w:eastAsia="zh-CN"/>
        </w:rPr>
        <w:instrText xml:space="preserve"> SEQ Figure \* ARABIC </w:instrText>
      </w:r>
      <w:r w:rsidRPr="003037D2">
        <w:rPr>
          <w:rFonts w:ascii="Garamond" w:eastAsiaTheme="minorEastAsia" w:hAnsi="Garamond"/>
          <w:i/>
          <w:iCs/>
          <w:lang w:eastAsia="zh-CN"/>
        </w:rPr>
        <w:fldChar w:fldCharType="separate"/>
      </w:r>
      <w:r w:rsidR="001117A3" w:rsidRPr="003037D2">
        <w:rPr>
          <w:rFonts w:ascii="Garamond" w:eastAsiaTheme="minorEastAsia" w:hAnsi="Garamond"/>
          <w:i/>
          <w:iCs/>
          <w:noProof/>
          <w:lang w:eastAsia="zh-CN"/>
        </w:rPr>
        <w:t>53</w:t>
      </w:r>
      <w:r w:rsidRPr="003037D2">
        <w:rPr>
          <w:rFonts w:ascii="Garamond" w:eastAsiaTheme="minorEastAsia" w:hAnsi="Garamond"/>
          <w:i/>
          <w:iCs/>
          <w:noProof/>
          <w:lang w:eastAsia="zh-CN"/>
        </w:rPr>
        <w:fldChar w:fldCharType="end"/>
      </w:r>
      <w:bookmarkEnd w:id="212"/>
      <w:r w:rsidRPr="003037D2">
        <w:rPr>
          <w:rFonts w:ascii="Garamond" w:eastAsiaTheme="minorEastAsia" w:hAnsi="Garamond"/>
          <w:i/>
          <w:iCs/>
          <w:noProof/>
          <w:lang w:eastAsia="zh-CN"/>
        </w:rPr>
        <w:t xml:space="preserve"> </w:t>
      </w:r>
      <w:r w:rsidRPr="003037D2">
        <w:rPr>
          <w:rFonts w:ascii="Garamond" w:hAnsi="Garamond"/>
          <w:i/>
          <w:iCs/>
        </w:rPr>
        <w:t xml:space="preserve">Fragment (1 engraved leaf only) of an unidentified edition of Herbert's The Temple. </w:t>
      </w:r>
      <w:r w:rsidRPr="003037D2">
        <w:rPr>
          <w:rFonts w:ascii="Garamond" w:eastAsiaTheme="minorEastAsia" w:hAnsi="Garamond"/>
          <w:i/>
          <w:iCs/>
          <w:noProof/>
          <w:lang w:eastAsia="zh-CN"/>
        </w:rPr>
        <w:t xml:space="preserve"> London,</w:t>
      </w:r>
      <w:r w:rsidRPr="003037D2">
        <w:rPr>
          <w:rFonts w:ascii="Garamond" w:eastAsiaTheme="minorEastAsia" w:hAnsi="Garamond"/>
          <w:i/>
          <w:iCs/>
          <w:lang w:eastAsia="zh-CN"/>
        </w:rPr>
        <w:t xml:space="preserve"> British Library Harl.5987114</w:t>
      </w:r>
      <w:bookmarkEnd w:id="213"/>
      <w:bookmarkEnd w:id="214"/>
    </w:p>
    <w:p w14:paraId="02B533CB" w14:textId="77777777" w:rsidR="00162224" w:rsidRPr="003037D2" w:rsidRDefault="00162224" w:rsidP="00162224">
      <w:pPr>
        <w:spacing w:line="360" w:lineRule="auto"/>
        <w:rPr>
          <w:rFonts w:ascii="Garamond" w:eastAsiaTheme="minorEastAsia" w:hAnsi="Garamond"/>
          <w:lang w:eastAsia="zh-CN"/>
        </w:rPr>
      </w:pPr>
    </w:p>
    <w:p w14:paraId="7C9095F6" w14:textId="77777777" w:rsidR="00162224" w:rsidRPr="003037D2" w:rsidRDefault="00162224" w:rsidP="00162224">
      <w:pPr>
        <w:spacing w:line="360" w:lineRule="auto"/>
        <w:rPr>
          <w:rFonts w:ascii="Garamond" w:hAnsi="Garamond"/>
        </w:rPr>
      </w:pPr>
      <w:bookmarkStart w:id="215" w:name="_Hlk499295755"/>
      <w:bookmarkEnd w:id="215"/>
    </w:p>
    <w:p w14:paraId="51D5E672" w14:textId="77777777" w:rsidR="00162224" w:rsidRPr="003037D2" w:rsidRDefault="00162224" w:rsidP="00162224">
      <w:pPr>
        <w:keepNext/>
        <w:spacing w:line="360" w:lineRule="auto"/>
        <w:rPr>
          <w:rFonts w:ascii="Garamond" w:hAnsi="Garamond"/>
        </w:rPr>
      </w:pPr>
      <w:r w:rsidRPr="003037D2">
        <w:rPr>
          <w:rFonts w:ascii="Garamond" w:hAnsi="Garamond" w:cs="Times New Roman"/>
          <w:noProof/>
          <w:lang w:val="en-GB" w:eastAsia="zh-CN"/>
        </w:rPr>
        <w:drawing>
          <wp:inline distT="0" distB="0" distL="0" distR="0" wp14:anchorId="5D2DA215" wp14:editId="3AAFF50B">
            <wp:extent cx="5913478" cy="4040375"/>
            <wp:effectExtent l="3175"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a:extLst>
                        <a:ext uri="{28A0092B-C50C-407E-A947-70E740481C1C}">
                          <a14:useLocalDpi xmlns:a14="http://schemas.microsoft.com/office/drawing/2010/main" val="0"/>
                        </a:ext>
                      </a:extLst>
                    </a:blip>
                    <a:srcRect l="4285" r="9246"/>
                    <a:stretch/>
                  </pic:blipFill>
                  <pic:spPr bwMode="auto">
                    <a:xfrm rot="16200000">
                      <a:off x="0" y="0"/>
                      <a:ext cx="5918576" cy="4043858"/>
                    </a:xfrm>
                    <a:prstGeom prst="rect">
                      <a:avLst/>
                    </a:prstGeom>
                    <a:noFill/>
                    <a:ln>
                      <a:noFill/>
                    </a:ln>
                    <a:extLst>
                      <a:ext uri="{53640926-AAD7-44D8-BBD7-CCE9431645EC}">
                        <a14:shadowObscured xmlns:a14="http://schemas.microsoft.com/office/drawing/2010/main"/>
                      </a:ext>
                    </a:extLst>
                  </pic:spPr>
                </pic:pic>
              </a:graphicData>
            </a:graphic>
          </wp:inline>
        </w:drawing>
      </w:r>
    </w:p>
    <w:p w14:paraId="15F6795C" w14:textId="54DCF28E" w:rsidR="00162224" w:rsidRPr="003037D2" w:rsidRDefault="00162224" w:rsidP="00162224">
      <w:pPr>
        <w:pStyle w:val="Caption"/>
        <w:spacing w:line="360" w:lineRule="auto"/>
        <w:rPr>
          <w:rFonts w:ascii="Garamond" w:hAnsi="Garamond"/>
          <w:i w:val="0"/>
          <w:color w:val="auto"/>
          <w:sz w:val="24"/>
          <w:szCs w:val="24"/>
        </w:rPr>
      </w:pPr>
      <w:bookmarkStart w:id="216" w:name="_Ref532410997"/>
      <w:bookmarkStart w:id="217" w:name="_Ref532410991"/>
      <w:bookmarkStart w:id="218" w:name="_Toc3973270"/>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54</w:t>
      </w:r>
      <w:r w:rsidRPr="003037D2">
        <w:rPr>
          <w:rFonts w:ascii="Garamond" w:hAnsi="Garamond"/>
          <w:noProof/>
          <w:color w:val="auto"/>
          <w:sz w:val="24"/>
          <w:szCs w:val="24"/>
        </w:rPr>
        <w:fldChar w:fldCharType="end"/>
      </w:r>
      <w:bookmarkEnd w:id="216"/>
      <w:r w:rsidRPr="003037D2">
        <w:rPr>
          <w:rFonts w:ascii="Garamond" w:hAnsi="Garamond"/>
          <w:color w:val="auto"/>
          <w:sz w:val="24"/>
          <w:szCs w:val="24"/>
        </w:rPr>
        <w:t xml:space="preserve"> Numbers of </w:t>
      </w:r>
      <w:r w:rsidRPr="003037D2">
        <w:rPr>
          <w:rFonts w:ascii="Garamond" w:hAnsi="Garamond"/>
          <w:iCs w:val="0"/>
          <w:color w:val="auto"/>
          <w:sz w:val="24"/>
          <w:szCs w:val="24"/>
        </w:rPr>
        <w:t>Sermon books published</w:t>
      </w:r>
      <w:bookmarkEnd w:id="217"/>
      <w:r w:rsidRPr="003037D2">
        <w:rPr>
          <w:rFonts w:ascii="Garamond" w:hAnsi="Garamond"/>
          <w:iCs w:val="0"/>
          <w:color w:val="auto"/>
          <w:sz w:val="24"/>
          <w:szCs w:val="24"/>
        </w:rPr>
        <w:t xml:space="preserve"> annually, 1620 – 1642</w:t>
      </w:r>
      <w:bookmarkEnd w:id="218"/>
    </w:p>
    <w:p w14:paraId="2B9A7F03" w14:textId="77777777" w:rsidR="00162224" w:rsidRPr="003037D2" w:rsidRDefault="00162224" w:rsidP="00162224">
      <w:pPr>
        <w:spacing w:line="360" w:lineRule="auto"/>
        <w:rPr>
          <w:rFonts w:ascii="Garamond" w:hAnsi="Garamond"/>
        </w:rPr>
      </w:pPr>
    </w:p>
    <w:p w14:paraId="61075F98" w14:textId="77777777" w:rsidR="00162224" w:rsidRPr="003037D2" w:rsidRDefault="00162224" w:rsidP="00162224">
      <w:pPr>
        <w:spacing w:line="360" w:lineRule="auto"/>
        <w:rPr>
          <w:rFonts w:ascii="Garamond" w:hAnsi="Garamond"/>
        </w:rPr>
      </w:pPr>
    </w:p>
    <w:p w14:paraId="72EB2B53" w14:textId="77777777" w:rsidR="00162224" w:rsidRPr="003037D2" w:rsidRDefault="00162224" w:rsidP="00162224">
      <w:pPr>
        <w:spacing w:line="360" w:lineRule="auto"/>
        <w:rPr>
          <w:rFonts w:ascii="Garamond" w:hAnsi="Garamond"/>
        </w:rPr>
      </w:pPr>
      <w:r w:rsidRPr="003037D2">
        <w:rPr>
          <w:rFonts w:ascii="Garamond" w:hAnsi="Garamond"/>
          <w:noProof/>
          <w:lang w:val="en-GB" w:eastAsia="zh-CN"/>
        </w:rPr>
        <w:lastRenderedPageBreak/>
        <w:drawing>
          <wp:inline distT="0" distB="0" distL="0" distR="0" wp14:anchorId="0B5872AD" wp14:editId="5FEE7EA5">
            <wp:extent cx="5124450" cy="8324850"/>
            <wp:effectExtent l="0" t="0" r="0" b="0"/>
            <wp:docPr id="45" name="Chart 45">
              <a:extLst xmlns:a="http://schemas.openxmlformats.org/drawingml/2006/main">
                <a:ext uri="{FF2B5EF4-FFF2-40B4-BE49-F238E27FC236}">
                  <a16:creationId xmlns:a16="http://schemas.microsoft.com/office/drawing/2014/main" id="{3066509F-A6B2-418B-B832-3A0FE175A3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42E9F894" w14:textId="1B35A7C9" w:rsidR="00162224" w:rsidRPr="003037D2" w:rsidRDefault="00162224" w:rsidP="00162224">
      <w:pPr>
        <w:pStyle w:val="Caption"/>
        <w:spacing w:line="360" w:lineRule="auto"/>
        <w:rPr>
          <w:rFonts w:ascii="Garamond" w:hAnsi="Garamond"/>
          <w:i w:val="0"/>
          <w:color w:val="auto"/>
          <w:sz w:val="24"/>
          <w:szCs w:val="24"/>
        </w:rPr>
      </w:pPr>
      <w:bookmarkStart w:id="219" w:name="_Ref513911276"/>
      <w:bookmarkStart w:id="220" w:name="_Toc3973271"/>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55</w:t>
      </w:r>
      <w:r w:rsidRPr="003037D2">
        <w:rPr>
          <w:rFonts w:ascii="Garamond" w:hAnsi="Garamond"/>
          <w:noProof/>
          <w:color w:val="auto"/>
          <w:sz w:val="24"/>
          <w:szCs w:val="24"/>
        </w:rPr>
        <w:fldChar w:fldCharType="end"/>
      </w:r>
      <w:bookmarkEnd w:id="219"/>
      <w:r w:rsidRPr="003037D2">
        <w:rPr>
          <w:rFonts w:ascii="Garamond" w:hAnsi="Garamond"/>
          <w:color w:val="auto"/>
          <w:sz w:val="24"/>
          <w:szCs w:val="24"/>
        </w:rPr>
        <w:t xml:space="preserve"> </w:t>
      </w:r>
      <w:r w:rsidRPr="003037D2">
        <w:rPr>
          <w:rFonts w:ascii="Garamond" w:hAnsi="Garamond"/>
          <w:iCs w:val="0"/>
          <w:color w:val="auto"/>
          <w:sz w:val="24"/>
          <w:szCs w:val="24"/>
        </w:rPr>
        <w:t>Features of sermon book title pages, yearly change 1620 – 1642.</w:t>
      </w:r>
      <w:bookmarkEnd w:id="220"/>
      <w:r w:rsidRPr="003037D2">
        <w:rPr>
          <w:rFonts w:ascii="Garamond" w:hAnsi="Garamond"/>
          <w:i w:val="0"/>
          <w:color w:val="auto"/>
          <w:sz w:val="24"/>
          <w:szCs w:val="24"/>
        </w:rPr>
        <w:t xml:space="preserve"> </w:t>
      </w:r>
    </w:p>
    <w:p w14:paraId="24F20F1F" w14:textId="77777777" w:rsidR="00162224" w:rsidRPr="003037D2" w:rsidRDefault="00162224" w:rsidP="00162224">
      <w:pPr>
        <w:rPr>
          <w:rFonts w:ascii="Garamond" w:hAnsi="Garamond"/>
          <w:lang w:eastAsia="zh-CN"/>
        </w:rPr>
      </w:pPr>
    </w:p>
    <w:p w14:paraId="753AEB6E" w14:textId="77777777" w:rsidR="00162224" w:rsidRPr="003037D2" w:rsidRDefault="00162224" w:rsidP="00162224">
      <w:pPr>
        <w:rPr>
          <w:rFonts w:ascii="Garamond" w:hAnsi="Garamond"/>
          <w:lang w:eastAsia="zh-CN"/>
        </w:rPr>
      </w:pPr>
    </w:p>
    <w:tbl>
      <w:tblPr>
        <w:tblpPr w:leftFromText="180" w:rightFromText="180" w:vertAnchor="text" w:horzAnchor="margin" w:tblpY="391"/>
        <w:tblW w:w="0" w:type="auto"/>
        <w:tblLook w:val="04A0" w:firstRow="1" w:lastRow="0" w:firstColumn="1" w:lastColumn="0" w:noHBand="0" w:noVBand="1"/>
      </w:tblPr>
      <w:tblGrid>
        <w:gridCol w:w="1048"/>
        <w:gridCol w:w="591"/>
        <w:gridCol w:w="875"/>
        <w:gridCol w:w="404"/>
        <w:gridCol w:w="996"/>
        <w:gridCol w:w="460"/>
        <w:gridCol w:w="875"/>
        <w:gridCol w:w="404"/>
        <w:gridCol w:w="979"/>
        <w:gridCol w:w="452"/>
        <w:gridCol w:w="1091"/>
      </w:tblGrid>
      <w:tr w:rsidR="00162224" w:rsidRPr="003037D2" w14:paraId="1612EB88" w14:textId="77777777" w:rsidTr="00162224">
        <w:trPr>
          <w:trHeight w:val="870"/>
        </w:trPr>
        <w:tc>
          <w:tcPr>
            <w:tcW w:w="0" w:type="auto"/>
            <w:gridSpan w:val="2"/>
            <w:vMerge w:val="restart"/>
            <w:tcBorders>
              <w:top w:val="nil"/>
              <w:left w:val="nil"/>
              <w:bottom w:val="single" w:sz="4" w:space="0" w:color="993366"/>
              <w:right w:val="nil"/>
            </w:tcBorders>
            <w:shd w:val="clear" w:color="auto" w:fill="auto"/>
            <w:vAlign w:val="bottom"/>
            <w:hideMark/>
          </w:tcPr>
          <w:p w14:paraId="7066CCA0" w14:textId="77777777" w:rsidR="00162224" w:rsidRPr="003037D2" w:rsidRDefault="00162224" w:rsidP="00162224">
            <w:pPr>
              <w:spacing w:line="360" w:lineRule="auto"/>
              <w:rPr>
                <w:rFonts w:ascii="Garamond" w:eastAsia="Times New Roman" w:hAnsi="Garamond" w:cs="Times New Roman"/>
                <w:sz w:val="20"/>
                <w:szCs w:val="20"/>
                <w:lang w:eastAsia="en-GB"/>
              </w:rPr>
            </w:pPr>
          </w:p>
        </w:tc>
        <w:tc>
          <w:tcPr>
            <w:tcW w:w="0" w:type="auto"/>
            <w:gridSpan w:val="2"/>
            <w:tcBorders>
              <w:top w:val="single" w:sz="4" w:space="0" w:color="auto"/>
              <w:left w:val="single" w:sz="4" w:space="0" w:color="333333"/>
              <w:bottom w:val="single" w:sz="4" w:space="0" w:color="993366"/>
              <w:right w:val="single" w:sz="4" w:space="0" w:color="333333"/>
            </w:tcBorders>
            <w:shd w:val="clear" w:color="auto" w:fill="auto"/>
            <w:vAlign w:val="center"/>
            <w:hideMark/>
          </w:tcPr>
          <w:p w14:paraId="32C50518" w14:textId="209AAE4B" w:rsidR="00162224" w:rsidRPr="003037D2" w:rsidRDefault="00667CD5" w:rsidP="00162224">
            <w:pPr>
              <w:spacing w:line="360" w:lineRule="auto"/>
              <w:jc w:val="center"/>
              <w:rPr>
                <w:rFonts w:ascii="Garamond" w:eastAsia="Times New Roman" w:hAnsi="Garamond" w:cs="Arial"/>
                <w:color w:val="333399"/>
                <w:sz w:val="20"/>
                <w:szCs w:val="20"/>
                <w:lang w:eastAsia="en-GB"/>
              </w:rPr>
            </w:pPr>
            <w:r>
              <w:rPr>
                <w:rFonts w:ascii="Garamond" w:eastAsia="Times New Roman" w:hAnsi="Garamond" w:cs="Arial"/>
                <w:color w:val="333399"/>
                <w:sz w:val="20"/>
                <w:szCs w:val="20"/>
                <w:lang w:eastAsia="en-GB"/>
              </w:rPr>
              <w:t xml:space="preserve">Collections </w:t>
            </w:r>
          </w:p>
        </w:tc>
        <w:tc>
          <w:tcPr>
            <w:tcW w:w="0" w:type="auto"/>
            <w:gridSpan w:val="2"/>
            <w:tcBorders>
              <w:top w:val="single" w:sz="4" w:space="0" w:color="auto"/>
              <w:left w:val="nil"/>
              <w:bottom w:val="single" w:sz="4" w:space="0" w:color="993366"/>
              <w:right w:val="single" w:sz="4" w:space="0" w:color="333333"/>
            </w:tcBorders>
            <w:shd w:val="clear" w:color="auto" w:fill="auto"/>
            <w:vAlign w:val="center"/>
            <w:hideMark/>
          </w:tcPr>
          <w:p w14:paraId="4B614402" w14:textId="7879B75E" w:rsidR="00162224" w:rsidRPr="003037D2" w:rsidRDefault="00667CD5" w:rsidP="00162224">
            <w:pPr>
              <w:spacing w:line="360" w:lineRule="auto"/>
              <w:jc w:val="center"/>
              <w:rPr>
                <w:rFonts w:ascii="Garamond" w:eastAsia="Times New Roman" w:hAnsi="Garamond" w:cs="Arial"/>
                <w:color w:val="333399"/>
                <w:sz w:val="20"/>
                <w:szCs w:val="20"/>
                <w:lang w:eastAsia="en-GB"/>
              </w:rPr>
            </w:pPr>
            <w:r>
              <w:rPr>
                <w:rFonts w:ascii="Garamond" w:eastAsia="Times New Roman" w:hAnsi="Garamond" w:cs="Arial"/>
                <w:color w:val="333399"/>
                <w:sz w:val="20"/>
                <w:szCs w:val="20"/>
                <w:lang w:eastAsia="en-GB"/>
              </w:rPr>
              <w:t>Place of preaching specified</w:t>
            </w:r>
          </w:p>
        </w:tc>
        <w:tc>
          <w:tcPr>
            <w:tcW w:w="0" w:type="auto"/>
            <w:gridSpan w:val="2"/>
            <w:tcBorders>
              <w:top w:val="single" w:sz="4" w:space="0" w:color="auto"/>
              <w:left w:val="nil"/>
              <w:bottom w:val="single" w:sz="4" w:space="0" w:color="993366"/>
              <w:right w:val="single" w:sz="4" w:space="0" w:color="333333"/>
            </w:tcBorders>
            <w:shd w:val="clear" w:color="auto" w:fill="auto"/>
            <w:vAlign w:val="center"/>
            <w:hideMark/>
          </w:tcPr>
          <w:p w14:paraId="6D7AD5D8" w14:textId="77777777" w:rsidR="00162224" w:rsidRPr="003037D2" w:rsidRDefault="00162224" w:rsidP="00162224">
            <w:pPr>
              <w:spacing w:line="360" w:lineRule="auto"/>
              <w:jc w:val="center"/>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Date Given</w:t>
            </w:r>
          </w:p>
        </w:tc>
        <w:tc>
          <w:tcPr>
            <w:tcW w:w="0" w:type="auto"/>
            <w:gridSpan w:val="2"/>
            <w:tcBorders>
              <w:top w:val="single" w:sz="4" w:space="0" w:color="auto"/>
              <w:left w:val="nil"/>
              <w:bottom w:val="single" w:sz="4" w:space="0" w:color="993366"/>
              <w:right w:val="single" w:sz="4" w:space="0" w:color="333333"/>
            </w:tcBorders>
            <w:shd w:val="clear" w:color="auto" w:fill="auto"/>
            <w:vAlign w:val="center"/>
            <w:hideMark/>
          </w:tcPr>
          <w:p w14:paraId="1C6AA67F" w14:textId="0FCFBF32" w:rsidR="00162224" w:rsidRPr="003037D2" w:rsidRDefault="00162224" w:rsidP="00162224">
            <w:pPr>
              <w:spacing w:line="360" w:lineRule="auto"/>
              <w:jc w:val="center"/>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Preacher</w:t>
            </w:r>
            <w:r w:rsidR="00667CD5">
              <w:rPr>
                <w:rFonts w:ascii="Garamond" w:eastAsia="Times New Roman" w:hAnsi="Garamond" w:cs="Arial"/>
                <w:color w:val="333399"/>
                <w:sz w:val="20"/>
                <w:szCs w:val="20"/>
                <w:lang w:eastAsia="en-GB"/>
              </w:rPr>
              <w:t>’</w:t>
            </w:r>
            <w:r w:rsidRPr="003037D2">
              <w:rPr>
                <w:rFonts w:ascii="Garamond" w:eastAsia="Times New Roman" w:hAnsi="Garamond" w:cs="Arial"/>
                <w:color w:val="333399"/>
                <w:sz w:val="20"/>
                <w:szCs w:val="20"/>
                <w:lang w:eastAsia="en-GB"/>
              </w:rPr>
              <w:t>s living specified</w:t>
            </w:r>
          </w:p>
        </w:tc>
        <w:tc>
          <w:tcPr>
            <w:tcW w:w="0" w:type="auto"/>
            <w:tcBorders>
              <w:top w:val="single" w:sz="4" w:space="0" w:color="auto"/>
              <w:left w:val="nil"/>
              <w:bottom w:val="single" w:sz="4" w:space="0" w:color="993366"/>
              <w:right w:val="nil"/>
            </w:tcBorders>
            <w:shd w:val="clear" w:color="000000" w:fill="D9E1F2"/>
            <w:vAlign w:val="center"/>
            <w:hideMark/>
          </w:tcPr>
          <w:p w14:paraId="428226AF" w14:textId="77777777" w:rsidR="00162224" w:rsidRPr="003037D2" w:rsidRDefault="00162224" w:rsidP="00162224">
            <w:pPr>
              <w:spacing w:line="360" w:lineRule="auto"/>
              <w:jc w:val="center"/>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Total printed that year</w:t>
            </w:r>
          </w:p>
        </w:tc>
      </w:tr>
      <w:tr w:rsidR="00667CD5" w:rsidRPr="003037D2" w14:paraId="504532D2" w14:textId="77777777" w:rsidTr="00162224">
        <w:trPr>
          <w:trHeight w:val="290"/>
        </w:trPr>
        <w:tc>
          <w:tcPr>
            <w:tcW w:w="0" w:type="auto"/>
            <w:gridSpan w:val="2"/>
            <w:vMerge/>
            <w:tcBorders>
              <w:top w:val="nil"/>
              <w:left w:val="nil"/>
              <w:bottom w:val="single" w:sz="4" w:space="0" w:color="993366"/>
              <w:right w:val="nil"/>
            </w:tcBorders>
            <w:vAlign w:val="center"/>
            <w:hideMark/>
          </w:tcPr>
          <w:p w14:paraId="6EE27FB8" w14:textId="77777777" w:rsidR="00162224" w:rsidRPr="003037D2" w:rsidRDefault="00162224" w:rsidP="00162224">
            <w:pPr>
              <w:spacing w:line="360" w:lineRule="auto"/>
              <w:rPr>
                <w:rFonts w:ascii="Garamond" w:eastAsia="Times New Roman" w:hAnsi="Garamond" w:cs="Times New Roman"/>
                <w:sz w:val="20"/>
                <w:szCs w:val="20"/>
                <w:lang w:eastAsia="en-GB"/>
              </w:rPr>
            </w:pPr>
          </w:p>
        </w:tc>
        <w:tc>
          <w:tcPr>
            <w:tcW w:w="0" w:type="auto"/>
            <w:tcBorders>
              <w:top w:val="nil"/>
              <w:left w:val="nil"/>
              <w:bottom w:val="nil"/>
              <w:right w:val="nil"/>
            </w:tcBorders>
            <w:shd w:val="clear" w:color="auto" w:fill="auto"/>
            <w:noWrap/>
            <w:vAlign w:val="bottom"/>
            <w:hideMark/>
          </w:tcPr>
          <w:p w14:paraId="024AA258" w14:textId="77777777" w:rsidR="00162224" w:rsidRPr="003037D2" w:rsidRDefault="00162224" w:rsidP="00162224">
            <w:pPr>
              <w:spacing w:line="360" w:lineRule="auto"/>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 xml:space="preserve">Number </w:t>
            </w:r>
          </w:p>
        </w:tc>
        <w:tc>
          <w:tcPr>
            <w:tcW w:w="0" w:type="auto"/>
            <w:tcBorders>
              <w:top w:val="nil"/>
              <w:left w:val="nil"/>
              <w:bottom w:val="nil"/>
              <w:right w:val="nil"/>
            </w:tcBorders>
            <w:shd w:val="clear" w:color="auto" w:fill="auto"/>
            <w:noWrap/>
            <w:vAlign w:val="bottom"/>
            <w:hideMark/>
          </w:tcPr>
          <w:p w14:paraId="0442BE0C" w14:textId="77777777" w:rsidR="00162224" w:rsidRPr="003037D2" w:rsidRDefault="00162224" w:rsidP="00162224">
            <w:pPr>
              <w:spacing w:line="360" w:lineRule="auto"/>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 xml:space="preserve">% </w:t>
            </w:r>
          </w:p>
        </w:tc>
        <w:tc>
          <w:tcPr>
            <w:tcW w:w="0" w:type="auto"/>
            <w:tcBorders>
              <w:top w:val="nil"/>
              <w:left w:val="nil"/>
              <w:bottom w:val="nil"/>
              <w:right w:val="nil"/>
            </w:tcBorders>
            <w:shd w:val="clear" w:color="auto" w:fill="auto"/>
            <w:noWrap/>
            <w:vAlign w:val="bottom"/>
            <w:hideMark/>
          </w:tcPr>
          <w:p w14:paraId="0F818F0F" w14:textId="77777777" w:rsidR="00162224" w:rsidRPr="003037D2" w:rsidRDefault="00162224" w:rsidP="00162224">
            <w:pPr>
              <w:spacing w:line="360" w:lineRule="auto"/>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 xml:space="preserve">Number </w:t>
            </w:r>
          </w:p>
        </w:tc>
        <w:tc>
          <w:tcPr>
            <w:tcW w:w="0" w:type="auto"/>
            <w:tcBorders>
              <w:top w:val="nil"/>
              <w:left w:val="nil"/>
              <w:bottom w:val="nil"/>
              <w:right w:val="nil"/>
            </w:tcBorders>
            <w:shd w:val="clear" w:color="auto" w:fill="auto"/>
            <w:noWrap/>
            <w:vAlign w:val="bottom"/>
            <w:hideMark/>
          </w:tcPr>
          <w:p w14:paraId="7859DB7F" w14:textId="77777777" w:rsidR="00162224" w:rsidRPr="003037D2" w:rsidRDefault="00162224" w:rsidP="00162224">
            <w:pPr>
              <w:spacing w:line="360" w:lineRule="auto"/>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 xml:space="preserve">% </w:t>
            </w:r>
          </w:p>
        </w:tc>
        <w:tc>
          <w:tcPr>
            <w:tcW w:w="0" w:type="auto"/>
            <w:tcBorders>
              <w:top w:val="nil"/>
              <w:left w:val="nil"/>
              <w:bottom w:val="nil"/>
              <w:right w:val="nil"/>
            </w:tcBorders>
            <w:shd w:val="clear" w:color="auto" w:fill="auto"/>
            <w:noWrap/>
            <w:vAlign w:val="bottom"/>
            <w:hideMark/>
          </w:tcPr>
          <w:p w14:paraId="2A469CC6" w14:textId="77777777" w:rsidR="00162224" w:rsidRPr="003037D2" w:rsidRDefault="00162224" w:rsidP="00162224">
            <w:pPr>
              <w:spacing w:line="360" w:lineRule="auto"/>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 xml:space="preserve">Number </w:t>
            </w:r>
          </w:p>
        </w:tc>
        <w:tc>
          <w:tcPr>
            <w:tcW w:w="0" w:type="auto"/>
            <w:tcBorders>
              <w:top w:val="nil"/>
              <w:left w:val="nil"/>
              <w:bottom w:val="nil"/>
              <w:right w:val="nil"/>
            </w:tcBorders>
            <w:shd w:val="clear" w:color="auto" w:fill="auto"/>
            <w:noWrap/>
            <w:vAlign w:val="bottom"/>
            <w:hideMark/>
          </w:tcPr>
          <w:p w14:paraId="71F91CF0" w14:textId="77777777" w:rsidR="00162224" w:rsidRPr="003037D2" w:rsidRDefault="00162224" w:rsidP="00162224">
            <w:pPr>
              <w:spacing w:line="360" w:lineRule="auto"/>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 xml:space="preserve">% </w:t>
            </w:r>
          </w:p>
        </w:tc>
        <w:tc>
          <w:tcPr>
            <w:tcW w:w="0" w:type="auto"/>
            <w:tcBorders>
              <w:top w:val="nil"/>
              <w:left w:val="nil"/>
              <w:bottom w:val="nil"/>
              <w:right w:val="nil"/>
            </w:tcBorders>
            <w:shd w:val="clear" w:color="auto" w:fill="auto"/>
            <w:noWrap/>
            <w:vAlign w:val="bottom"/>
            <w:hideMark/>
          </w:tcPr>
          <w:p w14:paraId="7CD80830" w14:textId="77777777" w:rsidR="00162224" w:rsidRPr="003037D2" w:rsidRDefault="00162224" w:rsidP="00162224">
            <w:pPr>
              <w:spacing w:line="360" w:lineRule="auto"/>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 xml:space="preserve">Number </w:t>
            </w:r>
          </w:p>
        </w:tc>
        <w:tc>
          <w:tcPr>
            <w:tcW w:w="0" w:type="auto"/>
            <w:tcBorders>
              <w:top w:val="nil"/>
              <w:left w:val="nil"/>
              <w:bottom w:val="nil"/>
              <w:right w:val="nil"/>
            </w:tcBorders>
            <w:shd w:val="clear" w:color="auto" w:fill="auto"/>
            <w:noWrap/>
            <w:vAlign w:val="bottom"/>
            <w:hideMark/>
          </w:tcPr>
          <w:p w14:paraId="06BF13F3" w14:textId="77777777" w:rsidR="00162224" w:rsidRPr="003037D2" w:rsidRDefault="00162224" w:rsidP="00162224">
            <w:pPr>
              <w:spacing w:line="360" w:lineRule="auto"/>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 xml:space="preserve">% </w:t>
            </w:r>
          </w:p>
        </w:tc>
        <w:tc>
          <w:tcPr>
            <w:tcW w:w="0" w:type="auto"/>
            <w:tcBorders>
              <w:top w:val="nil"/>
              <w:left w:val="nil"/>
              <w:bottom w:val="nil"/>
              <w:right w:val="nil"/>
            </w:tcBorders>
            <w:shd w:val="clear" w:color="000000" w:fill="D9E1F2"/>
            <w:noWrap/>
            <w:vAlign w:val="bottom"/>
            <w:hideMark/>
          </w:tcPr>
          <w:p w14:paraId="6B6D0427" w14:textId="77777777" w:rsidR="00162224" w:rsidRPr="003037D2" w:rsidRDefault="00162224" w:rsidP="00162224">
            <w:pPr>
              <w:spacing w:line="360" w:lineRule="auto"/>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 xml:space="preserve"> Number </w:t>
            </w:r>
          </w:p>
        </w:tc>
      </w:tr>
      <w:tr w:rsidR="00667CD5" w:rsidRPr="003037D2" w14:paraId="1592C8AE" w14:textId="77777777" w:rsidTr="00162224">
        <w:trPr>
          <w:trHeight w:val="290"/>
        </w:trPr>
        <w:tc>
          <w:tcPr>
            <w:tcW w:w="0" w:type="auto"/>
            <w:vMerge w:val="restart"/>
            <w:tcBorders>
              <w:top w:val="nil"/>
              <w:left w:val="nil"/>
              <w:bottom w:val="single" w:sz="4" w:space="0" w:color="C0C0C0"/>
              <w:right w:val="nil"/>
            </w:tcBorders>
            <w:shd w:val="clear" w:color="000000" w:fill="CCCCFF"/>
            <w:hideMark/>
          </w:tcPr>
          <w:p w14:paraId="09BB7670"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Date Published</w:t>
            </w:r>
          </w:p>
        </w:tc>
        <w:tc>
          <w:tcPr>
            <w:tcW w:w="0" w:type="auto"/>
            <w:tcBorders>
              <w:top w:val="nil"/>
              <w:left w:val="nil"/>
              <w:bottom w:val="single" w:sz="4" w:space="0" w:color="C0C0C0"/>
              <w:right w:val="nil"/>
            </w:tcBorders>
            <w:shd w:val="clear" w:color="000000" w:fill="CCCCFF"/>
            <w:noWrap/>
            <w:hideMark/>
          </w:tcPr>
          <w:p w14:paraId="77BB597C"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1620</w:t>
            </w:r>
          </w:p>
        </w:tc>
        <w:tc>
          <w:tcPr>
            <w:tcW w:w="0" w:type="auto"/>
            <w:tcBorders>
              <w:top w:val="single" w:sz="4" w:space="0" w:color="993366"/>
              <w:left w:val="single" w:sz="4" w:space="0" w:color="333333"/>
              <w:bottom w:val="single" w:sz="4" w:space="0" w:color="C0C0C0"/>
              <w:right w:val="single" w:sz="4" w:space="0" w:color="333333"/>
            </w:tcBorders>
            <w:shd w:val="clear" w:color="auto" w:fill="auto"/>
            <w:noWrap/>
            <w:hideMark/>
          </w:tcPr>
          <w:p w14:paraId="6964F017"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5</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605BA0E8"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14</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3638DC78"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28</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3E6EA88F"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80</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36453BEF"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25</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19190C54"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71</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70FAB772"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22</w:t>
            </w:r>
          </w:p>
        </w:tc>
        <w:tc>
          <w:tcPr>
            <w:tcW w:w="0" w:type="auto"/>
            <w:tcBorders>
              <w:top w:val="single" w:sz="4" w:space="0" w:color="993366"/>
              <w:left w:val="nil"/>
              <w:bottom w:val="single" w:sz="4" w:space="0" w:color="C0C0C0"/>
              <w:right w:val="nil"/>
            </w:tcBorders>
            <w:shd w:val="clear" w:color="auto" w:fill="auto"/>
            <w:noWrap/>
            <w:hideMark/>
          </w:tcPr>
          <w:p w14:paraId="5D5C94D0"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63</w:t>
            </w:r>
          </w:p>
        </w:tc>
        <w:tc>
          <w:tcPr>
            <w:tcW w:w="0" w:type="auto"/>
            <w:tcBorders>
              <w:top w:val="single" w:sz="4" w:space="0" w:color="993366"/>
              <w:left w:val="single" w:sz="4" w:space="0" w:color="333333"/>
              <w:bottom w:val="single" w:sz="4" w:space="0" w:color="C0C0C0"/>
              <w:right w:val="nil"/>
            </w:tcBorders>
            <w:shd w:val="clear" w:color="000000" w:fill="D9E1F2"/>
            <w:noWrap/>
            <w:hideMark/>
          </w:tcPr>
          <w:p w14:paraId="43C5C7E7"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35</w:t>
            </w:r>
          </w:p>
        </w:tc>
      </w:tr>
      <w:tr w:rsidR="00667CD5" w:rsidRPr="003037D2" w14:paraId="03B99F13" w14:textId="77777777" w:rsidTr="00162224">
        <w:trPr>
          <w:trHeight w:val="290"/>
        </w:trPr>
        <w:tc>
          <w:tcPr>
            <w:tcW w:w="0" w:type="auto"/>
            <w:vMerge/>
            <w:tcBorders>
              <w:top w:val="nil"/>
              <w:left w:val="nil"/>
              <w:bottom w:val="single" w:sz="4" w:space="0" w:color="C0C0C0"/>
              <w:right w:val="nil"/>
            </w:tcBorders>
            <w:vAlign w:val="center"/>
            <w:hideMark/>
          </w:tcPr>
          <w:p w14:paraId="3B2973EF" w14:textId="77777777" w:rsidR="00162224" w:rsidRPr="003037D2" w:rsidRDefault="00162224" w:rsidP="00162224">
            <w:pPr>
              <w:spacing w:line="360" w:lineRule="auto"/>
              <w:rPr>
                <w:rFonts w:ascii="Garamond" w:eastAsia="Times New Roman" w:hAnsi="Garamond" w:cs="Arial"/>
                <w:color w:val="333399"/>
                <w:sz w:val="20"/>
                <w:szCs w:val="20"/>
                <w:lang w:eastAsia="en-GB"/>
              </w:rPr>
            </w:pPr>
          </w:p>
        </w:tc>
        <w:tc>
          <w:tcPr>
            <w:tcW w:w="0" w:type="auto"/>
            <w:tcBorders>
              <w:top w:val="nil"/>
              <w:left w:val="nil"/>
              <w:bottom w:val="single" w:sz="4" w:space="0" w:color="C0C0C0"/>
              <w:right w:val="nil"/>
            </w:tcBorders>
            <w:shd w:val="clear" w:color="000000" w:fill="CCCCFF"/>
            <w:noWrap/>
            <w:hideMark/>
          </w:tcPr>
          <w:p w14:paraId="40515E8F"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1621</w:t>
            </w:r>
          </w:p>
        </w:tc>
        <w:tc>
          <w:tcPr>
            <w:tcW w:w="0" w:type="auto"/>
            <w:tcBorders>
              <w:top w:val="nil"/>
              <w:left w:val="single" w:sz="4" w:space="0" w:color="333333"/>
              <w:bottom w:val="single" w:sz="4" w:space="0" w:color="C0C0C0"/>
              <w:right w:val="single" w:sz="4" w:space="0" w:color="333333"/>
            </w:tcBorders>
            <w:shd w:val="clear" w:color="auto" w:fill="auto"/>
            <w:noWrap/>
            <w:hideMark/>
          </w:tcPr>
          <w:p w14:paraId="0CA55969"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4</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3E63D33B"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15</w:t>
            </w:r>
          </w:p>
        </w:tc>
        <w:tc>
          <w:tcPr>
            <w:tcW w:w="0" w:type="auto"/>
            <w:tcBorders>
              <w:top w:val="nil"/>
              <w:left w:val="nil"/>
              <w:bottom w:val="single" w:sz="4" w:space="0" w:color="C0C0C0"/>
              <w:right w:val="single" w:sz="4" w:space="0" w:color="333333"/>
            </w:tcBorders>
            <w:shd w:val="clear" w:color="auto" w:fill="auto"/>
            <w:noWrap/>
            <w:hideMark/>
          </w:tcPr>
          <w:p w14:paraId="16AB6038"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18</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4796F965"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69</w:t>
            </w:r>
          </w:p>
        </w:tc>
        <w:tc>
          <w:tcPr>
            <w:tcW w:w="0" w:type="auto"/>
            <w:tcBorders>
              <w:top w:val="nil"/>
              <w:left w:val="nil"/>
              <w:bottom w:val="single" w:sz="4" w:space="0" w:color="C0C0C0"/>
              <w:right w:val="single" w:sz="4" w:space="0" w:color="333333"/>
            </w:tcBorders>
            <w:shd w:val="clear" w:color="auto" w:fill="auto"/>
            <w:noWrap/>
            <w:hideMark/>
          </w:tcPr>
          <w:p w14:paraId="05EA6240"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13</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0BC7DA77"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50</w:t>
            </w:r>
          </w:p>
        </w:tc>
        <w:tc>
          <w:tcPr>
            <w:tcW w:w="0" w:type="auto"/>
            <w:tcBorders>
              <w:top w:val="nil"/>
              <w:left w:val="nil"/>
              <w:bottom w:val="single" w:sz="4" w:space="0" w:color="C0C0C0"/>
              <w:right w:val="single" w:sz="4" w:space="0" w:color="333333"/>
            </w:tcBorders>
            <w:shd w:val="clear" w:color="auto" w:fill="auto"/>
            <w:noWrap/>
            <w:hideMark/>
          </w:tcPr>
          <w:p w14:paraId="0D14B6F7"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15</w:t>
            </w:r>
          </w:p>
        </w:tc>
        <w:tc>
          <w:tcPr>
            <w:tcW w:w="0" w:type="auto"/>
            <w:tcBorders>
              <w:top w:val="single" w:sz="4" w:space="0" w:color="993366"/>
              <w:left w:val="nil"/>
              <w:bottom w:val="single" w:sz="4" w:space="0" w:color="C0C0C0"/>
              <w:right w:val="nil"/>
            </w:tcBorders>
            <w:shd w:val="clear" w:color="auto" w:fill="auto"/>
            <w:noWrap/>
            <w:hideMark/>
          </w:tcPr>
          <w:p w14:paraId="6EBBC9E4"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58</w:t>
            </w:r>
          </w:p>
        </w:tc>
        <w:tc>
          <w:tcPr>
            <w:tcW w:w="0" w:type="auto"/>
            <w:tcBorders>
              <w:top w:val="nil"/>
              <w:left w:val="single" w:sz="4" w:space="0" w:color="333333"/>
              <w:bottom w:val="single" w:sz="4" w:space="0" w:color="C0C0C0"/>
              <w:right w:val="nil"/>
            </w:tcBorders>
            <w:shd w:val="clear" w:color="000000" w:fill="D9E1F2"/>
            <w:noWrap/>
            <w:hideMark/>
          </w:tcPr>
          <w:p w14:paraId="353D1774"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26</w:t>
            </w:r>
          </w:p>
        </w:tc>
      </w:tr>
      <w:tr w:rsidR="00667CD5" w:rsidRPr="003037D2" w14:paraId="6BFB4C91" w14:textId="77777777" w:rsidTr="00162224">
        <w:trPr>
          <w:trHeight w:val="290"/>
        </w:trPr>
        <w:tc>
          <w:tcPr>
            <w:tcW w:w="0" w:type="auto"/>
            <w:vMerge/>
            <w:tcBorders>
              <w:top w:val="nil"/>
              <w:left w:val="nil"/>
              <w:bottom w:val="single" w:sz="4" w:space="0" w:color="C0C0C0"/>
              <w:right w:val="nil"/>
            </w:tcBorders>
            <w:vAlign w:val="center"/>
            <w:hideMark/>
          </w:tcPr>
          <w:p w14:paraId="03185EE4" w14:textId="77777777" w:rsidR="00162224" w:rsidRPr="003037D2" w:rsidRDefault="00162224" w:rsidP="00162224">
            <w:pPr>
              <w:spacing w:line="360" w:lineRule="auto"/>
              <w:rPr>
                <w:rFonts w:ascii="Garamond" w:eastAsia="Times New Roman" w:hAnsi="Garamond" w:cs="Arial"/>
                <w:color w:val="333399"/>
                <w:sz w:val="20"/>
                <w:szCs w:val="20"/>
                <w:lang w:eastAsia="en-GB"/>
              </w:rPr>
            </w:pPr>
          </w:p>
        </w:tc>
        <w:tc>
          <w:tcPr>
            <w:tcW w:w="0" w:type="auto"/>
            <w:tcBorders>
              <w:top w:val="nil"/>
              <w:left w:val="nil"/>
              <w:bottom w:val="single" w:sz="4" w:space="0" w:color="C0C0C0"/>
              <w:right w:val="nil"/>
            </w:tcBorders>
            <w:shd w:val="clear" w:color="000000" w:fill="CCCCFF"/>
            <w:noWrap/>
            <w:hideMark/>
          </w:tcPr>
          <w:p w14:paraId="58FD1323"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1622</w:t>
            </w:r>
          </w:p>
        </w:tc>
        <w:tc>
          <w:tcPr>
            <w:tcW w:w="0" w:type="auto"/>
            <w:tcBorders>
              <w:top w:val="nil"/>
              <w:left w:val="single" w:sz="4" w:space="0" w:color="333333"/>
              <w:bottom w:val="single" w:sz="4" w:space="0" w:color="C0C0C0"/>
              <w:right w:val="single" w:sz="4" w:space="0" w:color="333333"/>
            </w:tcBorders>
            <w:shd w:val="clear" w:color="auto" w:fill="auto"/>
            <w:noWrap/>
            <w:hideMark/>
          </w:tcPr>
          <w:p w14:paraId="7FD41C66"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07528179"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3</w:t>
            </w:r>
          </w:p>
        </w:tc>
        <w:tc>
          <w:tcPr>
            <w:tcW w:w="0" w:type="auto"/>
            <w:tcBorders>
              <w:top w:val="nil"/>
              <w:left w:val="nil"/>
              <w:bottom w:val="single" w:sz="4" w:space="0" w:color="C0C0C0"/>
              <w:right w:val="single" w:sz="4" w:space="0" w:color="333333"/>
            </w:tcBorders>
            <w:shd w:val="clear" w:color="auto" w:fill="auto"/>
            <w:noWrap/>
            <w:hideMark/>
          </w:tcPr>
          <w:p w14:paraId="033DC1B9"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31</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733D839C"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78</w:t>
            </w:r>
          </w:p>
        </w:tc>
        <w:tc>
          <w:tcPr>
            <w:tcW w:w="0" w:type="auto"/>
            <w:tcBorders>
              <w:top w:val="nil"/>
              <w:left w:val="nil"/>
              <w:bottom w:val="single" w:sz="4" w:space="0" w:color="C0C0C0"/>
              <w:right w:val="single" w:sz="4" w:space="0" w:color="333333"/>
            </w:tcBorders>
            <w:shd w:val="clear" w:color="auto" w:fill="auto"/>
            <w:noWrap/>
            <w:hideMark/>
          </w:tcPr>
          <w:p w14:paraId="19EEFABA"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27</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00157024"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68</w:t>
            </w:r>
          </w:p>
        </w:tc>
        <w:tc>
          <w:tcPr>
            <w:tcW w:w="0" w:type="auto"/>
            <w:tcBorders>
              <w:top w:val="nil"/>
              <w:left w:val="nil"/>
              <w:bottom w:val="single" w:sz="4" w:space="0" w:color="C0C0C0"/>
              <w:right w:val="single" w:sz="4" w:space="0" w:color="333333"/>
            </w:tcBorders>
            <w:shd w:val="clear" w:color="auto" w:fill="auto"/>
            <w:noWrap/>
            <w:hideMark/>
          </w:tcPr>
          <w:p w14:paraId="517BBBE4"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25</w:t>
            </w:r>
          </w:p>
        </w:tc>
        <w:tc>
          <w:tcPr>
            <w:tcW w:w="0" w:type="auto"/>
            <w:tcBorders>
              <w:top w:val="single" w:sz="4" w:space="0" w:color="993366"/>
              <w:left w:val="nil"/>
              <w:bottom w:val="single" w:sz="4" w:space="0" w:color="C0C0C0"/>
              <w:right w:val="nil"/>
            </w:tcBorders>
            <w:shd w:val="clear" w:color="auto" w:fill="auto"/>
            <w:noWrap/>
            <w:hideMark/>
          </w:tcPr>
          <w:p w14:paraId="12E3F71E"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63</w:t>
            </w:r>
          </w:p>
        </w:tc>
        <w:tc>
          <w:tcPr>
            <w:tcW w:w="0" w:type="auto"/>
            <w:tcBorders>
              <w:top w:val="nil"/>
              <w:left w:val="single" w:sz="4" w:space="0" w:color="333333"/>
              <w:bottom w:val="single" w:sz="4" w:space="0" w:color="C0C0C0"/>
              <w:right w:val="nil"/>
            </w:tcBorders>
            <w:shd w:val="clear" w:color="000000" w:fill="D9E1F2"/>
            <w:noWrap/>
            <w:hideMark/>
          </w:tcPr>
          <w:p w14:paraId="4E8C007B"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40</w:t>
            </w:r>
          </w:p>
        </w:tc>
      </w:tr>
      <w:tr w:rsidR="00667CD5" w:rsidRPr="003037D2" w14:paraId="45AD796D" w14:textId="77777777" w:rsidTr="00162224">
        <w:trPr>
          <w:trHeight w:val="290"/>
        </w:trPr>
        <w:tc>
          <w:tcPr>
            <w:tcW w:w="0" w:type="auto"/>
            <w:vMerge/>
            <w:tcBorders>
              <w:top w:val="nil"/>
              <w:left w:val="nil"/>
              <w:bottom w:val="single" w:sz="4" w:space="0" w:color="C0C0C0"/>
              <w:right w:val="nil"/>
            </w:tcBorders>
            <w:vAlign w:val="center"/>
            <w:hideMark/>
          </w:tcPr>
          <w:p w14:paraId="22B5475F" w14:textId="77777777" w:rsidR="00162224" w:rsidRPr="003037D2" w:rsidRDefault="00162224" w:rsidP="00162224">
            <w:pPr>
              <w:spacing w:line="360" w:lineRule="auto"/>
              <w:rPr>
                <w:rFonts w:ascii="Garamond" w:eastAsia="Times New Roman" w:hAnsi="Garamond" w:cs="Arial"/>
                <w:color w:val="333399"/>
                <w:sz w:val="20"/>
                <w:szCs w:val="20"/>
                <w:lang w:eastAsia="en-GB"/>
              </w:rPr>
            </w:pPr>
          </w:p>
        </w:tc>
        <w:tc>
          <w:tcPr>
            <w:tcW w:w="0" w:type="auto"/>
            <w:tcBorders>
              <w:top w:val="nil"/>
              <w:left w:val="nil"/>
              <w:bottom w:val="single" w:sz="4" w:space="0" w:color="C0C0C0"/>
              <w:right w:val="nil"/>
            </w:tcBorders>
            <w:shd w:val="clear" w:color="000000" w:fill="CCCCFF"/>
            <w:noWrap/>
            <w:hideMark/>
          </w:tcPr>
          <w:p w14:paraId="1F7FC22F"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1623</w:t>
            </w:r>
          </w:p>
        </w:tc>
        <w:tc>
          <w:tcPr>
            <w:tcW w:w="0" w:type="auto"/>
            <w:tcBorders>
              <w:top w:val="nil"/>
              <w:left w:val="single" w:sz="4" w:space="0" w:color="333333"/>
              <w:bottom w:val="single" w:sz="4" w:space="0" w:color="C0C0C0"/>
              <w:right w:val="single" w:sz="4" w:space="0" w:color="333333"/>
            </w:tcBorders>
            <w:shd w:val="clear" w:color="auto" w:fill="auto"/>
            <w:noWrap/>
            <w:hideMark/>
          </w:tcPr>
          <w:p w14:paraId="0349412C"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3</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2C55DC06"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9</w:t>
            </w:r>
          </w:p>
        </w:tc>
        <w:tc>
          <w:tcPr>
            <w:tcW w:w="0" w:type="auto"/>
            <w:tcBorders>
              <w:top w:val="nil"/>
              <w:left w:val="nil"/>
              <w:bottom w:val="single" w:sz="4" w:space="0" w:color="C0C0C0"/>
              <w:right w:val="single" w:sz="4" w:space="0" w:color="333333"/>
            </w:tcBorders>
            <w:shd w:val="clear" w:color="auto" w:fill="auto"/>
            <w:noWrap/>
            <w:hideMark/>
          </w:tcPr>
          <w:p w14:paraId="74E69E02"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29</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4E489CAD"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83</w:t>
            </w:r>
          </w:p>
        </w:tc>
        <w:tc>
          <w:tcPr>
            <w:tcW w:w="0" w:type="auto"/>
            <w:tcBorders>
              <w:top w:val="nil"/>
              <w:left w:val="nil"/>
              <w:bottom w:val="single" w:sz="4" w:space="0" w:color="C0C0C0"/>
              <w:right w:val="single" w:sz="4" w:space="0" w:color="333333"/>
            </w:tcBorders>
            <w:shd w:val="clear" w:color="auto" w:fill="auto"/>
            <w:noWrap/>
            <w:hideMark/>
          </w:tcPr>
          <w:p w14:paraId="52AF6CB1"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25</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2EE9A5F5"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71</w:t>
            </w:r>
          </w:p>
        </w:tc>
        <w:tc>
          <w:tcPr>
            <w:tcW w:w="0" w:type="auto"/>
            <w:tcBorders>
              <w:top w:val="nil"/>
              <w:left w:val="nil"/>
              <w:bottom w:val="single" w:sz="4" w:space="0" w:color="C0C0C0"/>
              <w:right w:val="single" w:sz="4" w:space="0" w:color="333333"/>
            </w:tcBorders>
            <w:shd w:val="clear" w:color="auto" w:fill="auto"/>
            <w:noWrap/>
            <w:hideMark/>
          </w:tcPr>
          <w:p w14:paraId="549071CF"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14</w:t>
            </w:r>
          </w:p>
        </w:tc>
        <w:tc>
          <w:tcPr>
            <w:tcW w:w="0" w:type="auto"/>
            <w:tcBorders>
              <w:top w:val="single" w:sz="4" w:space="0" w:color="993366"/>
              <w:left w:val="nil"/>
              <w:bottom w:val="single" w:sz="4" w:space="0" w:color="C0C0C0"/>
              <w:right w:val="nil"/>
            </w:tcBorders>
            <w:shd w:val="clear" w:color="auto" w:fill="auto"/>
            <w:noWrap/>
            <w:hideMark/>
          </w:tcPr>
          <w:p w14:paraId="446AE8D1"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40</w:t>
            </w:r>
          </w:p>
        </w:tc>
        <w:tc>
          <w:tcPr>
            <w:tcW w:w="0" w:type="auto"/>
            <w:tcBorders>
              <w:top w:val="nil"/>
              <w:left w:val="single" w:sz="4" w:space="0" w:color="333333"/>
              <w:bottom w:val="single" w:sz="4" w:space="0" w:color="C0C0C0"/>
              <w:right w:val="nil"/>
            </w:tcBorders>
            <w:shd w:val="clear" w:color="000000" w:fill="D9E1F2"/>
            <w:noWrap/>
            <w:hideMark/>
          </w:tcPr>
          <w:p w14:paraId="547272DD"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35</w:t>
            </w:r>
          </w:p>
        </w:tc>
      </w:tr>
      <w:tr w:rsidR="00667CD5" w:rsidRPr="003037D2" w14:paraId="01C4A300" w14:textId="77777777" w:rsidTr="00162224">
        <w:trPr>
          <w:trHeight w:val="290"/>
        </w:trPr>
        <w:tc>
          <w:tcPr>
            <w:tcW w:w="0" w:type="auto"/>
            <w:vMerge/>
            <w:tcBorders>
              <w:top w:val="nil"/>
              <w:left w:val="nil"/>
              <w:bottom w:val="single" w:sz="4" w:space="0" w:color="C0C0C0"/>
              <w:right w:val="nil"/>
            </w:tcBorders>
            <w:vAlign w:val="center"/>
            <w:hideMark/>
          </w:tcPr>
          <w:p w14:paraId="2B182F14" w14:textId="77777777" w:rsidR="00162224" w:rsidRPr="003037D2" w:rsidRDefault="00162224" w:rsidP="00162224">
            <w:pPr>
              <w:spacing w:line="360" w:lineRule="auto"/>
              <w:rPr>
                <w:rFonts w:ascii="Garamond" w:eastAsia="Times New Roman" w:hAnsi="Garamond" w:cs="Arial"/>
                <w:color w:val="333399"/>
                <w:sz w:val="20"/>
                <w:szCs w:val="20"/>
                <w:lang w:eastAsia="en-GB"/>
              </w:rPr>
            </w:pPr>
          </w:p>
        </w:tc>
        <w:tc>
          <w:tcPr>
            <w:tcW w:w="0" w:type="auto"/>
            <w:tcBorders>
              <w:top w:val="nil"/>
              <w:left w:val="nil"/>
              <w:bottom w:val="single" w:sz="4" w:space="0" w:color="C0C0C0"/>
              <w:right w:val="nil"/>
            </w:tcBorders>
            <w:shd w:val="clear" w:color="000000" w:fill="CCCCFF"/>
            <w:noWrap/>
            <w:hideMark/>
          </w:tcPr>
          <w:p w14:paraId="59D2DBFE"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1624</w:t>
            </w:r>
          </w:p>
        </w:tc>
        <w:tc>
          <w:tcPr>
            <w:tcW w:w="0" w:type="auto"/>
            <w:tcBorders>
              <w:top w:val="nil"/>
              <w:left w:val="single" w:sz="4" w:space="0" w:color="333333"/>
              <w:bottom w:val="single" w:sz="4" w:space="0" w:color="C0C0C0"/>
              <w:right w:val="single" w:sz="4" w:space="0" w:color="333333"/>
            </w:tcBorders>
            <w:shd w:val="clear" w:color="auto" w:fill="auto"/>
            <w:noWrap/>
            <w:hideMark/>
          </w:tcPr>
          <w:p w14:paraId="094E954A"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26C1EE95"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w:t>
            </w:r>
          </w:p>
        </w:tc>
        <w:tc>
          <w:tcPr>
            <w:tcW w:w="0" w:type="auto"/>
            <w:tcBorders>
              <w:top w:val="nil"/>
              <w:left w:val="nil"/>
              <w:bottom w:val="single" w:sz="4" w:space="0" w:color="C0C0C0"/>
              <w:right w:val="single" w:sz="4" w:space="0" w:color="333333"/>
            </w:tcBorders>
            <w:shd w:val="clear" w:color="auto" w:fill="auto"/>
            <w:noWrap/>
            <w:hideMark/>
          </w:tcPr>
          <w:p w14:paraId="78EA9488"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28</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5A510D68"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80</w:t>
            </w:r>
          </w:p>
        </w:tc>
        <w:tc>
          <w:tcPr>
            <w:tcW w:w="0" w:type="auto"/>
            <w:tcBorders>
              <w:top w:val="nil"/>
              <w:left w:val="nil"/>
              <w:bottom w:val="single" w:sz="4" w:space="0" w:color="C0C0C0"/>
              <w:right w:val="single" w:sz="4" w:space="0" w:color="333333"/>
            </w:tcBorders>
            <w:shd w:val="clear" w:color="auto" w:fill="auto"/>
            <w:noWrap/>
            <w:hideMark/>
          </w:tcPr>
          <w:p w14:paraId="727C2D1D"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28</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20DBA5AD"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80</w:t>
            </w:r>
          </w:p>
        </w:tc>
        <w:tc>
          <w:tcPr>
            <w:tcW w:w="0" w:type="auto"/>
            <w:tcBorders>
              <w:top w:val="nil"/>
              <w:left w:val="nil"/>
              <w:bottom w:val="single" w:sz="4" w:space="0" w:color="C0C0C0"/>
              <w:right w:val="single" w:sz="4" w:space="0" w:color="333333"/>
            </w:tcBorders>
            <w:shd w:val="clear" w:color="auto" w:fill="auto"/>
            <w:noWrap/>
            <w:hideMark/>
          </w:tcPr>
          <w:p w14:paraId="256FA64E"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22</w:t>
            </w:r>
          </w:p>
        </w:tc>
        <w:tc>
          <w:tcPr>
            <w:tcW w:w="0" w:type="auto"/>
            <w:tcBorders>
              <w:top w:val="single" w:sz="4" w:space="0" w:color="993366"/>
              <w:left w:val="nil"/>
              <w:bottom w:val="single" w:sz="4" w:space="0" w:color="C0C0C0"/>
              <w:right w:val="nil"/>
            </w:tcBorders>
            <w:shd w:val="clear" w:color="auto" w:fill="auto"/>
            <w:noWrap/>
            <w:hideMark/>
          </w:tcPr>
          <w:p w14:paraId="474BCA9D"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63</w:t>
            </w:r>
          </w:p>
        </w:tc>
        <w:tc>
          <w:tcPr>
            <w:tcW w:w="0" w:type="auto"/>
            <w:tcBorders>
              <w:top w:val="nil"/>
              <w:left w:val="single" w:sz="4" w:space="0" w:color="333333"/>
              <w:bottom w:val="single" w:sz="4" w:space="0" w:color="C0C0C0"/>
              <w:right w:val="nil"/>
            </w:tcBorders>
            <w:shd w:val="clear" w:color="000000" w:fill="D9E1F2"/>
            <w:noWrap/>
            <w:hideMark/>
          </w:tcPr>
          <w:p w14:paraId="41A8BF6D"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35</w:t>
            </w:r>
          </w:p>
        </w:tc>
      </w:tr>
      <w:tr w:rsidR="00667CD5" w:rsidRPr="003037D2" w14:paraId="7948C0F6" w14:textId="77777777" w:rsidTr="00162224">
        <w:trPr>
          <w:trHeight w:val="290"/>
        </w:trPr>
        <w:tc>
          <w:tcPr>
            <w:tcW w:w="0" w:type="auto"/>
            <w:vMerge/>
            <w:tcBorders>
              <w:top w:val="nil"/>
              <w:left w:val="nil"/>
              <w:bottom w:val="single" w:sz="4" w:space="0" w:color="C0C0C0"/>
              <w:right w:val="nil"/>
            </w:tcBorders>
            <w:vAlign w:val="center"/>
            <w:hideMark/>
          </w:tcPr>
          <w:p w14:paraId="6FADE7C7" w14:textId="77777777" w:rsidR="00162224" w:rsidRPr="003037D2" w:rsidRDefault="00162224" w:rsidP="00162224">
            <w:pPr>
              <w:spacing w:line="360" w:lineRule="auto"/>
              <w:rPr>
                <w:rFonts w:ascii="Garamond" w:eastAsia="Times New Roman" w:hAnsi="Garamond" w:cs="Arial"/>
                <w:color w:val="333399"/>
                <w:sz w:val="20"/>
                <w:szCs w:val="20"/>
                <w:lang w:eastAsia="en-GB"/>
              </w:rPr>
            </w:pPr>
          </w:p>
        </w:tc>
        <w:tc>
          <w:tcPr>
            <w:tcW w:w="0" w:type="auto"/>
            <w:tcBorders>
              <w:top w:val="nil"/>
              <w:left w:val="nil"/>
              <w:bottom w:val="single" w:sz="4" w:space="0" w:color="C0C0C0"/>
              <w:right w:val="nil"/>
            </w:tcBorders>
            <w:shd w:val="clear" w:color="000000" w:fill="CCCCFF"/>
            <w:noWrap/>
            <w:hideMark/>
          </w:tcPr>
          <w:p w14:paraId="7DA1A0A6"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1625</w:t>
            </w:r>
          </w:p>
        </w:tc>
        <w:tc>
          <w:tcPr>
            <w:tcW w:w="0" w:type="auto"/>
            <w:tcBorders>
              <w:top w:val="nil"/>
              <w:left w:val="single" w:sz="4" w:space="0" w:color="333333"/>
              <w:bottom w:val="single" w:sz="4" w:space="0" w:color="C0C0C0"/>
              <w:right w:val="single" w:sz="4" w:space="0" w:color="333333"/>
            </w:tcBorders>
            <w:shd w:val="clear" w:color="auto" w:fill="auto"/>
            <w:noWrap/>
            <w:hideMark/>
          </w:tcPr>
          <w:p w14:paraId="3C9CEBAD"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6B0A30EC"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w:t>
            </w:r>
          </w:p>
        </w:tc>
        <w:tc>
          <w:tcPr>
            <w:tcW w:w="0" w:type="auto"/>
            <w:tcBorders>
              <w:top w:val="nil"/>
              <w:left w:val="nil"/>
              <w:bottom w:val="single" w:sz="4" w:space="0" w:color="C0C0C0"/>
              <w:right w:val="single" w:sz="4" w:space="0" w:color="333333"/>
            </w:tcBorders>
            <w:shd w:val="clear" w:color="auto" w:fill="auto"/>
            <w:noWrap/>
            <w:hideMark/>
          </w:tcPr>
          <w:p w14:paraId="0103CF37"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31</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0A311FAA"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94</w:t>
            </w:r>
          </w:p>
        </w:tc>
        <w:tc>
          <w:tcPr>
            <w:tcW w:w="0" w:type="auto"/>
            <w:tcBorders>
              <w:top w:val="nil"/>
              <w:left w:val="nil"/>
              <w:bottom w:val="single" w:sz="4" w:space="0" w:color="C0C0C0"/>
              <w:right w:val="single" w:sz="4" w:space="0" w:color="333333"/>
            </w:tcBorders>
            <w:shd w:val="clear" w:color="auto" w:fill="auto"/>
            <w:noWrap/>
            <w:hideMark/>
          </w:tcPr>
          <w:p w14:paraId="19987675"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26</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0905203D"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79</w:t>
            </w:r>
          </w:p>
        </w:tc>
        <w:tc>
          <w:tcPr>
            <w:tcW w:w="0" w:type="auto"/>
            <w:tcBorders>
              <w:top w:val="nil"/>
              <w:left w:val="nil"/>
              <w:bottom w:val="single" w:sz="4" w:space="0" w:color="C0C0C0"/>
              <w:right w:val="single" w:sz="4" w:space="0" w:color="333333"/>
            </w:tcBorders>
            <w:shd w:val="clear" w:color="auto" w:fill="auto"/>
            <w:noWrap/>
            <w:hideMark/>
          </w:tcPr>
          <w:p w14:paraId="24B2890F"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22</w:t>
            </w:r>
          </w:p>
        </w:tc>
        <w:tc>
          <w:tcPr>
            <w:tcW w:w="0" w:type="auto"/>
            <w:tcBorders>
              <w:top w:val="single" w:sz="4" w:space="0" w:color="993366"/>
              <w:left w:val="nil"/>
              <w:bottom w:val="single" w:sz="4" w:space="0" w:color="C0C0C0"/>
              <w:right w:val="nil"/>
            </w:tcBorders>
            <w:shd w:val="clear" w:color="auto" w:fill="auto"/>
            <w:noWrap/>
            <w:hideMark/>
          </w:tcPr>
          <w:p w14:paraId="7040CBD1"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67</w:t>
            </w:r>
          </w:p>
        </w:tc>
        <w:tc>
          <w:tcPr>
            <w:tcW w:w="0" w:type="auto"/>
            <w:tcBorders>
              <w:top w:val="nil"/>
              <w:left w:val="single" w:sz="4" w:space="0" w:color="333333"/>
              <w:bottom w:val="single" w:sz="4" w:space="0" w:color="C0C0C0"/>
              <w:right w:val="nil"/>
            </w:tcBorders>
            <w:shd w:val="clear" w:color="000000" w:fill="D9E1F2"/>
            <w:noWrap/>
            <w:hideMark/>
          </w:tcPr>
          <w:p w14:paraId="00D7FE70"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33</w:t>
            </w:r>
          </w:p>
        </w:tc>
      </w:tr>
      <w:tr w:rsidR="00667CD5" w:rsidRPr="003037D2" w14:paraId="5E3C10F7" w14:textId="77777777" w:rsidTr="00162224">
        <w:trPr>
          <w:trHeight w:val="290"/>
        </w:trPr>
        <w:tc>
          <w:tcPr>
            <w:tcW w:w="0" w:type="auto"/>
            <w:vMerge/>
            <w:tcBorders>
              <w:top w:val="nil"/>
              <w:left w:val="nil"/>
              <w:bottom w:val="single" w:sz="4" w:space="0" w:color="C0C0C0"/>
              <w:right w:val="nil"/>
            </w:tcBorders>
            <w:vAlign w:val="center"/>
            <w:hideMark/>
          </w:tcPr>
          <w:p w14:paraId="771F98FF" w14:textId="77777777" w:rsidR="00162224" w:rsidRPr="003037D2" w:rsidRDefault="00162224" w:rsidP="00162224">
            <w:pPr>
              <w:spacing w:line="360" w:lineRule="auto"/>
              <w:rPr>
                <w:rFonts w:ascii="Garamond" w:eastAsia="Times New Roman" w:hAnsi="Garamond" w:cs="Arial"/>
                <w:color w:val="333399"/>
                <w:sz w:val="20"/>
                <w:szCs w:val="20"/>
                <w:lang w:eastAsia="en-GB"/>
              </w:rPr>
            </w:pPr>
          </w:p>
        </w:tc>
        <w:tc>
          <w:tcPr>
            <w:tcW w:w="0" w:type="auto"/>
            <w:tcBorders>
              <w:top w:val="nil"/>
              <w:left w:val="nil"/>
              <w:bottom w:val="single" w:sz="4" w:space="0" w:color="C0C0C0"/>
              <w:right w:val="nil"/>
            </w:tcBorders>
            <w:shd w:val="clear" w:color="000000" w:fill="CCCCFF"/>
            <w:noWrap/>
            <w:hideMark/>
          </w:tcPr>
          <w:p w14:paraId="123D6F24"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1626</w:t>
            </w:r>
          </w:p>
        </w:tc>
        <w:tc>
          <w:tcPr>
            <w:tcW w:w="0" w:type="auto"/>
            <w:tcBorders>
              <w:top w:val="nil"/>
              <w:left w:val="single" w:sz="4" w:space="0" w:color="333333"/>
              <w:bottom w:val="single" w:sz="4" w:space="0" w:color="C0C0C0"/>
              <w:right w:val="single" w:sz="4" w:space="0" w:color="333333"/>
            </w:tcBorders>
            <w:shd w:val="clear" w:color="auto" w:fill="auto"/>
            <w:noWrap/>
            <w:hideMark/>
          </w:tcPr>
          <w:p w14:paraId="59DD7F55"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216AD61E"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w:t>
            </w:r>
          </w:p>
        </w:tc>
        <w:tc>
          <w:tcPr>
            <w:tcW w:w="0" w:type="auto"/>
            <w:tcBorders>
              <w:top w:val="nil"/>
              <w:left w:val="nil"/>
              <w:bottom w:val="single" w:sz="4" w:space="0" w:color="C0C0C0"/>
              <w:right w:val="single" w:sz="4" w:space="0" w:color="333333"/>
            </w:tcBorders>
            <w:shd w:val="clear" w:color="auto" w:fill="auto"/>
            <w:noWrap/>
            <w:hideMark/>
          </w:tcPr>
          <w:p w14:paraId="1AA50881"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27</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4843FAE7"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87</w:t>
            </w:r>
          </w:p>
        </w:tc>
        <w:tc>
          <w:tcPr>
            <w:tcW w:w="0" w:type="auto"/>
            <w:tcBorders>
              <w:top w:val="nil"/>
              <w:left w:val="nil"/>
              <w:bottom w:val="single" w:sz="4" w:space="0" w:color="C0C0C0"/>
              <w:right w:val="single" w:sz="4" w:space="0" w:color="333333"/>
            </w:tcBorders>
            <w:shd w:val="clear" w:color="auto" w:fill="auto"/>
            <w:noWrap/>
            <w:hideMark/>
          </w:tcPr>
          <w:p w14:paraId="72FD590A"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25</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7C4DCEC3"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81</w:t>
            </w:r>
          </w:p>
        </w:tc>
        <w:tc>
          <w:tcPr>
            <w:tcW w:w="0" w:type="auto"/>
            <w:tcBorders>
              <w:top w:val="nil"/>
              <w:left w:val="nil"/>
              <w:bottom w:val="single" w:sz="4" w:space="0" w:color="C0C0C0"/>
              <w:right w:val="single" w:sz="4" w:space="0" w:color="333333"/>
            </w:tcBorders>
            <w:shd w:val="clear" w:color="auto" w:fill="auto"/>
            <w:noWrap/>
            <w:hideMark/>
          </w:tcPr>
          <w:p w14:paraId="5002120A"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19</w:t>
            </w:r>
          </w:p>
        </w:tc>
        <w:tc>
          <w:tcPr>
            <w:tcW w:w="0" w:type="auto"/>
            <w:tcBorders>
              <w:top w:val="single" w:sz="4" w:space="0" w:color="993366"/>
              <w:left w:val="nil"/>
              <w:bottom w:val="single" w:sz="4" w:space="0" w:color="C0C0C0"/>
              <w:right w:val="nil"/>
            </w:tcBorders>
            <w:shd w:val="clear" w:color="auto" w:fill="auto"/>
            <w:noWrap/>
            <w:hideMark/>
          </w:tcPr>
          <w:p w14:paraId="7A7AE591"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61</w:t>
            </w:r>
          </w:p>
        </w:tc>
        <w:tc>
          <w:tcPr>
            <w:tcW w:w="0" w:type="auto"/>
            <w:tcBorders>
              <w:top w:val="nil"/>
              <w:left w:val="single" w:sz="4" w:space="0" w:color="333333"/>
              <w:bottom w:val="single" w:sz="4" w:space="0" w:color="C0C0C0"/>
              <w:right w:val="nil"/>
            </w:tcBorders>
            <w:shd w:val="clear" w:color="000000" w:fill="D9E1F2"/>
            <w:noWrap/>
            <w:hideMark/>
          </w:tcPr>
          <w:p w14:paraId="57C5E702"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31</w:t>
            </w:r>
          </w:p>
        </w:tc>
      </w:tr>
      <w:tr w:rsidR="00667CD5" w:rsidRPr="003037D2" w14:paraId="7A115F77" w14:textId="77777777" w:rsidTr="00162224">
        <w:trPr>
          <w:trHeight w:val="290"/>
        </w:trPr>
        <w:tc>
          <w:tcPr>
            <w:tcW w:w="0" w:type="auto"/>
            <w:vMerge/>
            <w:tcBorders>
              <w:top w:val="nil"/>
              <w:left w:val="nil"/>
              <w:bottom w:val="single" w:sz="4" w:space="0" w:color="C0C0C0"/>
              <w:right w:val="nil"/>
            </w:tcBorders>
            <w:vAlign w:val="center"/>
            <w:hideMark/>
          </w:tcPr>
          <w:p w14:paraId="4163BA62" w14:textId="77777777" w:rsidR="00162224" w:rsidRPr="003037D2" w:rsidRDefault="00162224" w:rsidP="00162224">
            <w:pPr>
              <w:spacing w:line="360" w:lineRule="auto"/>
              <w:rPr>
                <w:rFonts w:ascii="Garamond" w:eastAsia="Times New Roman" w:hAnsi="Garamond" w:cs="Arial"/>
                <w:color w:val="333399"/>
                <w:sz w:val="20"/>
                <w:szCs w:val="20"/>
                <w:lang w:eastAsia="en-GB"/>
              </w:rPr>
            </w:pPr>
          </w:p>
        </w:tc>
        <w:tc>
          <w:tcPr>
            <w:tcW w:w="0" w:type="auto"/>
            <w:tcBorders>
              <w:top w:val="nil"/>
              <w:left w:val="nil"/>
              <w:bottom w:val="single" w:sz="4" w:space="0" w:color="C0C0C0"/>
              <w:right w:val="nil"/>
            </w:tcBorders>
            <w:shd w:val="clear" w:color="000000" w:fill="CCCCFF"/>
            <w:noWrap/>
            <w:hideMark/>
          </w:tcPr>
          <w:p w14:paraId="29F21599"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1627</w:t>
            </w:r>
          </w:p>
        </w:tc>
        <w:tc>
          <w:tcPr>
            <w:tcW w:w="0" w:type="auto"/>
            <w:tcBorders>
              <w:top w:val="nil"/>
              <w:left w:val="single" w:sz="4" w:space="0" w:color="333333"/>
              <w:bottom w:val="single" w:sz="4" w:space="0" w:color="C0C0C0"/>
              <w:right w:val="single" w:sz="4" w:space="0" w:color="333333"/>
            </w:tcBorders>
            <w:shd w:val="clear" w:color="auto" w:fill="auto"/>
            <w:noWrap/>
            <w:hideMark/>
          </w:tcPr>
          <w:p w14:paraId="473359CF"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18094221"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8</w:t>
            </w:r>
          </w:p>
        </w:tc>
        <w:tc>
          <w:tcPr>
            <w:tcW w:w="0" w:type="auto"/>
            <w:tcBorders>
              <w:top w:val="nil"/>
              <w:left w:val="nil"/>
              <w:bottom w:val="single" w:sz="4" w:space="0" w:color="C0C0C0"/>
              <w:right w:val="single" w:sz="4" w:space="0" w:color="333333"/>
            </w:tcBorders>
            <w:shd w:val="clear" w:color="auto" w:fill="auto"/>
            <w:noWrap/>
            <w:hideMark/>
          </w:tcPr>
          <w:p w14:paraId="363A9CFE"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19</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01A58E2D"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79</w:t>
            </w:r>
          </w:p>
        </w:tc>
        <w:tc>
          <w:tcPr>
            <w:tcW w:w="0" w:type="auto"/>
            <w:tcBorders>
              <w:top w:val="nil"/>
              <w:left w:val="nil"/>
              <w:bottom w:val="single" w:sz="4" w:space="0" w:color="C0C0C0"/>
              <w:right w:val="single" w:sz="4" w:space="0" w:color="333333"/>
            </w:tcBorders>
            <w:shd w:val="clear" w:color="auto" w:fill="auto"/>
            <w:noWrap/>
            <w:hideMark/>
          </w:tcPr>
          <w:p w14:paraId="474BF5EA"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16</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4825FA3C"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67</w:t>
            </w:r>
          </w:p>
        </w:tc>
        <w:tc>
          <w:tcPr>
            <w:tcW w:w="0" w:type="auto"/>
            <w:tcBorders>
              <w:top w:val="nil"/>
              <w:left w:val="nil"/>
              <w:bottom w:val="single" w:sz="4" w:space="0" w:color="C0C0C0"/>
              <w:right w:val="single" w:sz="4" w:space="0" w:color="333333"/>
            </w:tcBorders>
            <w:shd w:val="clear" w:color="auto" w:fill="auto"/>
            <w:noWrap/>
            <w:hideMark/>
          </w:tcPr>
          <w:p w14:paraId="73FDA822"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17</w:t>
            </w:r>
          </w:p>
        </w:tc>
        <w:tc>
          <w:tcPr>
            <w:tcW w:w="0" w:type="auto"/>
            <w:tcBorders>
              <w:top w:val="single" w:sz="4" w:space="0" w:color="993366"/>
              <w:left w:val="nil"/>
              <w:bottom w:val="single" w:sz="4" w:space="0" w:color="C0C0C0"/>
              <w:right w:val="nil"/>
            </w:tcBorders>
            <w:shd w:val="clear" w:color="auto" w:fill="auto"/>
            <w:noWrap/>
            <w:hideMark/>
          </w:tcPr>
          <w:p w14:paraId="65282679"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71</w:t>
            </w:r>
          </w:p>
        </w:tc>
        <w:tc>
          <w:tcPr>
            <w:tcW w:w="0" w:type="auto"/>
            <w:tcBorders>
              <w:top w:val="nil"/>
              <w:left w:val="single" w:sz="4" w:space="0" w:color="333333"/>
              <w:bottom w:val="single" w:sz="4" w:space="0" w:color="C0C0C0"/>
              <w:right w:val="nil"/>
            </w:tcBorders>
            <w:shd w:val="clear" w:color="000000" w:fill="D9E1F2"/>
            <w:noWrap/>
            <w:hideMark/>
          </w:tcPr>
          <w:p w14:paraId="5058CF31"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24</w:t>
            </w:r>
          </w:p>
        </w:tc>
      </w:tr>
      <w:tr w:rsidR="00667CD5" w:rsidRPr="003037D2" w14:paraId="361E0CA5" w14:textId="77777777" w:rsidTr="00162224">
        <w:trPr>
          <w:trHeight w:val="290"/>
        </w:trPr>
        <w:tc>
          <w:tcPr>
            <w:tcW w:w="0" w:type="auto"/>
            <w:vMerge/>
            <w:tcBorders>
              <w:top w:val="nil"/>
              <w:left w:val="nil"/>
              <w:bottom w:val="single" w:sz="4" w:space="0" w:color="C0C0C0"/>
              <w:right w:val="nil"/>
            </w:tcBorders>
            <w:vAlign w:val="center"/>
            <w:hideMark/>
          </w:tcPr>
          <w:p w14:paraId="0788622D" w14:textId="77777777" w:rsidR="00162224" w:rsidRPr="003037D2" w:rsidRDefault="00162224" w:rsidP="00162224">
            <w:pPr>
              <w:spacing w:line="360" w:lineRule="auto"/>
              <w:rPr>
                <w:rFonts w:ascii="Garamond" w:eastAsia="Times New Roman" w:hAnsi="Garamond" w:cs="Arial"/>
                <w:color w:val="333399"/>
                <w:sz w:val="20"/>
                <w:szCs w:val="20"/>
                <w:lang w:eastAsia="en-GB"/>
              </w:rPr>
            </w:pPr>
          </w:p>
        </w:tc>
        <w:tc>
          <w:tcPr>
            <w:tcW w:w="0" w:type="auto"/>
            <w:tcBorders>
              <w:top w:val="nil"/>
              <w:left w:val="nil"/>
              <w:bottom w:val="single" w:sz="4" w:space="0" w:color="C0C0C0"/>
              <w:right w:val="nil"/>
            </w:tcBorders>
            <w:shd w:val="clear" w:color="000000" w:fill="CCCCFF"/>
            <w:noWrap/>
            <w:hideMark/>
          </w:tcPr>
          <w:p w14:paraId="162B1B43"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1628</w:t>
            </w:r>
          </w:p>
        </w:tc>
        <w:tc>
          <w:tcPr>
            <w:tcW w:w="0" w:type="auto"/>
            <w:tcBorders>
              <w:top w:val="nil"/>
              <w:left w:val="single" w:sz="4" w:space="0" w:color="333333"/>
              <w:bottom w:val="single" w:sz="4" w:space="0" w:color="C0C0C0"/>
              <w:right w:val="single" w:sz="4" w:space="0" w:color="333333"/>
            </w:tcBorders>
            <w:shd w:val="clear" w:color="auto" w:fill="auto"/>
            <w:noWrap/>
            <w:hideMark/>
          </w:tcPr>
          <w:p w14:paraId="0EC194B0"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3</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3371D205"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12</w:t>
            </w:r>
          </w:p>
        </w:tc>
        <w:tc>
          <w:tcPr>
            <w:tcW w:w="0" w:type="auto"/>
            <w:tcBorders>
              <w:top w:val="nil"/>
              <w:left w:val="nil"/>
              <w:bottom w:val="single" w:sz="4" w:space="0" w:color="C0C0C0"/>
              <w:right w:val="single" w:sz="4" w:space="0" w:color="333333"/>
            </w:tcBorders>
            <w:shd w:val="clear" w:color="auto" w:fill="auto"/>
            <w:noWrap/>
            <w:hideMark/>
          </w:tcPr>
          <w:p w14:paraId="3092D87E"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22</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0C8828FA"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85</w:t>
            </w:r>
          </w:p>
        </w:tc>
        <w:tc>
          <w:tcPr>
            <w:tcW w:w="0" w:type="auto"/>
            <w:tcBorders>
              <w:top w:val="nil"/>
              <w:left w:val="nil"/>
              <w:bottom w:val="single" w:sz="4" w:space="0" w:color="C0C0C0"/>
              <w:right w:val="single" w:sz="4" w:space="0" w:color="333333"/>
            </w:tcBorders>
            <w:shd w:val="clear" w:color="auto" w:fill="auto"/>
            <w:noWrap/>
            <w:hideMark/>
          </w:tcPr>
          <w:p w14:paraId="5E98B212"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17</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22F43FAC"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65</w:t>
            </w:r>
          </w:p>
        </w:tc>
        <w:tc>
          <w:tcPr>
            <w:tcW w:w="0" w:type="auto"/>
            <w:tcBorders>
              <w:top w:val="nil"/>
              <w:left w:val="nil"/>
              <w:bottom w:val="single" w:sz="4" w:space="0" w:color="C0C0C0"/>
              <w:right w:val="single" w:sz="4" w:space="0" w:color="333333"/>
            </w:tcBorders>
            <w:shd w:val="clear" w:color="auto" w:fill="auto"/>
            <w:noWrap/>
            <w:hideMark/>
          </w:tcPr>
          <w:p w14:paraId="0F3B68E1"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16</w:t>
            </w:r>
          </w:p>
        </w:tc>
        <w:tc>
          <w:tcPr>
            <w:tcW w:w="0" w:type="auto"/>
            <w:tcBorders>
              <w:top w:val="single" w:sz="4" w:space="0" w:color="993366"/>
              <w:left w:val="nil"/>
              <w:bottom w:val="single" w:sz="4" w:space="0" w:color="C0C0C0"/>
              <w:right w:val="nil"/>
            </w:tcBorders>
            <w:shd w:val="clear" w:color="auto" w:fill="auto"/>
            <w:noWrap/>
            <w:hideMark/>
          </w:tcPr>
          <w:p w14:paraId="75332679"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62</w:t>
            </w:r>
          </w:p>
        </w:tc>
        <w:tc>
          <w:tcPr>
            <w:tcW w:w="0" w:type="auto"/>
            <w:tcBorders>
              <w:top w:val="nil"/>
              <w:left w:val="single" w:sz="4" w:space="0" w:color="333333"/>
              <w:bottom w:val="single" w:sz="4" w:space="0" w:color="C0C0C0"/>
              <w:right w:val="nil"/>
            </w:tcBorders>
            <w:shd w:val="clear" w:color="000000" w:fill="D9E1F2"/>
            <w:noWrap/>
            <w:hideMark/>
          </w:tcPr>
          <w:p w14:paraId="4657ECA3"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26</w:t>
            </w:r>
          </w:p>
        </w:tc>
      </w:tr>
      <w:tr w:rsidR="00667CD5" w:rsidRPr="003037D2" w14:paraId="272DFC77" w14:textId="77777777" w:rsidTr="00162224">
        <w:trPr>
          <w:trHeight w:val="290"/>
        </w:trPr>
        <w:tc>
          <w:tcPr>
            <w:tcW w:w="0" w:type="auto"/>
            <w:vMerge/>
            <w:tcBorders>
              <w:top w:val="nil"/>
              <w:left w:val="nil"/>
              <w:bottom w:val="single" w:sz="4" w:space="0" w:color="C0C0C0"/>
              <w:right w:val="nil"/>
            </w:tcBorders>
            <w:vAlign w:val="center"/>
            <w:hideMark/>
          </w:tcPr>
          <w:p w14:paraId="39D7F134" w14:textId="77777777" w:rsidR="00162224" w:rsidRPr="003037D2" w:rsidRDefault="00162224" w:rsidP="00162224">
            <w:pPr>
              <w:spacing w:line="360" w:lineRule="auto"/>
              <w:rPr>
                <w:rFonts w:ascii="Garamond" w:eastAsia="Times New Roman" w:hAnsi="Garamond" w:cs="Arial"/>
                <w:color w:val="333399"/>
                <w:sz w:val="20"/>
                <w:szCs w:val="20"/>
                <w:lang w:eastAsia="en-GB"/>
              </w:rPr>
            </w:pPr>
          </w:p>
        </w:tc>
        <w:tc>
          <w:tcPr>
            <w:tcW w:w="0" w:type="auto"/>
            <w:tcBorders>
              <w:top w:val="nil"/>
              <w:left w:val="nil"/>
              <w:bottom w:val="single" w:sz="4" w:space="0" w:color="C0C0C0"/>
              <w:right w:val="nil"/>
            </w:tcBorders>
            <w:shd w:val="clear" w:color="000000" w:fill="CCCCFF"/>
            <w:noWrap/>
            <w:hideMark/>
          </w:tcPr>
          <w:p w14:paraId="2C4D3ADF"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1629</w:t>
            </w:r>
          </w:p>
        </w:tc>
        <w:tc>
          <w:tcPr>
            <w:tcW w:w="0" w:type="auto"/>
            <w:tcBorders>
              <w:top w:val="nil"/>
              <w:left w:val="single" w:sz="4" w:space="0" w:color="333333"/>
              <w:bottom w:val="single" w:sz="4" w:space="0" w:color="C0C0C0"/>
              <w:right w:val="single" w:sz="4" w:space="0" w:color="333333"/>
            </w:tcBorders>
            <w:shd w:val="clear" w:color="auto" w:fill="auto"/>
            <w:noWrap/>
            <w:hideMark/>
          </w:tcPr>
          <w:p w14:paraId="29D854D4"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4</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6B3B1E5B"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21</w:t>
            </w:r>
          </w:p>
        </w:tc>
        <w:tc>
          <w:tcPr>
            <w:tcW w:w="0" w:type="auto"/>
            <w:tcBorders>
              <w:top w:val="nil"/>
              <w:left w:val="nil"/>
              <w:bottom w:val="single" w:sz="4" w:space="0" w:color="C0C0C0"/>
              <w:right w:val="single" w:sz="4" w:space="0" w:color="333333"/>
            </w:tcBorders>
            <w:shd w:val="clear" w:color="auto" w:fill="auto"/>
            <w:noWrap/>
            <w:hideMark/>
          </w:tcPr>
          <w:p w14:paraId="560884FD"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13</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1FE2C889"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68</w:t>
            </w:r>
          </w:p>
        </w:tc>
        <w:tc>
          <w:tcPr>
            <w:tcW w:w="0" w:type="auto"/>
            <w:tcBorders>
              <w:top w:val="nil"/>
              <w:left w:val="nil"/>
              <w:bottom w:val="single" w:sz="4" w:space="0" w:color="C0C0C0"/>
              <w:right w:val="single" w:sz="4" w:space="0" w:color="333333"/>
            </w:tcBorders>
            <w:shd w:val="clear" w:color="auto" w:fill="auto"/>
            <w:noWrap/>
            <w:hideMark/>
          </w:tcPr>
          <w:p w14:paraId="5A33F574"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13</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165C3A23"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68</w:t>
            </w:r>
          </w:p>
        </w:tc>
        <w:tc>
          <w:tcPr>
            <w:tcW w:w="0" w:type="auto"/>
            <w:tcBorders>
              <w:top w:val="nil"/>
              <w:left w:val="nil"/>
              <w:bottom w:val="single" w:sz="4" w:space="0" w:color="C0C0C0"/>
              <w:right w:val="single" w:sz="4" w:space="0" w:color="333333"/>
            </w:tcBorders>
            <w:shd w:val="clear" w:color="auto" w:fill="auto"/>
            <w:noWrap/>
            <w:hideMark/>
          </w:tcPr>
          <w:p w14:paraId="6B2EFFC4"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16</w:t>
            </w:r>
          </w:p>
        </w:tc>
        <w:tc>
          <w:tcPr>
            <w:tcW w:w="0" w:type="auto"/>
            <w:tcBorders>
              <w:top w:val="single" w:sz="4" w:space="0" w:color="993366"/>
              <w:left w:val="nil"/>
              <w:bottom w:val="single" w:sz="4" w:space="0" w:color="C0C0C0"/>
              <w:right w:val="nil"/>
            </w:tcBorders>
            <w:shd w:val="clear" w:color="auto" w:fill="auto"/>
            <w:noWrap/>
            <w:hideMark/>
          </w:tcPr>
          <w:p w14:paraId="0517051B"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84</w:t>
            </w:r>
          </w:p>
        </w:tc>
        <w:tc>
          <w:tcPr>
            <w:tcW w:w="0" w:type="auto"/>
            <w:tcBorders>
              <w:top w:val="nil"/>
              <w:left w:val="single" w:sz="4" w:space="0" w:color="333333"/>
              <w:bottom w:val="single" w:sz="4" w:space="0" w:color="C0C0C0"/>
              <w:right w:val="nil"/>
            </w:tcBorders>
            <w:shd w:val="clear" w:color="000000" w:fill="D9E1F2"/>
            <w:noWrap/>
            <w:hideMark/>
          </w:tcPr>
          <w:p w14:paraId="5F2B9CDF"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19</w:t>
            </w:r>
          </w:p>
        </w:tc>
      </w:tr>
      <w:tr w:rsidR="00667CD5" w:rsidRPr="003037D2" w14:paraId="28488B70" w14:textId="77777777" w:rsidTr="00162224">
        <w:trPr>
          <w:trHeight w:val="290"/>
        </w:trPr>
        <w:tc>
          <w:tcPr>
            <w:tcW w:w="0" w:type="auto"/>
            <w:vMerge/>
            <w:tcBorders>
              <w:top w:val="nil"/>
              <w:left w:val="nil"/>
              <w:bottom w:val="single" w:sz="4" w:space="0" w:color="C0C0C0"/>
              <w:right w:val="nil"/>
            </w:tcBorders>
            <w:vAlign w:val="center"/>
            <w:hideMark/>
          </w:tcPr>
          <w:p w14:paraId="2A3B38D3" w14:textId="77777777" w:rsidR="00162224" w:rsidRPr="003037D2" w:rsidRDefault="00162224" w:rsidP="00162224">
            <w:pPr>
              <w:spacing w:line="360" w:lineRule="auto"/>
              <w:rPr>
                <w:rFonts w:ascii="Garamond" w:eastAsia="Times New Roman" w:hAnsi="Garamond" w:cs="Arial"/>
                <w:color w:val="333399"/>
                <w:sz w:val="20"/>
                <w:szCs w:val="20"/>
                <w:lang w:eastAsia="en-GB"/>
              </w:rPr>
            </w:pPr>
          </w:p>
        </w:tc>
        <w:tc>
          <w:tcPr>
            <w:tcW w:w="0" w:type="auto"/>
            <w:tcBorders>
              <w:top w:val="nil"/>
              <w:left w:val="nil"/>
              <w:bottom w:val="single" w:sz="4" w:space="0" w:color="C0C0C0"/>
              <w:right w:val="nil"/>
            </w:tcBorders>
            <w:shd w:val="clear" w:color="000000" w:fill="CCCCFF"/>
            <w:noWrap/>
            <w:hideMark/>
          </w:tcPr>
          <w:p w14:paraId="3CFFB717"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1630</w:t>
            </w:r>
          </w:p>
        </w:tc>
        <w:tc>
          <w:tcPr>
            <w:tcW w:w="0" w:type="auto"/>
            <w:tcBorders>
              <w:top w:val="nil"/>
              <w:left w:val="single" w:sz="4" w:space="0" w:color="333333"/>
              <w:bottom w:val="single" w:sz="4" w:space="0" w:color="C0C0C0"/>
              <w:right w:val="single" w:sz="4" w:space="0" w:color="333333"/>
            </w:tcBorders>
            <w:shd w:val="clear" w:color="auto" w:fill="auto"/>
            <w:noWrap/>
            <w:hideMark/>
          </w:tcPr>
          <w:p w14:paraId="391FCF4A"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3</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14600CDF"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10</w:t>
            </w:r>
          </w:p>
        </w:tc>
        <w:tc>
          <w:tcPr>
            <w:tcW w:w="0" w:type="auto"/>
            <w:tcBorders>
              <w:top w:val="nil"/>
              <w:left w:val="nil"/>
              <w:bottom w:val="single" w:sz="4" w:space="0" w:color="C0C0C0"/>
              <w:right w:val="single" w:sz="4" w:space="0" w:color="333333"/>
            </w:tcBorders>
            <w:shd w:val="clear" w:color="auto" w:fill="auto"/>
            <w:noWrap/>
            <w:hideMark/>
          </w:tcPr>
          <w:p w14:paraId="43DA8953"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16</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31D3057A"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55</w:t>
            </w:r>
          </w:p>
        </w:tc>
        <w:tc>
          <w:tcPr>
            <w:tcW w:w="0" w:type="auto"/>
            <w:tcBorders>
              <w:top w:val="nil"/>
              <w:left w:val="nil"/>
              <w:bottom w:val="single" w:sz="4" w:space="0" w:color="C0C0C0"/>
              <w:right w:val="single" w:sz="4" w:space="0" w:color="333333"/>
            </w:tcBorders>
            <w:shd w:val="clear" w:color="auto" w:fill="auto"/>
            <w:noWrap/>
            <w:hideMark/>
          </w:tcPr>
          <w:p w14:paraId="0785E860"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19</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37305031"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66</w:t>
            </w:r>
          </w:p>
        </w:tc>
        <w:tc>
          <w:tcPr>
            <w:tcW w:w="0" w:type="auto"/>
            <w:tcBorders>
              <w:top w:val="nil"/>
              <w:left w:val="nil"/>
              <w:bottom w:val="single" w:sz="4" w:space="0" w:color="C0C0C0"/>
              <w:right w:val="single" w:sz="4" w:space="0" w:color="333333"/>
            </w:tcBorders>
            <w:shd w:val="clear" w:color="auto" w:fill="auto"/>
            <w:noWrap/>
            <w:hideMark/>
          </w:tcPr>
          <w:p w14:paraId="53812CCF"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16</w:t>
            </w:r>
          </w:p>
        </w:tc>
        <w:tc>
          <w:tcPr>
            <w:tcW w:w="0" w:type="auto"/>
            <w:tcBorders>
              <w:top w:val="single" w:sz="4" w:space="0" w:color="993366"/>
              <w:left w:val="nil"/>
              <w:bottom w:val="single" w:sz="4" w:space="0" w:color="C0C0C0"/>
              <w:right w:val="nil"/>
            </w:tcBorders>
            <w:shd w:val="clear" w:color="auto" w:fill="auto"/>
            <w:noWrap/>
            <w:hideMark/>
          </w:tcPr>
          <w:p w14:paraId="1DA0E634"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55</w:t>
            </w:r>
          </w:p>
        </w:tc>
        <w:tc>
          <w:tcPr>
            <w:tcW w:w="0" w:type="auto"/>
            <w:tcBorders>
              <w:top w:val="nil"/>
              <w:left w:val="single" w:sz="4" w:space="0" w:color="333333"/>
              <w:bottom w:val="single" w:sz="4" w:space="0" w:color="C0C0C0"/>
              <w:right w:val="nil"/>
            </w:tcBorders>
            <w:shd w:val="clear" w:color="000000" w:fill="D9E1F2"/>
            <w:noWrap/>
            <w:hideMark/>
          </w:tcPr>
          <w:p w14:paraId="40AC2D09"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29</w:t>
            </w:r>
          </w:p>
        </w:tc>
      </w:tr>
      <w:tr w:rsidR="00667CD5" w:rsidRPr="003037D2" w14:paraId="485B2619" w14:textId="77777777" w:rsidTr="00162224">
        <w:trPr>
          <w:trHeight w:val="290"/>
        </w:trPr>
        <w:tc>
          <w:tcPr>
            <w:tcW w:w="0" w:type="auto"/>
            <w:vMerge/>
            <w:tcBorders>
              <w:top w:val="nil"/>
              <w:left w:val="nil"/>
              <w:bottom w:val="single" w:sz="4" w:space="0" w:color="C0C0C0"/>
              <w:right w:val="nil"/>
            </w:tcBorders>
            <w:vAlign w:val="center"/>
            <w:hideMark/>
          </w:tcPr>
          <w:p w14:paraId="021A0103" w14:textId="77777777" w:rsidR="00162224" w:rsidRPr="003037D2" w:rsidRDefault="00162224" w:rsidP="00162224">
            <w:pPr>
              <w:spacing w:line="360" w:lineRule="auto"/>
              <w:rPr>
                <w:rFonts w:ascii="Garamond" w:eastAsia="Times New Roman" w:hAnsi="Garamond" w:cs="Arial"/>
                <w:color w:val="333399"/>
                <w:sz w:val="20"/>
                <w:szCs w:val="20"/>
                <w:lang w:eastAsia="en-GB"/>
              </w:rPr>
            </w:pPr>
          </w:p>
        </w:tc>
        <w:tc>
          <w:tcPr>
            <w:tcW w:w="0" w:type="auto"/>
            <w:tcBorders>
              <w:top w:val="nil"/>
              <w:left w:val="nil"/>
              <w:bottom w:val="single" w:sz="4" w:space="0" w:color="C0C0C0"/>
              <w:right w:val="nil"/>
            </w:tcBorders>
            <w:shd w:val="clear" w:color="000000" w:fill="CCCCFF"/>
            <w:noWrap/>
            <w:hideMark/>
          </w:tcPr>
          <w:p w14:paraId="3AA581D8"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1631</w:t>
            </w:r>
          </w:p>
        </w:tc>
        <w:tc>
          <w:tcPr>
            <w:tcW w:w="0" w:type="auto"/>
            <w:tcBorders>
              <w:top w:val="nil"/>
              <w:left w:val="single" w:sz="4" w:space="0" w:color="333333"/>
              <w:bottom w:val="single" w:sz="4" w:space="0" w:color="C0C0C0"/>
              <w:right w:val="single" w:sz="4" w:space="0" w:color="333333"/>
            </w:tcBorders>
            <w:shd w:val="clear" w:color="auto" w:fill="auto"/>
            <w:noWrap/>
            <w:hideMark/>
          </w:tcPr>
          <w:p w14:paraId="7A730652"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3</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29C67A3E"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16</w:t>
            </w:r>
          </w:p>
        </w:tc>
        <w:tc>
          <w:tcPr>
            <w:tcW w:w="0" w:type="auto"/>
            <w:tcBorders>
              <w:top w:val="nil"/>
              <w:left w:val="nil"/>
              <w:bottom w:val="single" w:sz="4" w:space="0" w:color="C0C0C0"/>
              <w:right w:val="single" w:sz="4" w:space="0" w:color="333333"/>
            </w:tcBorders>
            <w:shd w:val="clear" w:color="auto" w:fill="auto"/>
            <w:noWrap/>
            <w:hideMark/>
          </w:tcPr>
          <w:p w14:paraId="3E4C5924"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14</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120491E6"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74</w:t>
            </w:r>
          </w:p>
        </w:tc>
        <w:tc>
          <w:tcPr>
            <w:tcW w:w="0" w:type="auto"/>
            <w:tcBorders>
              <w:top w:val="nil"/>
              <w:left w:val="nil"/>
              <w:bottom w:val="single" w:sz="4" w:space="0" w:color="C0C0C0"/>
              <w:right w:val="single" w:sz="4" w:space="0" w:color="333333"/>
            </w:tcBorders>
            <w:shd w:val="clear" w:color="auto" w:fill="auto"/>
            <w:noWrap/>
            <w:hideMark/>
          </w:tcPr>
          <w:p w14:paraId="545DD389"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9</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2E890457"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47</w:t>
            </w:r>
          </w:p>
        </w:tc>
        <w:tc>
          <w:tcPr>
            <w:tcW w:w="0" w:type="auto"/>
            <w:tcBorders>
              <w:top w:val="nil"/>
              <w:left w:val="nil"/>
              <w:bottom w:val="single" w:sz="4" w:space="0" w:color="C0C0C0"/>
              <w:right w:val="single" w:sz="4" w:space="0" w:color="333333"/>
            </w:tcBorders>
            <w:shd w:val="clear" w:color="auto" w:fill="auto"/>
            <w:noWrap/>
            <w:hideMark/>
          </w:tcPr>
          <w:p w14:paraId="597841B7"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13</w:t>
            </w:r>
          </w:p>
        </w:tc>
        <w:tc>
          <w:tcPr>
            <w:tcW w:w="0" w:type="auto"/>
            <w:tcBorders>
              <w:top w:val="single" w:sz="4" w:space="0" w:color="993366"/>
              <w:left w:val="nil"/>
              <w:bottom w:val="single" w:sz="4" w:space="0" w:color="C0C0C0"/>
              <w:right w:val="nil"/>
            </w:tcBorders>
            <w:shd w:val="clear" w:color="auto" w:fill="auto"/>
            <w:noWrap/>
            <w:hideMark/>
          </w:tcPr>
          <w:p w14:paraId="757DE796"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68</w:t>
            </w:r>
          </w:p>
        </w:tc>
        <w:tc>
          <w:tcPr>
            <w:tcW w:w="0" w:type="auto"/>
            <w:tcBorders>
              <w:top w:val="nil"/>
              <w:left w:val="single" w:sz="4" w:space="0" w:color="333333"/>
              <w:bottom w:val="single" w:sz="4" w:space="0" w:color="C0C0C0"/>
              <w:right w:val="nil"/>
            </w:tcBorders>
            <w:shd w:val="clear" w:color="000000" w:fill="D9E1F2"/>
            <w:noWrap/>
            <w:hideMark/>
          </w:tcPr>
          <w:p w14:paraId="7A2A6B16"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19</w:t>
            </w:r>
          </w:p>
        </w:tc>
      </w:tr>
      <w:tr w:rsidR="00667CD5" w:rsidRPr="003037D2" w14:paraId="40C19153" w14:textId="77777777" w:rsidTr="00162224">
        <w:trPr>
          <w:trHeight w:val="290"/>
        </w:trPr>
        <w:tc>
          <w:tcPr>
            <w:tcW w:w="0" w:type="auto"/>
            <w:vMerge/>
            <w:tcBorders>
              <w:top w:val="nil"/>
              <w:left w:val="nil"/>
              <w:bottom w:val="single" w:sz="4" w:space="0" w:color="C0C0C0"/>
              <w:right w:val="nil"/>
            </w:tcBorders>
            <w:vAlign w:val="center"/>
            <w:hideMark/>
          </w:tcPr>
          <w:p w14:paraId="6BD177B4" w14:textId="77777777" w:rsidR="00162224" w:rsidRPr="003037D2" w:rsidRDefault="00162224" w:rsidP="00162224">
            <w:pPr>
              <w:spacing w:line="360" w:lineRule="auto"/>
              <w:rPr>
                <w:rFonts w:ascii="Garamond" w:eastAsia="Times New Roman" w:hAnsi="Garamond" w:cs="Arial"/>
                <w:color w:val="333399"/>
                <w:sz w:val="20"/>
                <w:szCs w:val="20"/>
                <w:lang w:eastAsia="en-GB"/>
              </w:rPr>
            </w:pPr>
          </w:p>
        </w:tc>
        <w:tc>
          <w:tcPr>
            <w:tcW w:w="0" w:type="auto"/>
            <w:tcBorders>
              <w:top w:val="nil"/>
              <w:left w:val="nil"/>
              <w:bottom w:val="single" w:sz="4" w:space="0" w:color="C0C0C0"/>
              <w:right w:val="nil"/>
            </w:tcBorders>
            <w:shd w:val="clear" w:color="000000" w:fill="CCCCFF"/>
            <w:noWrap/>
            <w:hideMark/>
          </w:tcPr>
          <w:p w14:paraId="5DEA2070"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1632</w:t>
            </w:r>
          </w:p>
        </w:tc>
        <w:tc>
          <w:tcPr>
            <w:tcW w:w="0" w:type="auto"/>
            <w:tcBorders>
              <w:top w:val="nil"/>
              <w:left w:val="single" w:sz="4" w:space="0" w:color="333333"/>
              <w:bottom w:val="single" w:sz="4" w:space="0" w:color="C0C0C0"/>
              <w:right w:val="single" w:sz="4" w:space="0" w:color="333333"/>
            </w:tcBorders>
            <w:shd w:val="clear" w:color="auto" w:fill="auto"/>
            <w:noWrap/>
            <w:hideMark/>
          </w:tcPr>
          <w:p w14:paraId="79EB3FD3"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5</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50FC8B5F"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19</w:t>
            </w:r>
          </w:p>
        </w:tc>
        <w:tc>
          <w:tcPr>
            <w:tcW w:w="0" w:type="auto"/>
            <w:tcBorders>
              <w:top w:val="nil"/>
              <w:left w:val="nil"/>
              <w:bottom w:val="single" w:sz="4" w:space="0" w:color="C0C0C0"/>
              <w:right w:val="single" w:sz="4" w:space="0" w:color="333333"/>
            </w:tcBorders>
            <w:shd w:val="clear" w:color="auto" w:fill="auto"/>
            <w:noWrap/>
            <w:hideMark/>
          </w:tcPr>
          <w:p w14:paraId="037B8FF6"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15</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364E78AE"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58</w:t>
            </w:r>
          </w:p>
        </w:tc>
        <w:tc>
          <w:tcPr>
            <w:tcW w:w="0" w:type="auto"/>
            <w:tcBorders>
              <w:top w:val="nil"/>
              <w:left w:val="nil"/>
              <w:bottom w:val="single" w:sz="4" w:space="0" w:color="C0C0C0"/>
              <w:right w:val="single" w:sz="4" w:space="0" w:color="333333"/>
            </w:tcBorders>
            <w:shd w:val="clear" w:color="auto" w:fill="auto"/>
            <w:noWrap/>
            <w:hideMark/>
          </w:tcPr>
          <w:p w14:paraId="7B787A68"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16</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57FCE7C2"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62</w:t>
            </w:r>
          </w:p>
        </w:tc>
        <w:tc>
          <w:tcPr>
            <w:tcW w:w="0" w:type="auto"/>
            <w:tcBorders>
              <w:top w:val="nil"/>
              <w:left w:val="nil"/>
              <w:bottom w:val="single" w:sz="4" w:space="0" w:color="C0C0C0"/>
              <w:right w:val="single" w:sz="4" w:space="0" w:color="333333"/>
            </w:tcBorders>
            <w:shd w:val="clear" w:color="auto" w:fill="auto"/>
            <w:noWrap/>
            <w:hideMark/>
          </w:tcPr>
          <w:p w14:paraId="1C53E09C"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14</w:t>
            </w:r>
          </w:p>
        </w:tc>
        <w:tc>
          <w:tcPr>
            <w:tcW w:w="0" w:type="auto"/>
            <w:tcBorders>
              <w:top w:val="single" w:sz="4" w:space="0" w:color="993366"/>
              <w:left w:val="nil"/>
              <w:bottom w:val="single" w:sz="4" w:space="0" w:color="C0C0C0"/>
              <w:right w:val="nil"/>
            </w:tcBorders>
            <w:shd w:val="clear" w:color="auto" w:fill="auto"/>
            <w:noWrap/>
            <w:hideMark/>
          </w:tcPr>
          <w:p w14:paraId="58DC800F"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54</w:t>
            </w:r>
          </w:p>
        </w:tc>
        <w:tc>
          <w:tcPr>
            <w:tcW w:w="0" w:type="auto"/>
            <w:tcBorders>
              <w:top w:val="nil"/>
              <w:left w:val="single" w:sz="4" w:space="0" w:color="333333"/>
              <w:bottom w:val="single" w:sz="4" w:space="0" w:color="C0C0C0"/>
              <w:right w:val="nil"/>
            </w:tcBorders>
            <w:shd w:val="clear" w:color="000000" w:fill="D9E1F2"/>
            <w:noWrap/>
            <w:hideMark/>
          </w:tcPr>
          <w:p w14:paraId="1E29B2EB"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26</w:t>
            </w:r>
          </w:p>
        </w:tc>
      </w:tr>
      <w:tr w:rsidR="00667CD5" w:rsidRPr="003037D2" w14:paraId="380585DB" w14:textId="77777777" w:rsidTr="00162224">
        <w:trPr>
          <w:trHeight w:val="290"/>
        </w:trPr>
        <w:tc>
          <w:tcPr>
            <w:tcW w:w="0" w:type="auto"/>
            <w:vMerge/>
            <w:tcBorders>
              <w:top w:val="nil"/>
              <w:left w:val="nil"/>
              <w:bottom w:val="single" w:sz="4" w:space="0" w:color="C0C0C0"/>
              <w:right w:val="nil"/>
            </w:tcBorders>
            <w:vAlign w:val="center"/>
            <w:hideMark/>
          </w:tcPr>
          <w:p w14:paraId="5CF10095" w14:textId="77777777" w:rsidR="00162224" w:rsidRPr="003037D2" w:rsidRDefault="00162224" w:rsidP="00162224">
            <w:pPr>
              <w:spacing w:line="360" w:lineRule="auto"/>
              <w:rPr>
                <w:rFonts w:ascii="Garamond" w:eastAsia="Times New Roman" w:hAnsi="Garamond" w:cs="Arial"/>
                <w:color w:val="333399"/>
                <w:sz w:val="20"/>
                <w:szCs w:val="20"/>
                <w:lang w:eastAsia="en-GB"/>
              </w:rPr>
            </w:pPr>
          </w:p>
        </w:tc>
        <w:tc>
          <w:tcPr>
            <w:tcW w:w="0" w:type="auto"/>
            <w:tcBorders>
              <w:top w:val="nil"/>
              <w:left w:val="nil"/>
              <w:bottom w:val="single" w:sz="4" w:space="0" w:color="C0C0C0"/>
              <w:right w:val="nil"/>
            </w:tcBorders>
            <w:shd w:val="clear" w:color="000000" w:fill="CCCCFF"/>
            <w:noWrap/>
            <w:hideMark/>
          </w:tcPr>
          <w:p w14:paraId="24B02F65"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1633</w:t>
            </w:r>
          </w:p>
        </w:tc>
        <w:tc>
          <w:tcPr>
            <w:tcW w:w="0" w:type="auto"/>
            <w:tcBorders>
              <w:top w:val="nil"/>
              <w:left w:val="single" w:sz="4" w:space="0" w:color="333333"/>
              <w:bottom w:val="single" w:sz="4" w:space="0" w:color="C0C0C0"/>
              <w:right w:val="single" w:sz="4" w:space="0" w:color="333333"/>
            </w:tcBorders>
            <w:shd w:val="clear" w:color="auto" w:fill="auto"/>
            <w:noWrap/>
            <w:hideMark/>
          </w:tcPr>
          <w:p w14:paraId="1616F250"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095A9885"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25</w:t>
            </w:r>
          </w:p>
        </w:tc>
        <w:tc>
          <w:tcPr>
            <w:tcW w:w="0" w:type="auto"/>
            <w:tcBorders>
              <w:top w:val="nil"/>
              <w:left w:val="nil"/>
              <w:bottom w:val="single" w:sz="4" w:space="0" w:color="C0C0C0"/>
              <w:right w:val="single" w:sz="4" w:space="0" w:color="333333"/>
            </w:tcBorders>
            <w:shd w:val="clear" w:color="auto" w:fill="auto"/>
            <w:noWrap/>
            <w:hideMark/>
          </w:tcPr>
          <w:p w14:paraId="7399D54B"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16</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6F989A2D"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67</w:t>
            </w:r>
          </w:p>
        </w:tc>
        <w:tc>
          <w:tcPr>
            <w:tcW w:w="0" w:type="auto"/>
            <w:tcBorders>
              <w:top w:val="nil"/>
              <w:left w:val="nil"/>
              <w:bottom w:val="single" w:sz="4" w:space="0" w:color="C0C0C0"/>
              <w:right w:val="single" w:sz="4" w:space="0" w:color="333333"/>
            </w:tcBorders>
            <w:shd w:val="clear" w:color="auto" w:fill="auto"/>
            <w:noWrap/>
            <w:hideMark/>
          </w:tcPr>
          <w:p w14:paraId="4C5F9AF8"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13</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0AC90838"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54</w:t>
            </w:r>
          </w:p>
        </w:tc>
        <w:tc>
          <w:tcPr>
            <w:tcW w:w="0" w:type="auto"/>
            <w:tcBorders>
              <w:top w:val="nil"/>
              <w:left w:val="nil"/>
              <w:bottom w:val="single" w:sz="4" w:space="0" w:color="C0C0C0"/>
              <w:right w:val="single" w:sz="4" w:space="0" w:color="333333"/>
            </w:tcBorders>
            <w:shd w:val="clear" w:color="auto" w:fill="auto"/>
            <w:noWrap/>
            <w:hideMark/>
          </w:tcPr>
          <w:p w14:paraId="5D4D03F0"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15</w:t>
            </w:r>
          </w:p>
        </w:tc>
        <w:tc>
          <w:tcPr>
            <w:tcW w:w="0" w:type="auto"/>
            <w:tcBorders>
              <w:top w:val="single" w:sz="4" w:space="0" w:color="993366"/>
              <w:left w:val="nil"/>
              <w:bottom w:val="single" w:sz="4" w:space="0" w:color="C0C0C0"/>
              <w:right w:val="nil"/>
            </w:tcBorders>
            <w:shd w:val="clear" w:color="auto" w:fill="auto"/>
            <w:noWrap/>
            <w:hideMark/>
          </w:tcPr>
          <w:p w14:paraId="6E9D05D8"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63</w:t>
            </w:r>
          </w:p>
        </w:tc>
        <w:tc>
          <w:tcPr>
            <w:tcW w:w="0" w:type="auto"/>
            <w:tcBorders>
              <w:top w:val="nil"/>
              <w:left w:val="single" w:sz="4" w:space="0" w:color="333333"/>
              <w:bottom w:val="single" w:sz="4" w:space="0" w:color="C0C0C0"/>
              <w:right w:val="nil"/>
            </w:tcBorders>
            <w:shd w:val="clear" w:color="000000" w:fill="D9E1F2"/>
            <w:noWrap/>
            <w:hideMark/>
          </w:tcPr>
          <w:p w14:paraId="18F632BF"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24</w:t>
            </w:r>
          </w:p>
        </w:tc>
      </w:tr>
      <w:tr w:rsidR="00667CD5" w:rsidRPr="003037D2" w14:paraId="5B6C17D3" w14:textId="77777777" w:rsidTr="00162224">
        <w:trPr>
          <w:trHeight w:val="290"/>
        </w:trPr>
        <w:tc>
          <w:tcPr>
            <w:tcW w:w="0" w:type="auto"/>
            <w:vMerge/>
            <w:tcBorders>
              <w:top w:val="nil"/>
              <w:left w:val="nil"/>
              <w:bottom w:val="single" w:sz="4" w:space="0" w:color="C0C0C0"/>
              <w:right w:val="nil"/>
            </w:tcBorders>
            <w:vAlign w:val="center"/>
            <w:hideMark/>
          </w:tcPr>
          <w:p w14:paraId="46ECEC70" w14:textId="77777777" w:rsidR="00162224" w:rsidRPr="003037D2" w:rsidRDefault="00162224" w:rsidP="00162224">
            <w:pPr>
              <w:spacing w:line="360" w:lineRule="auto"/>
              <w:rPr>
                <w:rFonts w:ascii="Garamond" w:eastAsia="Times New Roman" w:hAnsi="Garamond" w:cs="Arial"/>
                <w:color w:val="333399"/>
                <w:sz w:val="20"/>
                <w:szCs w:val="20"/>
                <w:lang w:eastAsia="en-GB"/>
              </w:rPr>
            </w:pPr>
          </w:p>
        </w:tc>
        <w:tc>
          <w:tcPr>
            <w:tcW w:w="0" w:type="auto"/>
            <w:tcBorders>
              <w:top w:val="nil"/>
              <w:left w:val="nil"/>
              <w:bottom w:val="single" w:sz="4" w:space="0" w:color="C0C0C0"/>
              <w:right w:val="nil"/>
            </w:tcBorders>
            <w:shd w:val="clear" w:color="000000" w:fill="CCCCFF"/>
            <w:noWrap/>
            <w:hideMark/>
          </w:tcPr>
          <w:p w14:paraId="0A376247"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1634</w:t>
            </w:r>
          </w:p>
        </w:tc>
        <w:tc>
          <w:tcPr>
            <w:tcW w:w="0" w:type="auto"/>
            <w:tcBorders>
              <w:top w:val="nil"/>
              <w:left w:val="single" w:sz="4" w:space="0" w:color="333333"/>
              <w:bottom w:val="single" w:sz="4" w:space="0" w:color="C0C0C0"/>
              <w:right w:val="single" w:sz="4" w:space="0" w:color="333333"/>
            </w:tcBorders>
            <w:shd w:val="clear" w:color="auto" w:fill="auto"/>
            <w:noWrap/>
            <w:hideMark/>
          </w:tcPr>
          <w:p w14:paraId="09C1EC41"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8</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6F911E67"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36</w:t>
            </w:r>
          </w:p>
        </w:tc>
        <w:tc>
          <w:tcPr>
            <w:tcW w:w="0" w:type="auto"/>
            <w:tcBorders>
              <w:top w:val="nil"/>
              <w:left w:val="nil"/>
              <w:bottom w:val="single" w:sz="4" w:space="0" w:color="C0C0C0"/>
              <w:right w:val="single" w:sz="4" w:space="0" w:color="333333"/>
            </w:tcBorders>
            <w:shd w:val="clear" w:color="auto" w:fill="auto"/>
            <w:noWrap/>
            <w:hideMark/>
          </w:tcPr>
          <w:p w14:paraId="2D483660"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15</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465ADC83"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68</w:t>
            </w:r>
          </w:p>
        </w:tc>
        <w:tc>
          <w:tcPr>
            <w:tcW w:w="0" w:type="auto"/>
            <w:tcBorders>
              <w:top w:val="nil"/>
              <w:left w:val="nil"/>
              <w:bottom w:val="single" w:sz="4" w:space="0" w:color="C0C0C0"/>
              <w:right w:val="single" w:sz="4" w:space="0" w:color="333333"/>
            </w:tcBorders>
            <w:shd w:val="clear" w:color="auto" w:fill="auto"/>
            <w:noWrap/>
            <w:hideMark/>
          </w:tcPr>
          <w:p w14:paraId="26CA6D0D"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12</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3EC64EEF"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55</w:t>
            </w:r>
          </w:p>
        </w:tc>
        <w:tc>
          <w:tcPr>
            <w:tcW w:w="0" w:type="auto"/>
            <w:tcBorders>
              <w:top w:val="nil"/>
              <w:left w:val="nil"/>
              <w:bottom w:val="single" w:sz="4" w:space="0" w:color="C0C0C0"/>
              <w:right w:val="single" w:sz="4" w:space="0" w:color="333333"/>
            </w:tcBorders>
            <w:shd w:val="clear" w:color="auto" w:fill="auto"/>
            <w:noWrap/>
            <w:hideMark/>
          </w:tcPr>
          <w:p w14:paraId="58CEFE0A"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17</w:t>
            </w:r>
          </w:p>
        </w:tc>
        <w:tc>
          <w:tcPr>
            <w:tcW w:w="0" w:type="auto"/>
            <w:tcBorders>
              <w:top w:val="single" w:sz="4" w:space="0" w:color="993366"/>
              <w:left w:val="nil"/>
              <w:bottom w:val="single" w:sz="4" w:space="0" w:color="C0C0C0"/>
              <w:right w:val="nil"/>
            </w:tcBorders>
            <w:shd w:val="clear" w:color="auto" w:fill="auto"/>
            <w:noWrap/>
            <w:hideMark/>
          </w:tcPr>
          <w:p w14:paraId="17F4AFF5"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77</w:t>
            </w:r>
          </w:p>
        </w:tc>
        <w:tc>
          <w:tcPr>
            <w:tcW w:w="0" w:type="auto"/>
            <w:tcBorders>
              <w:top w:val="nil"/>
              <w:left w:val="single" w:sz="4" w:space="0" w:color="333333"/>
              <w:bottom w:val="single" w:sz="4" w:space="0" w:color="C0C0C0"/>
              <w:right w:val="nil"/>
            </w:tcBorders>
            <w:shd w:val="clear" w:color="000000" w:fill="D9E1F2"/>
            <w:noWrap/>
            <w:hideMark/>
          </w:tcPr>
          <w:p w14:paraId="210F1A2E"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22</w:t>
            </w:r>
          </w:p>
        </w:tc>
      </w:tr>
      <w:tr w:rsidR="00667CD5" w:rsidRPr="003037D2" w14:paraId="63D920C5" w14:textId="77777777" w:rsidTr="00162224">
        <w:trPr>
          <w:trHeight w:val="290"/>
        </w:trPr>
        <w:tc>
          <w:tcPr>
            <w:tcW w:w="0" w:type="auto"/>
            <w:vMerge/>
            <w:tcBorders>
              <w:top w:val="nil"/>
              <w:left w:val="nil"/>
              <w:bottom w:val="single" w:sz="4" w:space="0" w:color="C0C0C0"/>
              <w:right w:val="nil"/>
            </w:tcBorders>
            <w:vAlign w:val="center"/>
            <w:hideMark/>
          </w:tcPr>
          <w:p w14:paraId="5CDACD92" w14:textId="77777777" w:rsidR="00162224" w:rsidRPr="003037D2" w:rsidRDefault="00162224" w:rsidP="00162224">
            <w:pPr>
              <w:spacing w:line="360" w:lineRule="auto"/>
              <w:rPr>
                <w:rFonts w:ascii="Garamond" w:eastAsia="Times New Roman" w:hAnsi="Garamond" w:cs="Arial"/>
                <w:color w:val="333399"/>
                <w:sz w:val="20"/>
                <w:szCs w:val="20"/>
                <w:lang w:eastAsia="en-GB"/>
              </w:rPr>
            </w:pPr>
          </w:p>
        </w:tc>
        <w:tc>
          <w:tcPr>
            <w:tcW w:w="0" w:type="auto"/>
            <w:tcBorders>
              <w:top w:val="nil"/>
              <w:left w:val="nil"/>
              <w:bottom w:val="single" w:sz="4" w:space="0" w:color="C0C0C0"/>
              <w:right w:val="nil"/>
            </w:tcBorders>
            <w:shd w:val="clear" w:color="000000" w:fill="CCCCFF"/>
            <w:noWrap/>
            <w:hideMark/>
          </w:tcPr>
          <w:p w14:paraId="510D44A9"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1635</w:t>
            </w:r>
          </w:p>
        </w:tc>
        <w:tc>
          <w:tcPr>
            <w:tcW w:w="0" w:type="auto"/>
            <w:tcBorders>
              <w:top w:val="nil"/>
              <w:left w:val="single" w:sz="4" w:space="0" w:color="333333"/>
              <w:bottom w:val="single" w:sz="4" w:space="0" w:color="C0C0C0"/>
              <w:right w:val="single" w:sz="4" w:space="0" w:color="333333"/>
            </w:tcBorders>
            <w:shd w:val="clear" w:color="auto" w:fill="auto"/>
            <w:noWrap/>
            <w:hideMark/>
          </w:tcPr>
          <w:p w14:paraId="050FF372"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5</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4FFB0D0B"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23</w:t>
            </w:r>
          </w:p>
        </w:tc>
        <w:tc>
          <w:tcPr>
            <w:tcW w:w="0" w:type="auto"/>
            <w:tcBorders>
              <w:top w:val="nil"/>
              <w:left w:val="nil"/>
              <w:bottom w:val="single" w:sz="4" w:space="0" w:color="C0C0C0"/>
              <w:right w:val="single" w:sz="4" w:space="0" w:color="333333"/>
            </w:tcBorders>
            <w:shd w:val="clear" w:color="auto" w:fill="auto"/>
            <w:noWrap/>
            <w:hideMark/>
          </w:tcPr>
          <w:p w14:paraId="6D303469"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18</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6D57A30B"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82</w:t>
            </w:r>
          </w:p>
        </w:tc>
        <w:tc>
          <w:tcPr>
            <w:tcW w:w="0" w:type="auto"/>
            <w:tcBorders>
              <w:top w:val="nil"/>
              <w:left w:val="nil"/>
              <w:bottom w:val="single" w:sz="4" w:space="0" w:color="C0C0C0"/>
              <w:right w:val="single" w:sz="4" w:space="0" w:color="333333"/>
            </w:tcBorders>
            <w:shd w:val="clear" w:color="auto" w:fill="auto"/>
            <w:noWrap/>
            <w:hideMark/>
          </w:tcPr>
          <w:p w14:paraId="5616C36C"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16</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4253EBC3"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73</w:t>
            </w:r>
          </w:p>
        </w:tc>
        <w:tc>
          <w:tcPr>
            <w:tcW w:w="0" w:type="auto"/>
            <w:tcBorders>
              <w:top w:val="nil"/>
              <w:left w:val="nil"/>
              <w:bottom w:val="single" w:sz="4" w:space="0" w:color="C0C0C0"/>
              <w:right w:val="single" w:sz="4" w:space="0" w:color="333333"/>
            </w:tcBorders>
            <w:shd w:val="clear" w:color="auto" w:fill="auto"/>
            <w:noWrap/>
            <w:hideMark/>
          </w:tcPr>
          <w:p w14:paraId="28887667"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10</w:t>
            </w:r>
          </w:p>
        </w:tc>
        <w:tc>
          <w:tcPr>
            <w:tcW w:w="0" w:type="auto"/>
            <w:tcBorders>
              <w:top w:val="single" w:sz="4" w:space="0" w:color="993366"/>
              <w:left w:val="nil"/>
              <w:bottom w:val="single" w:sz="4" w:space="0" w:color="C0C0C0"/>
              <w:right w:val="nil"/>
            </w:tcBorders>
            <w:shd w:val="clear" w:color="auto" w:fill="auto"/>
            <w:noWrap/>
            <w:hideMark/>
          </w:tcPr>
          <w:p w14:paraId="163309BD"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45</w:t>
            </w:r>
          </w:p>
        </w:tc>
        <w:tc>
          <w:tcPr>
            <w:tcW w:w="0" w:type="auto"/>
            <w:tcBorders>
              <w:top w:val="nil"/>
              <w:left w:val="single" w:sz="4" w:space="0" w:color="333333"/>
              <w:bottom w:val="single" w:sz="4" w:space="0" w:color="C0C0C0"/>
              <w:right w:val="nil"/>
            </w:tcBorders>
            <w:shd w:val="clear" w:color="000000" w:fill="D9E1F2"/>
            <w:noWrap/>
            <w:hideMark/>
          </w:tcPr>
          <w:p w14:paraId="3F09539A"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22</w:t>
            </w:r>
          </w:p>
        </w:tc>
      </w:tr>
      <w:tr w:rsidR="00667CD5" w:rsidRPr="003037D2" w14:paraId="010EB6AE" w14:textId="77777777" w:rsidTr="00162224">
        <w:trPr>
          <w:trHeight w:val="290"/>
        </w:trPr>
        <w:tc>
          <w:tcPr>
            <w:tcW w:w="0" w:type="auto"/>
            <w:vMerge/>
            <w:tcBorders>
              <w:top w:val="nil"/>
              <w:left w:val="nil"/>
              <w:bottom w:val="single" w:sz="4" w:space="0" w:color="C0C0C0"/>
              <w:right w:val="nil"/>
            </w:tcBorders>
            <w:vAlign w:val="center"/>
            <w:hideMark/>
          </w:tcPr>
          <w:p w14:paraId="1BCB2000" w14:textId="77777777" w:rsidR="00162224" w:rsidRPr="003037D2" w:rsidRDefault="00162224" w:rsidP="00162224">
            <w:pPr>
              <w:spacing w:line="360" w:lineRule="auto"/>
              <w:rPr>
                <w:rFonts w:ascii="Garamond" w:eastAsia="Times New Roman" w:hAnsi="Garamond" w:cs="Arial"/>
                <w:color w:val="333399"/>
                <w:sz w:val="20"/>
                <w:szCs w:val="20"/>
                <w:lang w:eastAsia="en-GB"/>
              </w:rPr>
            </w:pPr>
          </w:p>
        </w:tc>
        <w:tc>
          <w:tcPr>
            <w:tcW w:w="0" w:type="auto"/>
            <w:tcBorders>
              <w:top w:val="nil"/>
              <w:left w:val="nil"/>
              <w:bottom w:val="single" w:sz="4" w:space="0" w:color="C0C0C0"/>
              <w:right w:val="nil"/>
            </w:tcBorders>
            <w:shd w:val="clear" w:color="000000" w:fill="CCCCFF"/>
            <w:noWrap/>
            <w:hideMark/>
          </w:tcPr>
          <w:p w14:paraId="5A977232"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1636</w:t>
            </w:r>
          </w:p>
        </w:tc>
        <w:tc>
          <w:tcPr>
            <w:tcW w:w="0" w:type="auto"/>
            <w:tcBorders>
              <w:top w:val="nil"/>
              <w:left w:val="single" w:sz="4" w:space="0" w:color="333333"/>
              <w:bottom w:val="single" w:sz="4" w:space="0" w:color="C0C0C0"/>
              <w:right w:val="single" w:sz="4" w:space="0" w:color="333333"/>
            </w:tcBorders>
            <w:shd w:val="clear" w:color="auto" w:fill="auto"/>
            <w:noWrap/>
            <w:hideMark/>
          </w:tcPr>
          <w:p w14:paraId="7F04CBF7"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7611C0D5"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25</w:t>
            </w:r>
          </w:p>
        </w:tc>
        <w:tc>
          <w:tcPr>
            <w:tcW w:w="0" w:type="auto"/>
            <w:tcBorders>
              <w:top w:val="nil"/>
              <w:left w:val="nil"/>
              <w:bottom w:val="single" w:sz="4" w:space="0" w:color="C0C0C0"/>
              <w:right w:val="single" w:sz="4" w:space="0" w:color="333333"/>
            </w:tcBorders>
            <w:shd w:val="clear" w:color="auto" w:fill="auto"/>
            <w:noWrap/>
            <w:hideMark/>
          </w:tcPr>
          <w:p w14:paraId="221FA032"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16</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32515889"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67</w:t>
            </w:r>
          </w:p>
        </w:tc>
        <w:tc>
          <w:tcPr>
            <w:tcW w:w="0" w:type="auto"/>
            <w:tcBorders>
              <w:top w:val="nil"/>
              <w:left w:val="nil"/>
              <w:bottom w:val="single" w:sz="4" w:space="0" w:color="C0C0C0"/>
              <w:right w:val="single" w:sz="4" w:space="0" w:color="333333"/>
            </w:tcBorders>
            <w:shd w:val="clear" w:color="auto" w:fill="auto"/>
            <w:noWrap/>
            <w:hideMark/>
          </w:tcPr>
          <w:p w14:paraId="75BE4659"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20</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1F9DC895"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83</w:t>
            </w:r>
          </w:p>
        </w:tc>
        <w:tc>
          <w:tcPr>
            <w:tcW w:w="0" w:type="auto"/>
            <w:tcBorders>
              <w:top w:val="nil"/>
              <w:left w:val="nil"/>
              <w:bottom w:val="single" w:sz="4" w:space="0" w:color="C0C0C0"/>
              <w:right w:val="single" w:sz="4" w:space="0" w:color="333333"/>
            </w:tcBorders>
            <w:shd w:val="clear" w:color="auto" w:fill="auto"/>
            <w:noWrap/>
            <w:hideMark/>
          </w:tcPr>
          <w:p w14:paraId="0324C689"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15</w:t>
            </w:r>
          </w:p>
        </w:tc>
        <w:tc>
          <w:tcPr>
            <w:tcW w:w="0" w:type="auto"/>
            <w:tcBorders>
              <w:top w:val="single" w:sz="4" w:space="0" w:color="993366"/>
              <w:left w:val="nil"/>
              <w:bottom w:val="single" w:sz="4" w:space="0" w:color="C0C0C0"/>
              <w:right w:val="nil"/>
            </w:tcBorders>
            <w:shd w:val="clear" w:color="auto" w:fill="auto"/>
            <w:noWrap/>
            <w:hideMark/>
          </w:tcPr>
          <w:p w14:paraId="34E13768"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63</w:t>
            </w:r>
          </w:p>
        </w:tc>
        <w:tc>
          <w:tcPr>
            <w:tcW w:w="0" w:type="auto"/>
            <w:tcBorders>
              <w:top w:val="nil"/>
              <w:left w:val="single" w:sz="4" w:space="0" w:color="333333"/>
              <w:bottom w:val="single" w:sz="4" w:space="0" w:color="C0C0C0"/>
              <w:right w:val="nil"/>
            </w:tcBorders>
            <w:shd w:val="clear" w:color="000000" w:fill="D9E1F2"/>
            <w:noWrap/>
            <w:hideMark/>
          </w:tcPr>
          <w:p w14:paraId="3F176F1E"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24</w:t>
            </w:r>
          </w:p>
        </w:tc>
      </w:tr>
      <w:tr w:rsidR="00667CD5" w:rsidRPr="003037D2" w14:paraId="4172B7AD" w14:textId="77777777" w:rsidTr="00162224">
        <w:trPr>
          <w:trHeight w:val="290"/>
        </w:trPr>
        <w:tc>
          <w:tcPr>
            <w:tcW w:w="0" w:type="auto"/>
            <w:vMerge/>
            <w:tcBorders>
              <w:top w:val="nil"/>
              <w:left w:val="nil"/>
              <w:bottom w:val="single" w:sz="4" w:space="0" w:color="C0C0C0"/>
              <w:right w:val="nil"/>
            </w:tcBorders>
            <w:vAlign w:val="center"/>
            <w:hideMark/>
          </w:tcPr>
          <w:p w14:paraId="2C82F074" w14:textId="77777777" w:rsidR="00162224" w:rsidRPr="003037D2" w:rsidRDefault="00162224" w:rsidP="00162224">
            <w:pPr>
              <w:spacing w:line="360" w:lineRule="auto"/>
              <w:rPr>
                <w:rFonts w:ascii="Garamond" w:eastAsia="Times New Roman" w:hAnsi="Garamond" w:cs="Arial"/>
                <w:color w:val="333399"/>
                <w:sz w:val="20"/>
                <w:szCs w:val="20"/>
                <w:lang w:eastAsia="en-GB"/>
              </w:rPr>
            </w:pPr>
          </w:p>
        </w:tc>
        <w:tc>
          <w:tcPr>
            <w:tcW w:w="0" w:type="auto"/>
            <w:tcBorders>
              <w:top w:val="nil"/>
              <w:left w:val="nil"/>
              <w:bottom w:val="single" w:sz="4" w:space="0" w:color="C0C0C0"/>
              <w:right w:val="nil"/>
            </w:tcBorders>
            <w:shd w:val="clear" w:color="000000" w:fill="CCCCFF"/>
            <w:noWrap/>
            <w:hideMark/>
          </w:tcPr>
          <w:p w14:paraId="364F514F"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1637</w:t>
            </w:r>
          </w:p>
        </w:tc>
        <w:tc>
          <w:tcPr>
            <w:tcW w:w="0" w:type="auto"/>
            <w:tcBorders>
              <w:top w:val="nil"/>
              <w:left w:val="single" w:sz="4" w:space="0" w:color="333333"/>
              <w:bottom w:val="single" w:sz="4" w:space="0" w:color="C0C0C0"/>
              <w:right w:val="single" w:sz="4" w:space="0" w:color="333333"/>
            </w:tcBorders>
            <w:shd w:val="clear" w:color="auto" w:fill="auto"/>
            <w:noWrap/>
            <w:hideMark/>
          </w:tcPr>
          <w:p w14:paraId="1BEF0766"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3BFB9EFC"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24</w:t>
            </w:r>
          </w:p>
        </w:tc>
        <w:tc>
          <w:tcPr>
            <w:tcW w:w="0" w:type="auto"/>
            <w:tcBorders>
              <w:top w:val="nil"/>
              <w:left w:val="nil"/>
              <w:bottom w:val="single" w:sz="4" w:space="0" w:color="C0C0C0"/>
              <w:right w:val="single" w:sz="4" w:space="0" w:color="333333"/>
            </w:tcBorders>
            <w:shd w:val="clear" w:color="auto" w:fill="auto"/>
            <w:noWrap/>
            <w:hideMark/>
          </w:tcPr>
          <w:p w14:paraId="3F0EF599"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18</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3BF0D66F"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72</w:t>
            </w:r>
          </w:p>
        </w:tc>
        <w:tc>
          <w:tcPr>
            <w:tcW w:w="0" w:type="auto"/>
            <w:tcBorders>
              <w:top w:val="nil"/>
              <w:left w:val="nil"/>
              <w:bottom w:val="single" w:sz="4" w:space="0" w:color="C0C0C0"/>
              <w:right w:val="single" w:sz="4" w:space="0" w:color="333333"/>
            </w:tcBorders>
            <w:shd w:val="clear" w:color="auto" w:fill="auto"/>
            <w:noWrap/>
            <w:hideMark/>
          </w:tcPr>
          <w:p w14:paraId="215F30B9"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17</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5BDCFF39"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68</w:t>
            </w:r>
          </w:p>
        </w:tc>
        <w:tc>
          <w:tcPr>
            <w:tcW w:w="0" w:type="auto"/>
            <w:tcBorders>
              <w:top w:val="nil"/>
              <w:left w:val="nil"/>
              <w:bottom w:val="single" w:sz="4" w:space="0" w:color="C0C0C0"/>
              <w:right w:val="single" w:sz="4" w:space="0" w:color="333333"/>
            </w:tcBorders>
            <w:shd w:val="clear" w:color="auto" w:fill="auto"/>
            <w:noWrap/>
            <w:hideMark/>
          </w:tcPr>
          <w:p w14:paraId="48381BA0"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16</w:t>
            </w:r>
          </w:p>
        </w:tc>
        <w:tc>
          <w:tcPr>
            <w:tcW w:w="0" w:type="auto"/>
            <w:tcBorders>
              <w:top w:val="single" w:sz="4" w:space="0" w:color="993366"/>
              <w:left w:val="nil"/>
              <w:bottom w:val="single" w:sz="4" w:space="0" w:color="C0C0C0"/>
              <w:right w:val="nil"/>
            </w:tcBorders>
            <w:shd w:val="clear" w:color="auto" w:fill="auto"/>
            <w:noWrap/>
            <w:hideMark/>
          </w:tcPr>
          <w:p w14:paraId="2B88B4E0"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64</w:t>
            </w:r>
          </w:p>
        </w:tc>
        <w:tc>
          <w:tcPr>
            <w:tcW w:w="0" w:type="auto"/>
            <w:tcBorders>
              <w:top w:val="nil"/>
              <w:left w:val="single" w:sz="4" w:space="0" w:color="333333"/>
              <w:bottom w:val="single" w:sz="4" w:space="0" w:color="C0C0C0"/>
              <w:right w:val="nil"/>
            </w:tcBorders>
            <w:shd w:val="clear" w:color="000000" w:fill="D9E1F2"/>
            <w:noWrap/>
            <w:hideMark/>
          </w:tcPr>
          <w:p w14:paraId="368FB07F"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25</w:t>
            </w:r>
          </w:p>
        </w:tc>
      </w:tr>
      <w:tr w:rsidR="00667CD5" w:rsidRPr="003037D2" w14:paraId="3E1376DD" w14:textId="77777777" w:rsidTr="00162224">
        <w:trPr>
          <w:trHeight w:val="290"/>
        </w:trPr>
        <w:tc>
          <w:tcPr>
            <w:tcW w:w="0" w:type="auto"/>
            <w:vMerge/>
            <w:tcBorders>
              <w:top w:val="nil"/>
              <w:left w:val="nil"/>
              <w:bottom w:val="single" w:sz="4" w:space="0" w:color="C0C0C0"/>
              <w:right w:val="nil"/>
            </w:tcBorders>
            <w:vAlign w:val="center"/>
            <w:hideMark/>
          </w:tcPr>
          <w:p w14:paraId="68FD42E2" w14:textId="77777777" w:rsidR="00162224" w:rsidRPr="003037D2" w:rsidRDefault="00162224" w:rsidP="00162224">
            <w:pPr>
              <w:spacing w:line="360" w:lineRule="auto"/>
              <w:rPr>
                <w:rFonts w:ascii="Garamond" w:eastAsia="Times New Roman" w:hAnsi="Garamond" w:cs="Arial"/>
                <w:color w:val="333399"/>
                <w:sz w:val="20"/>
                <w:szCs w:val="20"/>
                <w:lang w:eastAsia="en-GB"/>
              </w:rPr>
            </w:pPr>
          </w:p>
        </w:tc>
        <w:tc>
          <w:tcPr>
            <w:tcW w:w="0" w:type="auto"/>
            <w:tcBorders>
              <w:top w:val="nil"/>
              <w:left w:val="nil"/>
              <w:bottom w:val="single" w:sz="4" w:space="0" w:color="C0C0C0"/>
              <w:right w:val="nil"/>
            </w:tcBorders>
            <w:shd w:val="clear" w:color="000000" w:fill="CCCCFF"/>
            <w:noWrap/>
            <w:hideMark/>
          </w:tcPr>
          <w:p w14:paraId="56FBCC8A"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1638</w:t>
            </w:r>
          </w:p>
        </w:tc>
        <w:tc>
          <w:tcPr>
            <w:tcW w:w="0" w:type="auto"/>
            <w:tcBorders>
              <w:top w:val="nil"/>
              <w:left w:val="single" w:sz="4" w:space="0" w:color="333333"/>
              <w:bottom w:val="single" w:sz="4" w:space="0" w:color="C0C0C0"/>
              <w:right w:val="single" w:sz="4" w:space="0" w:color="333333"/>
            </w:tcBorders>
            <w:shd w:val="clear" w:color="auto" w:fill="auto"/>
            <w:noWrap/>
            <w:hideMark/>
          </w:tcPr>
          <w:p w14:paraId="14E2AE51"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57460748"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9</w:t>
            </w:r>
          </w:p>
        </w:tc>
        <w:tc>
          <w:tcPr>
            <w:tcW w:w="0" w:type="auto"/>
            <w:tcBorders>
              <w:top w:val="nil"/>
              <w:left w:val="nil"/>
              <w:bottom w:val="single" w:sz="4" w:space="0" w:color="C0C0C0"/>
              <w:right w:val="single" w:sz="4" w:space="0" w:color="333333"/>
            </w:tcBorders>
            <w:shd w:val="clear" w:color="auto" w:fill="auto"/>
            <w:noWrap/>
            <w:hideMark/>
          </w:tcPr>
          <w:p w14:paraId="3492354A"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15</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68133371"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65</w:t>
            </w:r>
          </w:p>
        </w:tc>
        <w:tc>
          <w:tcPr>
            <w:tcW w:w="0" w:type="auto"/>
            <w:tcBorders>
              <w:top w:val="nil"/>
              <w:left w:val="nil"/>
              <w:bottom w:val="single" w:sz="4" w:space="0" w:color="C0C0C0"/>
              <w:right w:val="single" w:sz="4" w:space="0" w:color="333333"/>
            </w:tcBorders>
            <w:shd w:val="clear" w:color="auto" w:fill="auto"/>
            <w:noWrap/>
            <w:hideMark/>
          </w:tcPr>
          <w:p w14:paraId="43A974E8"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17</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56F6AF9D"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74</w:t>
            </w:r>
          </w:p>
        </w:tc>
        <w:tc>
          <w:tcPr>
            <w:tcW w:w="0" w:type="auto"/>
            <w:tcBorders>
              <w:top w:val="nil"/>
              <w:left w:val="nil"/>
              <w:bottom w:val="single" w:sz="4" w:space="0" w:color="C0C0C0"/>
              <w:right w:val="single" w:sz="4" w:space="0" w:color="333333"/>
            </w:tcBorders>
            <w:shd w:val="clear" w:color="auto" w:fill="auto"/>
            <w:noWrap/>
            <w:hideMark/>
          </w:tcPr>
          <w:p w14:paraId="50BBF0E0"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11</w:t>
            </w:r>
          </w:p>
        </w:tc>
        <w:tc>
          <w:tcPr>
            <w:tcW w:w="0" w:type="auto"/>
            <w:tcBorders>
              <w:top w:val="single" w:sz="4" w:space="0" w:color="993366"/>
              <w:left w:val="nil"/>
              <w:bottom w:val="single" w:sz="4" w:space="0" w:color="C0C0C0"/>
              <w:right w:val="nil"/>
            </w:tcBorders>
            <w:shd w:val="clear" w:color="auto" w:fill="auto"/>
            <w:noWrap/>
            <w:hideMark/>
          </w:tcPr>
          <w:p w14:paraId="5514AF38"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48</w:t>
            </w:r>
          </w:p>
        </w:tc>
        <w:tc>
          <w:tcPr>
            <w:tcW w:w="0" w:type="auto"/>
            <w:tcBorders>
              <w:top w:val="nil"/>
              <w:left w:val="single" w:sz="4" w:space="0" w:color="333333"/>
              <w:bottom w:val="single" w:sz="4" w:space="0" w:color="C0C0C0"/>
              <w:right w:val="nil"/>
            </w:tcBorders>
            <w:shd w:val="clear" w:color="000000" w:fill="D9E1F2"/>
            <w:noWrap/>
            <w:hideMark/>
          </w:tcPr>
          <w:p w14:paraId="1592DC20"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23</w:t>
            </w:r>
          </w:p>
        </w:tc>
      </w:tr>
      <w:tr w:rsidR="00667CD5" w:rsidRPr="003037D2" w14:paraId="4FECB058" w14:textId="77777777" w:rsidTr="00162224">
        <w:trPr>
          <w:trHeight w:val="290"/>
        </w:trPr>
        <w:tc>
          <w:tcPr>
            <w:tcW w:w="0" w:type="auto"/>
            <w:vMerge/>
            <w:tcBorders>
              <w:top w:val="nil"/>
              <w:left w:val="nil"/>
              <w:bottom w:val="single" w:sz="4" w:space="0" w:color="C0C0C0"/>
              <w:right w:val="nil"/>
            </w:tcBorders>
            <w:vAlign w:val="center"/>
            <w:hideMark/>
          </w:tcPr>
          <w:p w14:paraId="0BC3E1D1" w14:textId="77777777" w:rsidR="00162224" w:rsidRPr="003037D2" w:rsidRDefault="00162224" w:rsidP="00162224">
            <w:pPr>
              <w:spacing w:line="360" w:lineRule="auto"/>
              <w:rPr>
                <w:rFonts w:ascii="Garamond" w:eastAsia="Times New Roman" w:hAnsi="Garamond" w:cs="Arial"/>
                <w:color w:val="333399"/>
                <w:sz w:val="20"/>
                <w:szCs w:val="20"/>
                <w:lang w:eastAsia="en-GB"/>
              </w:rPr>
            </w:pPr>
          </w:p>
        </w:tc>
        <w:tc>
          <w:tcPr>
            <w:tcW w:w="0" w:type="auto"/>
            <w:tcBorders>
              <w:top w:val="nil"/>
              <w:left w:val="nil"/>
              <w:bottom w:val="single" w:sz="4" w:space="0" w:color="C0C0C0"/>
              <w:right w:val="nil"/>
            </w:tcBorders>
            <w:shd w:val="clear" w:color="000000" w:fill="CCCCFF"/>
            <w:noWrap/>
            <w:hideMark/>
          </w:tcPr>
          <w:p w14:paraId="74BAC71E"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1639</w:t>
            </w:r>
          </w:p>
        </w:tc>
        <w:tc>
          <w:tcPr>
            <w:tcW w:w="0" w:type="auto"/>
            <w:tcBorders>
              <w:top w:val="nil"/>
              <w:left w:val="single" w:sz="4" w:space="0" w:color="333333"/>
              <w:bottom w:val="single" w:sz="4" w:space="0" w:color="C0C0C0"/>
              <w:right w:val="single" w:sz="4" w:space="0" w:color="333333"/>
            </w:tcBorders>
            <w:shd w:val="clear" w:color="auto" w:fill="auto"/>
            <w:noWrap/>
            <w:hideMark/>
          </w:tcPr>
          <w:p w14:paraId="3C75D2F1"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0F2A49EF"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4</w:t>
            </w:r>
          </w:p>
        </w:tc>
        <w:tc>
          <w:tcPr>
            <w:tcW w:w="0" w:type="auto"/>
            <w:tcBorders>
              <w:top w:val="nil"/>
              <w:left w:val="nil"/>
              <w:bottom w:val="single" w:sz="4" w:space="0" w:color="C0C0C0"/>
              <w:right w:val="single" w:sz="4" w:space="0" w:color="333333"/>
            </w:tcBorders>
            <w:shd w:val="clear" w:color="auto" w:fill="auto"/>
            <w:noWrap/>
            <w:hideMark/>
          </w:tcPr>
          <w:p w14:paraId="64631C41"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20</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493FDFED"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77</w:t>
            </w:r>
          </w:p>
        </w:tc>
        <w:tc>
          <w:tcPr>
            <w:tcW w:w="0" w:type="auto"/>
            <w:tcBorders>
              <w:top w:val="nil"/>
              <w:left w:val="nil"/>
              <w:bottom w:val="single" w:sz="4" w:space="0" w:color="C0C0C0"/>
              <w:right w:val="single" w:sz="4" w:space="0" w:color="333333"/>
            </w:tcBorders>
            <w:shd w:val="clear" w:color="auto" w:fill="auto"/>
            <w:noWrap/>
            <w:hideMark/>
          </w:tcPr>
          <w:p w14:paraId="327E59AB"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18</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3442D568"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69</w:t>
            </w:r>
          </w:p>
        </w:tc>
        <w:tc>
          <w:tcPr>
            <w:tcW w:w="0" w:type="auto"/>
            <w:tcBorders>
              <w:top w:val="nil"/>
              <w:left w:val="nil"/>
              <w:bottom w:val="single" w:sz="4" w:space="0" w:color="C0C0C0"/>
              <w:right w:val="single" w:sz="4" w:space="0" w:color="333333"/>
            </w:tcBorders>
            <w:shd w:val="clear" w:color="auto" w:fill="auto"/>
            <w:noWrap/>
            <w:hideMark/>
          </w:tcPr>
          <w:p w14:paraId="0301B9EC"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18</w:t>
            </w:r>
          </w:p>
        </w:tc>
        <w:tc>
          <w:tcPr>
            <w:tcW w:w="0" w:type="auto"/>
            <w:tcBorders>
              <w:top w:val="single" w:sz="4" w:space="0" w:color="993366"/>
              <w:left w:val="nil"/>
              <w:bottom w:val="single" w:sz="4" w:space="0" w:color="C0C0C0"/>
              <w:right w:val="nil"/>
            </w:tcBorders>
            <w:shd w:val="clear" w:color="auto" w:fill="auto"/>
            <w:noWrap/>
            <w:hideMark/>
          </w:tcPr>
          <w:p w14:paraId="74463C9E"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69</w:t>
            </w:r>
          </w:p>
        </w:tc>
        <w:tc>
          <w:tcPr>
            <w:tcW w:w="0" w:type="auto"/>
            <w:tcBorders>
              <w:top w:val="nil"/>
              <w:left w:val="single" w:sz="4" w:space="0" w:color="333333"/>
              <w:bottom w:val="single" w:sz="4" w:space="0" w:color="C0C0C0"/>
              <w:right w:val="nil"/>
            </w:tcBorders>
            <w:shd w:val="clear" w:color="000000" w:fill="D9E1F2"/>
            <w:noWrap/>
            <w:hideMark/>
          </w:tcPr>
          <w:p w14:paraId="459067D8"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26</w:t>
            </w:r>
          </w:p>
        </w:tc>
      </w:tr>
      <w:tr w:rsidR="00667CD5" w:rsidRPr="003037D2" w14:paraId="5D1A740A" w14:textId="77777777" w:rsidTr="00162224">
        <w:trPr>
          <w:trHeight w:val="290"/>
        </w:trPr>
        <w:tc>
          <w:tcPr>
            <w:tcW w:w="0" w:type="auto"/>
            <w:vMerge/>
            <w:tcBorders>
              <w:top w:val="nil"/>
              <w:left w:val="nil"/>
              <w:bottom w:val="single" w:sz="4" w:space="0" w:color="C0C0C0"/>
              <w:right w:val="nil"/>
            </w:tcBorders>
            <w:vAlign w:val="center"/>
            <w:hideMark/>
          </w:tcPr>
          <w:p w14:paraId="463608DE" w14:textId="77777777" w:rsidR="00162224" w:rsidRPr="003037D2" w:rsidRDefault="00162224" w:rsidP="00162224">
            <w:pPr>
              <w:spacing w:line="360" w:lineRule="auto"/>
              <w:rPr>
                <w:rFonts w:ascii="Garamond" w:eastAsia="Times New Roman" w:hAnsi="Garamond" w:cs="Arial"/>
                <w:color w:val="333399"/>
                <w:sz w:val="20"/>
                <w:szCs w:val="20"/>
                <w:lang w:eastAsia="en-GB"/>
              </w:rPr>
            </w:pPr>
          </w:p>
        </w:tc>
        <w:tc>
          <w:tcPr>
            <w:tcW w:w="0" w:type="auto"/>
            <w:tcBorders>
              <w:top w:val="nil"/>
              <w:left w:val="nil"/>
              <w:bottom w:val="single" w:sz="4" w:space="0" w:color="C0C0C0"/>
              <w:right w:val="nil"/>
            </w:tcBorders>
            <w:shd w:val="clear" w:color="000000" w:fill="CCCCFF"/>
            <w:noWrap/>
            <w:hideMark/>
          </w:tcPr>
          <w:p w14:paraId="21FF11E1"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1640</w:t>
            </w:r>
          </w:p>
        </w:tc>
        <w:tc>
          <w:tcPr>
            <w:tcW w:w="0" w:type="auto"/>
            <w:tcBorders>
              <w:top w:val="nil"/>
              <w:left w:val="single" w:sz="4" w:space="0" w:color="333333"/>
              <w:bottom w:val="single" w:sz="4" w:space="0" w:color="C0C0C0"/>
              <w:right w:val="single" w:sz="4" w:space="0" w:color="333333"/>
            </w:tcBorders>
            <w:shd w:val="clear" w:color="auto" w:fill="auto"/>
            <w:noWrap/>
            <w:hideMark/>
          </w:tcPr>
          <w:p w14:paraId="515DA76C"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8</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10ECCD67"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30</w:t>
            </w:r>
          </w:p>
        </w:tc>
        <w:tc>
          <w:tcPr>
            <w:tcW w:w="0" w:type="auto"/>
            <w:tcBorders>
              <w:top w:val="nil"/>
              <w:left w:val="nil"/>
              <w:bottom w:val="single" w:sz="4" w:space="0" w:color="C0C0C0"/>
              <w:right w:val="single" w:sz="4" w:space="0" w:color="333333"/>
            </w:tcBorders>
            <w:shd w:val="clear" w:color="auto" w:fill="auto"/>
            <w:noWrap/>
            <w:hideMark/>
          </w:tcPr>
          <w:p w14:paraId="6790A2DC"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16</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32C4C5D6"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59</w:t>
            </w:r>
          </w:p>
        </w:tc>
        <w:tc>
          <w:tcPr>
            <w:tcW w:w="0" w:type="auto"/>
            <w:tcBorders>
              <w:top w:val="nil"/>
              <w:left w:val="nil"/>
              <w:bottom w:val="single" w:sz="4" w:space="0" w:color="C0C0C0"/>
              <w:right w:val="single" w:sz="4" w:space="0" w:color="333333"/>
            </w:tcBorders>
            <w:shd w:val="clear" w:color="auto" w:fill="auto"/>
            <w:noWrap/>
            <w:hideMark/>
          </w:tcPr>
          <w:p w14:paraId="41E67C82"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12</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424351EE"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44</w:t>
            </w:r>
          </w:p>
        </w:tc>
        <w:tc>
          <w:tcPr>
            <w:tcW w:w="0" w:type="auto"/>
            <w:tcBorders>
              <w:top w:val="nil"/>
              <w:left w:val="nil"/>
              <w:bottom w:val="single" w:sz="4" w:space="0" w:color="C0C0C0"/>
              <w:right w:val="single" w:sz="4" w:space="0" w:color="333333"/>
            </w:tcBorders>
            <w:shd w:val="clear" w:color="auto" w:fill="auto"/>
            <w:noWrap/>
            <w:hideMark/>
          </w:tcPr>
          <w:p w14:paraId="2BAAF4F9"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19</w:t>
            </w:r>
          </w:p>
        </w:tc>
        <w:tc>
          <w:tcPr>
            <w:tcW w:w="0" w:type="auto"/>
            <w:tcBorders>
              <w:top w:val="single" w:sz="4" w:space="0" w:color="993366"/>
              <w:left w:val="nil"/>
              <w:bottom w:val="single" w:sz="4" w:space="0" w:color="C0C0C0"/>
              <w:right w:val="nil"/>
            </w:tcBorders>
            <w:shd w:val="clear" w:color="auto" w:fill="auto"/>
            <w:noWrap/>
            <w:hideMark/>
          </w:tcPr>
          <w:p w14:paraId="5884C24E"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70</w:t>
            </w:r>
          </w:p>
        </w:tc>
        <w:tc>
          <w:tcPr>
            <w:tcW w:w="0" w:type="auto"/>
            <w:tcBorders>
              <w:top w:val="nil"/>
              <w:left w:val="single" w:sz="4" w:space="0" w:color="333333"/>
              <w:bottom w:val="single" w:sz="4" w:space="0" w:color="C0C0C0"/>
              <w:right w:val="nil"/>
            </w:tcBorders>
            <w:shd w:val="clear" w:color="000000" w:fill="D9E1F2"/>
            <w:noWrap/>
            <w:hideMark/>
          </w:tcPr>
          <w:p w14:paraId="781F1FF8"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27</w:t>
            </w:r>
          </w:p>
        </w:tc>
      </w:tr>
      <w:tr w:rsidR="00667CD5" w:rsidRPr="003037D2" w14:paraId="22671D0D" w14:textId="77777777" w:rsidTr="00162224">
        <w:trPr>
          <w:trHeight w:val="290"/>
        </w:trPr>
        <w:tc>
          <w:tcPr>
            <w:tcW w:w="0" w:type="auto"/>
            <w:vMerge/>
            <w:tcBorders>
              <w:top w:val="nil"/>
              <w:left w:val="nil"/>
              <w:bottom w:val="single" w:sz="4" w:space="0" w:color="C0C0C0"/>
              <w:right w:val="nil"/>
            </w:tcBorders>
            <w:vAlign w:val="center"/>
            <w:hideMark/>
          </w:tcPr>
          <w:p w14:paraId="5AE282B7" w14:textId="77777777" w:rsidR="00162224" w:rsidRPr="003037D2" w:rsidRDefault="00162224" w:rsidP="00162224">
            <w:pPr>
              <w:spacing w:line="360" w:lineRule="auto"/>
              <w:rPr>
                <w:rFonts w:ascii="Garamond" w:eastAsia="Times New Roman" w:hAnsi="Garamond" w:cs="Arial"/>
                <w:color w:val="333399"/>
                <w:sz w:val="20"/>
                <w:szCs w:val="20"/>
                <w:lang w:eastAsia="en-GB"/>
              </w:rPr>
            </w:pPr>
          </w:p>
        </w:tc>
        <w:tc>
          <w:tcPr>
            <w:tcW w:w="0" w:type="auto"/>
            <w:tcBorders>
              <w:top w:val="nil"/>
              <w:left w:val="nil"/>
              <w:bottom w:val="single" w:sz="4" w:space="0" w:color="C0C0C0"/>
              <w:right w:val="nil"/>
            </w:tcBorders>
            <w:shd w:val="clear" w:color="000000" w:fill="CCCCFF"/>
            <w:noWrap/>
            <w:hideMark/>
          </w:tcPr>
          <w:p w14:paraId="3EBD9394"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1641</w:t>
            </w:r>
          </w:p>
        </w:tc>
        <w:tc>
          <w:tcPr>
            <w:tcW w:w="0" w:type="auto"/>
            <w:tcBorders>
              <w:top w:val="nil"/>
              <w:left w:val="single" w:sz="4" w:space="0" w:color="333333"/>
              <w:bottom w:val="single" w:sz="4" w:space="0" w:color="C0C0C0"/>
              <w:right w:val="single" w:sz="4" w:space="0" w:color="333333"/>
            </w:tcBorders>
            <w:shd w:val="clear" w:color="auto" w:fill="auto"/>
            <w:noWrap/>
            <w:hideMark/>
          </w:tcPr>
          <w:p w14:paraId="09D35A3A"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7</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0C392529"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13</w:t>
            </w:r>
          </w:p>
        </w:tc>
        <w:tc>
          <w:tcPr>
            <w:tcW w:w="0" w:type="auto"/>
            <w:tcBorders>
              <w:top w:val="nil"/>
              <w:left w:val="nil"/>
              <w:bottom w:val="single" w:sz="4" w:space="0" w:color="C0C0C0"/>
              <w:right w:val="single" w:sz="4" w:space="0" w:color="333333"/>
            </w:tcBorders>
            <w:shd w:val="clear" w:color="auto" w:fill="auto"/>
            <w:noWrap/>
            <w:hideMark/>
          </w:tcPr>
          <w:p w14:paraId="07535151"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42</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2263457A"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78</w:t>
            </w:r>
          </w:p>
        </w:tc>
        <w:tc>
          <w:tcPr>
            <w:tcW w:w="0" w:type="auto"/>
            <w:tcBorders>
              <w:top w:val="nil"/>
              <w:left w:val="nil"/>
              <w:bottom w:val="single" w:sz="4" w:space="0" w:color="C0C0C0"/>
              <w:right w:val="single" w:sz="4" w:space="0" w:color="333333"/>
            </w:tcBorders>
            <w:shd w:val="clear" w:color="auto" w:fill="auto"/>
            <w:noWrap/>
            <w:hideMark/>
          </w:tcPr>
          <w:p w14:paraId="556D23DF"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37</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570617F3"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69</w:t>
            </w:r>
          </w:p>
        </w:tc>
        <w:tc>
          <w:tcPr>
            <w:tcW w:w="0" w:type="auto"/>
            <w:tcBorders>
              <w:top w:val="nil"/>
              <w:left w:val="nil"/>
              <w:bottom w:val="single" w:sz="4" w:space="0" w:color="C0C0C0"/>
              <w:right w:val="single" w:sz="4" w:space="0" w:color="333333"/>
            </w:tcBorders>
            <w:shd w:val="clear" w:color="auto" w:fill="auto"/>
            <w:noWrap/>
            <w:hideMark/>
          </w:tcPr>
          <w:p w14:paraId="1FD19B5F"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29</w:t>
            </w:r>
          </w:p>
        </w:tc>
        <w:tc>
          <w:tcPr>
            <w:tcW w:w="0" w:type="auto"/>
            <w:tcBorders>
              <w:top w:val="single" w:sz="4" w:space="0" w:color="993366"/>
              <w:left w:val="nil"/>
              <w:bottom w:val="single" w:sz="4" w:space="0" w:color="C0C0C0"/>
              <w:right w:val="nil"/>
            </w:tcBorders>
            <w:shd w:val="clear" w:color="auto" w:fill="auto"/>
            <w:noWrap/>
            <w:hideMark/>
          </w:tcPr>
          <w:p w14:paraId="47425A09"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54</w:t>
            </w:r>
          </w:p>
        </w:tc>
        <w:tc>
          <w:tcPr>
            <w:tcW w:w="0" w:type="auto"/>
            <w:tcBorders>
              <w:top w:val="nil"/>
              <w:left w:val="single" w:sz="4" w:space="0" w:color="333333"/>
              <w:bottom w:val="single" w:sz="4" w:space="0" w:color="C0C0C0"/>
              <w:right w:val="nil"/>
            </w:tcBorders>
            <w:shd w:val="clear" w:color="000000" w:fill="D9E1F2"/>
            <w:noWrap/>
            <w:hideMark/>
          </w:tcPr>
          <w:p w14:paraId="5784F2E5"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54</w:t>
            </w:r>
          </w:p>
        </w:tc>
      </w:tr>
      <w:tr w:rsidR="00667CD5" w:rsidRPr="003037D2" w14:paraId="15B4542F" w14:textId="77777777" w:rsidTr="00162224">
        <w:trPr>
          <w:trHeight w:val="290"/>
        </w:trPr>
        <w:tc>
          <w:tcPr>
            <w:tcW w:w="0" w:type="auto"/>
            <w:vMerge/>
            <w:tcBorders>
              <w:top w:val="nil"/>
              <w:left w:val="nil"/>
              <w:bottom w:val="single" w:sz="4" w:space="0" w:color="C0C0C0"/>
              <w:right w:val="nil"/>
            </w:tcBorders>
            <w:vAlign w:val="center"/>
            <w:hideMark/>
          </w:tcPr>
          <w:p w14:paraId="68D237BD" w14:textId="77777777" w:rsidR="00162224" w:rsidRPr="003037D2" w:rsidRDefault="00162224" w:rsidP="00162224">
            <w:pPr>
              <w:spacing w:line="360" w:lineRule="auto"/>
              <w:rPr>
                <w:rFonts w:ascii="Garamond" w:eastAsia="Times New Roman" w:hAnsi="Garamond" w:cs="Arial"/>
                <w:color w:val="333399"/>
                <w:sz w:val="20"/>
                <w:szCs w:val="20"/>
                <w:lang w:eastAsia="en-GB"/>
              </w:rPr>
            </w:pPr>
          </w:p>
        </w:tc>
        <w:tc>
          <w:tcPr>
            <w:tcW w:w="0" w:type="auto"/>
            <w:tcBorders>
              <w:top w:val="nil"/>
              <w:left w:val="nil"/>
              <w:bottom w:val="single" w:sz="4" w:space="0" w:color="C0C0C0"/>
              <w:right w:val="nil"/>
            </w:tcBorders>
            <w:shd w:val="clear" w:color="000000" w:fill="CCCCFF"/>
            <w:noWrap/>
            <w:hideMark/>
          </w:tcPr>
          <w:p w14:paraId="63B13A74" w14:textId="77777777" w:rsidR="00162224" w:rsidRPr="003037D2" w:rsidRDefault="00162224" w:rsidP="00162224">
            <w:pPr>
              <w:spacing w:line="360" w:lineRule="auto"/>
              <w:rPr>
                <w:rFonts w:ascii="Garamond" w:eastAsia="Times New Roman" w:hAnsi="Garamond" w:cs="Arial"/>
                <w:color w:val="333399"/>
                <w:sz w:val="20"/>
                <w:szCs w:val="20"/>
                <w:lang w:eastAsia="en-GB"/>
              </w:rPr>
            </w:pPr>
            <w:r w:rsidRPr="003037D2">
              <w:rPr>
                <w:rFonts w:ascii="Garamond" w:eastAsia="Times New Roman" w:hAnsi="Garamond" w:cs="Arial"/>
                <w:color w:val="333399"/>
                <w:sz w:val="20"/>
                <w:szCs w:val="20"/>
                <w:lang w:eastAsia="en-GB"/>
              </w:rPr>
              <w:t>1642</w:t>
            </w:r>
          </w:p>
        </w:tc>
        <w:tc>
          <w:tcPr>
            <w:tcW w:w="0" w:type="auto"/>
            <w:tcBorders>
              <w:top w:val="nil"/>
              <w:left w:val="single" w:sz="4" w:space="0" w:color="333333"/>
              <w:bottom w:val="single" w:sz="4" w:space="0" w:color="C0C0C0"/>
              <w:right w:val="single" w:sz="4" w:space="0" w:color="333333"/>
            </w:tcBorders>
            <w:shd w:val="clear" w:color="auto" w:fill="auto"/>
            <w:noWrap/>
            <w:hideMark/>
          </w:tcPr>
          <w:p w14:paraId="211C6A74"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5</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5A2CB6B6"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w:t>
            </w:r>
          </w:p>
        </w:tc>
        <w:tc>
          <w:tcPr>
            <w:tcW w:w="0" w:type="auto"/>
            <w:tcBorders>
              <w:top w:val="nil"/>
              <w:left w:val="nil"/>
              <w:bottom w:val="single" w:sz="4" w:space="0" w:color="C0C0C0"/>
              <w:right w:val="single" w:sz="4" w:space="0" w:color="333333"/>
            </w:tcBorders>
            <w:shd w:val="clear" w:color="auto" w:fill="auto"/>
            <w:noWrap/>
            <w:hideMark/>
          </w:tcPr>
          <w:p w14:paraId="006A4467"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70</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07CEE68F"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89</w:t>
            </w:r>
          </w:p>
        </w:tc>
        <w:tc>
          <w:tcPr>
            <w:tcW w:w="0" w:type="auto"/>
            <w:tcBorders>
              <w:top w:val="nil"/>
              <w:left w:val="nil"/>
              <w:bottom w:val="single" w:sz="4" w:space="0" w:color="C0C0C0"/>
              <w:right w:val="single" w:sz="4" w:space="0" w:color="333333"/>
            </w:tcBorders>
            <w:shd w:val="clear" w:color="auto" w:fill="auto"/>
            <w:noWrap/>
            <w:hideMark/>
          </w:tcPr>
          <w:p w14:paraId="276FA5D6"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61</w:t>
            </w:r>
          </w:p>
        </w:tc>
        <w:tc>
          <w:tcPr>
            <w:tcW w:w="0" w:type="auto"/>
            <w:tcBorders>
              <w:top w:val="single" w:sz="4" w:space="0" w:color="993366"/>
              <w:left w:val="nil"/>
              <w:bottom w:val="single" w:sz="4" w:space="0" w:color="C0C0C0"/>
              <w:right w:val="single" w:sz="4" w:space="0" w:color="333333"/>
            </w:tcBorders>
            <w:shd w:val="clear" w:color="auto" w:fill="auto"/>
            <w:noWrap/>
            <w:hideMark/>
          </w:tcPr>
          <w:p w14:paraId="0139D654"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77</w:t>
            </w:r>
          </w:p>
        </w:tc>
        <w:tc>
          <w:tcPr>
            <w:tcW w:w="0" w:type="auto"/>
            <w:tcBorders>
              <w:top w:val="nil"/>
              <w:left w:val="nil"/>
              <w:bottom w:val="single" w:sz="4" w:space="0" w:color="C0C0C0"/>
              <w:right w:val="single" w:sz="4" w:space="0" w:color="333333"/>
            </w:tcBorders>
            <w:shd w:val="clear" w:color="auto" w:fill="auto"/>
            <w:noWrap/>
            <w:hideMark/>
          </w:tcPr>
          <w:p w14:paraId="22E00C9A"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39</w:t>
            </w:r>
          </w:p>
        </w:tc>
        <w:tc>
          <w:tcPr>
            <w:tcW w:w="0" w:type="auto"/>
            <w:tcBorders>
              <w:top w:val="single" w:sz="4" w:space="0" w:color="993366"/>
              <w:left w:val="nil"/>
              <w:bottom w:val="single" w:sz="4" w:space="0" w:color="C0C0C0"/>
              <w:right w:val="nil"/>
            </w:tcBorders>
            <w:shd w:val="clear" w:color="auto" w:fill="auto"/>
            <w:noWrap/>
            <w:hideMark/>
          </w:tcPr>
          <w:p w14:paraId="085034FF" w14:textId="77777777" w:rsidR="00162224" w:rsidRPr="003037D2" w:rsidRDefault="00162224" w:rsidP="00162224">
            <w:pPr>
              <w:spacing w:line="360" w:lineRule="auto"/>
              <w:jc w:val="right"/>
              <w:rPr>
                <w:rFonts w:ascii="Garamond" w:eastAsia="Times New Roman" w:hAnsi="Garamond" w:cs="Arial"/>
                <w:color w:val="993300"/>
                <w:sz w:val="20"/>
                <w:szCs w:val="20"/>
                <w:lang w:eastAsia="en-GB"/>
              </w:rPr>
            </w:pPr>
            <w:r w:rsidRPr="003037D2">
              <w:rPr>
                <w:rFonts w:ascii="Garamond" w:eastAsia="Times New Roman" w:hAnsi="Garamond" w:cs="Arial"/>
                <w:color w:val="993300"/>
                <w:sz w:val="20"/>
                <w:szCs w:val="20"/>
                <w:lang w:eastAsia="en-GB"/>
              </w:rPr>
              <w:t>49</w:t>
            </w:r>
          </w:p>
        </w:tc>
        <w:tc>
          <w:tcPr>
            <w:tcW w:w="0" w:type="auto"/>
            <w:tcBorders>
              <w:top w:val="nil"/>
              <w:left w:val="single" w:sz="4" w:space="0" w:color="333333"/>
              <w:bottom w:val="single" w:sz="4" w:space="0" w:color="C0C0C0"/>
              <w:right w:val="nil"/>
            </w:tcBorders>
            <w:shd w:val="clear" w:color="000000" w:fill="D9E1F2"/>
            <w:noWrap/>
            <w:hideMark/>
          </w:tcPr>
          <w:p w14:paraId="080DD516"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79</w:t>
            </w:r>
          </w:p>
        </w:tc>
      </w:tr>
      <w:tr w:rsidR="00667CD5" w:rsidRPr="003037D2" w14:paraId="4D7E8769" w14:textId="77777777" w:rsidTr="00162224">
        <w:trPr>
          <w:trHeight w:val="290"/>
        </w:trPr>
        <w:tc>
          <w:tcPr>
            <w:tcW w:w="0" w:type="auto"/>
            <w:tcBorders>
              <w:top w:val="nil"/>
              <w:left w:val="nil"/>
              <w:bottom w:val="nil"/>
              <w:right w:val="nil"/>
            </w:tcBorders>
            <w:shd w:val="clear" w:color="auto" w:fill="auto"/>
            <w:noWrap/>
            <w:vAlign w:val="bottom"/>
            <w:hideMark/>
          </w:tcPr>
          <w:p w14:paraId="420E427A"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p>
        </w:tc>
        <w:tc>
          <w:tcPr>
            <w:tcW w:w="0" w:type="auto"/>
            <w:tcBorders>
              <w:top w:val="nil"/>
              <w:left w:val="nil"/>
              <w:bottom w:val="nil"/>
              <w:right w:val="nil"/>
            </w:tcBorders>
            <w:shd w:val="clear" w:color="auto" w:fill="auto"/>
            <w:noWrap/>
            <w:vAlign w:val="bottom"/>
            <w:hideMark/>
          </w:tcPr>
          <w:p w14:paraId="38190D06" w14:textId="77777777" w:rsidR="00162224" w:rsidRPr="003037D2" w:rsidRDefault="00162224" w:rsidP="00162224">
            <w:pPr>
              <w:spacing w:line="360" w:lineRule="auto"/>
              <w:rPr>
                <w:rFonts w:ascii="Garamond" w:eastAsia="Times New Roman" w:hAnsi="Garamond" w:cs="Times New Roman"/>
                <w:sz w:val="20"/>
                <w:szCs w:val="20"/>
                <w:lang w:eastAsia="en-GB"/>
              </w:rPr>
            </w:pPr>
          </w:p>
        </w:tc>
        <w:tc>
          <w:tcPr>
            <w:tcW w:w="0" w:type="auto"/>
            <w:tcBorders>
              <w:top w:val="nil"/>
              <w:left w:val="nil"/>
              <w:bottom w:val="nil"/>
              <w:right w:val="nil"/>
            </w:tcBorders>
            <w:shd w:val="clear" w:color="auto" w:fill="auto"/>
            <w:noWrap/>
            <w:vAlign w:val="bottom"/>
            <w:hideMark/>
          </w:tcPr>
          <w:p w14:paraId="34157CB1" w14:textId="77777777" w:rsidR="00162224" w:rsidRPr="003037D2" w:rsidRDefault="00162224" w:rsidP="00162224">
            <w:pPr>
              <w:spacing w:line="360" w:lineRule="auto"/>
              <w:rPr>
                <w:rFonts w:ascii="Garamond" w:eastAsia="Times New Roman" w:hAnsi="Garamond" w:cs="Times New Roman"/>
                <w:sz w:val="20"/>
                <w:szCs w:val="20"/>
                <w:lang w:eastAsia="en-GB"/>
              </w:rPr>
            </w:pPr>
          </w:p>
        </w:tc>
        <w:tc>
          <w:tcPr>
            <w:tcW w:w="0" w:type="auto"/>
            <w:tcBorders>
              <w:top w:val="nil"/>
              <w:left w:val="nil"/>
              <w:bottom w:val="nil"/>
              <w:right w:val="nil"/>
            </w:tcBorders>
            <w:shd w:val="clear" w:color="auto" w:fill="auto"/>
            <w:noWrap/>
            <w:vAlign w:val="bottom"/>
            <w:hideMark/>
          </w:tcPr>
          <w:p w14:paraId="375D6027" w14:textId="77777777" w:rsidR="00162224" w:rsidRPr="003037D2" w:rsidRDefault="00162224" w:rsidP="00162224">
            <w:pPr>
              <w:spacing w:line="360" w:lineRule="auto"/>
              <w:rPr>
                <w:rFonts w:ascii="Garamond" w:eastAsia="Times New Roman" w:hAnsi="Garamond" w:cs="Times New Roman"/>
                <w:sz w:val="20"/>
                <w:szCs w:val="20"/>
                <w:lang w:eastAsia="en-GB"/>
              </w:rPr>
            </w:pPr>
          </w:p>
        </w:tc>
        <w:tc>
          <w:tcPr>
            <w:tcW w:w="0" w:type="auto"/>
            <w:tcBorders>
              <w:top w:val="nil"/>
              <w:left w:val="nil"/>
              <w:bottom w:val="nil"/>
              <w:right w:val="nil"/>
            </w:tcBorders>
            <w:shd w:val="clear" w:color="auto" w:fill="auto"/>
            <w:noWrap/>
            <w:vAlign w:val="bottom"/>
            <w:hideMark/>
          </w:tcPr>
          <w:p w14:paraId="143E8772" w14:textId="77777777" w:rsidR="00162224" w:rsidRPr="003037D2" w:rsidRDefault="00162224" w:rsidP="00162224">
            <w:pPr>
              <w:spacing w:line="360" w:lineRule="auto"/>
              <w:rPr>
                <w:rFonts w:ascii="Garamond" w:eastAsia="Times New Roman" w:hAnsi="Garamond" w:cs="Times New Roman"/>
                <w:sz w:val="20"/>
                <w:szCs w:val="20"/>
                <w:lang w:eastAsia="en-GB"/>
              </w:rPr>
            </w:pPr>
          </w:p>
        </w:tc>
        <w:tc>
          <w:tcPr>
            <w:tcW w:w="0" w:type="auto"/>
            <w:tcBorders>
              <w:top w:val="nil"/>
              <w:left w:val="nil"/>
              <w:bottom w:val="nil"/>
              <w:right w:val="nil"/>
            </w:tcBorders>
            <w:shd w:val="clear" w:color="auto" w:fill="auto"/>
            <w:noWrap/>
            <w:vAlign w:val="bottom"/>
            <w:hideMark/>
          </w:tcPr>
          <w:p w14:paraId="3DDEDAA2" w14:textId="77777777" w:rsidR="00162224" w:rsidRPr="003037D2" w:rsidRDefault="00162224" w:rsidP="00162224">
            <w:pPr>
              <w:spacing w:line="360" w:lineRule="auto"/>
              <w:rPr>
                <w:rFonts w:ascii="Garamond" w:eastAsia="Times New Roman" w:hAnsi="Garamond" w:cs="Times New Roman"/>
                <w:sz w:val="20"/>
                <w:szCs w:val="20"/>
                <w:lang w:eastAsia="en-GB"/>
              </w:rPr>
            </w:pPr>
          </w:p>
        </w:tc>
        <w:tc>
          <w:tcPr>
            <w:tcW w:w="0" w:type="auto"/>
            <w:tcBorders>
              <w:top w:val="nil"/>
              <w:left w:val="nil"/>
              <w:bottom w:val="nil"/>
              <w:right w:val="nil"/>
            </w:tcBorders>
            <w:shd w:val="clear" w:color="auto" w:fill="auto"/>
            <w:noWrap/>
            <w:vAlign w:val="bottom"/>
            <w:hideMark/>
          </w:tcPr>
          <w:p w14:paraId="297657DD" w14:textId="77777777" w:rsidR="00162224" w:rsidRPr="003037D2" w:rsidRDefault="00162224" w:rsidP="00162224">
            <w:pPr>
              <w:spacing w:line="360" w:lineRule="auto"/>
              <w:rPr>
                <w:rFonts w:ascii="Garamond" w:eastAsia="Times New Roman" w:hAnsi="Garamond" w:cs="Times New Roman"/>
                <w:sz w:val="20"/>
                <w:szCs w:val="20"/>
                <w:lang w:eastAsia="en-GB"/>
              </w:rPr>
            </w:pPr>
          </w:p>
        </w:tc>
        <w:tc>
          <w:tcPr>
            <w:tcW w:w="0" w:type="auto"/>
            <w:tcBorders>
              <w:top w:val="nil"/>
              <w:left w:val="nil"/>
              <w:bottom w:val="nil"/>
              <w:right w:val="nil"/>
            </w:tcBorders>
            <w:shd w:val="clear" w:color="auto" w:fill="auto"/>
            <w:noWrap/>
            <w:vAlign w:val="bottom"/>
            <w:hideMark/>
          </w:tcPr>
          <w:p w14:paraId="3C15790D" w14:textId="77777777" w:rsidR="00162224" w:rsidRPr="003037D2" w:rsidRDefault="00162224" w:rsidP="00162224">
            <w:pPr>
              <w:spacing w:line="360" w:lineRule="auto"/>
              <w:rPr>
                <w:rFonts w:ascii="Garamond" w:eastAsia="Times New Roman" w:hAnsi="Garamond" w:cs="Times New Roman"/>
                <w:sz w:val="20"/>
                <w:szCs w:val="20"/>
                <w:lang w:eastAsia="en-GB"/>
              </w:rPr>
            </w:pPr>
          </w:p>
        </w:tc>
        <w:tc>
          <w:tcPr>
            <w:tcW w:w="0" w:type="auto"/>
            <w:tcBorders>
              <w:top w:val="nil"/>
              <w:left w:val="nil"/>
              <w:bottom w:val="nil"/>
              <w:right w:val="nil"/>
            </w:tcBorders>
            <w:shd w:val="clear" w:color="auto" w:fill="auto"/>
            <w:noWrap/>
            <w:vAlign w:val="bottom"/>
            <w:hideMark/>
          </w:tcPr>
          <w:p w14:paraId="1ED1B14E" w14:textId="77777777" w:rsidR="00162224" w:rsidRPr="003037D2" w:rsidRDefault="00162224" w:rsidP="00162224">
            <w:pPr>
              <w:spacing w:line="360" w:lineRule="auto"/>
              <w:rPr>
                <w:rFonts w:ascii="Garamond" w:eastAsia="Times New Roman" w:hAnsi="Garamond" w:cs="Times New Roman"/>
                <w:sz w:val="20"/>
                <w:szCs w:val="20"/>
                <w:lang w:eastAsia="en-GB"/>
              </w:rPr>
            </w:pPr>
          </w:p>
        </w:tc>
        <w:tc>
          <w:tcPr>
            <w:tcW w:w="0" w:type="auto"/>
            <w:tcBorders>
              <w:top w:val="nil"/>
              <w:left w:val="nil"/>
              <w:bottom w:val="nil"/>
              <w:right w:val="nil"/>
            </w:tcBorders>
            <w:shd w:val="clear" w:color="auto" w:fill="auto"/>
            <w:noWrap/>
            <w:vAlign w:val="bottom"/>
            <w:hideMark/>
          </w:tcPr>
          <w:p w14:paraId="6D8BBF0C" w14:textId="77777777" w:rsidR="00162224" w:rsidRPr="003037D2" w:rsidRDefault="00162224" w:rsidP="00162224">
            <w:pPr>
              <w:spacing w:line="360" w:lineRule="auto"/>
              <w:rPr>
                <w:rFonts w:ascii="Garamond" w:eastAsia="Times New Roman" w:hAnsi="Garamond" w:cs="Times New Roman"/>
                <w:sz w:val="20"/>
                <w:szCs w:val="20"/>
                <w:lang w:eastAsia="en-GB"/>
              </w:rPr>
            </w:pPr>
          </w:p>
        </w:tc>
        <w:tc>
          <w:tcPr>
            <w:tcW w:w="0" w:type="auto"/>
            <w:tcBorders>
              <w:top w:val="nil"/>
              <w:left w:val="single" w:sz="4" w:space="0" w:color="333333"/>
              <w:bottom w:val="nil"/>
              <w:right w:val="nil"/>
            </w:tcBorders>
            <w:shd w:val="clear" w:color="000000" w:fill="D9E1F2"/>
            <w:noWrap/>
            <w:hideMark/>
          </w:tcPr>
          <w:p w14:paraId="252D14AA" w14:textId="77777777" w:rsidR="00162224" w:rsidRPr="003037D2" w:rsidRDefault="00162224" w:rsidP="00162224">
            <w:pPr>
              <w:spacing w:line="360" w:lineRule="auto"/>
              <w:jc w:val="right"/>
              <w:rPr>
                <w:rFonts w:ascii="Garamond" w:eastAsia="Times New Roman" w:hAnsi="Garamond" w:cs="Calibri"/>
                <w:color w:val="000000"/>
                <w:sz w:val="20"/>
                <w:szCs w:val="20"/>
                <w:lang w:eastAsia="en-GB"/>
              </w:rPr>
            </w:pPr>
            <w:r w:rsidRPr="003037D2">
              <w:rPr>
                <w:rFonts w:ascii="Garamond" w:eastAsia="Times New Roman" w:hAnsi="Garamond" w:cs="Calibri"/>
                <w:color w:val="000000"/>
                <w:sz w:val="20"/>
                <w:szCs w:val="20"/>
                <w:lang w:eastAsia="en-GB"/>
              </w:rPr>
              <w:t>704</w:t>
            </w:r>
          </w:p>
        </w:tc>
      </w:tr>
      <w:tr w:rsidR="00667CD5" w:rsidRPr="003037D2" w14:paraId="1DFA9A44" w14:textId="77777777" w:rsidTr="00162224">
        <w:trPr>
          <w:trHeight w:val="290"/>
        </w:trPr>
        <w:tc>
          <w:tcPr>
            <w:tcW w:w="0" w:type="auto"/>
            <w:gridSpan w:val="3"/>
            <w:tcBorders>
              <w:top w:val="nil"/>
              <w:left w:val="nil"/>
              <w:bottom w:val="nil"/>
              <w:right w:val="nil"/>
            </w:tcBorders>
            <w:shd w:val="clear" w:color="auto" w:fill="auto"/>
            <w:noWrap/>
            <w:vAlign w:val="bottom"/>
          </w:tcPr>
          <w:p w14:paraId="0A1DB631" w14:textId="77777777" w:rsidR="00162224" w:rsidRPr="003037D2" w:rsidRDefault="00162224" w:rsidP="00162224">
            <w:pPr>
              <w:spacing w:line="360" w:lineRule="auto"/>
              <w:rPr>
                <w:rFonts w:ascii="Garamond" w:eastAsia="Times New Roman" w:hAnsi="Garamond" w:cs="Times New Roman"/>
                <w:b/>
                <w:bCs/>
                <w:sz w:val="20"/>
                <w:szCs w:val="20"/>
                <w:lang w:eastAsia="en-GB"/>
              </w:rPr>
            </w:pPr>
            <w:r w:rsidRPr="003037D2">
              <w:rPr>
                <w:rFonts w:ascii="Garamond" w:eastAsia="Times New Roman" w:hAnsi="Garamond" w:cs="Times New Roman"/>
                <w:b/>
                <w:bCs/>
                <w:sz w:val="20"/>
                <w:szCs w:val="20"/>
                <w:lang w:eastAsia="en-GB"/>
              </w:rPr>
              <w:t xml:space="preserve">Percentage average: </w:t>
            </w:r>
          </w:p>
        </w:tc>
        <w:tc>
          <w:tcPr>
            <w:tcW w:w="0" w:type="auto"/>
            <w:tcBorders>
              <w:top w:val="nil"/>
              <w:left w:val="nil"/>
              <w:bottom w:val="nil"/>
              <w:right w:val="nil"/>
            </w:tcBorders>
            <w:shd w:val="clear" w:color="auto" w:fill="auto"/>
            <w:noWrap/>
            <w:vAlign w:val="bottom"/>
          </w:tcPr>
          <w:p w14:paraId="30E3309F" w14:textId="77777777" w:rsidR="00162224" w:rsidRPr="003037D2" w:rsidRDefault="00162224" w:rsidP="00162224">
            <w:pPr>
              <w:spacing w:line="360" w:lineRule="auto"/>
              <w:rPr>
                <w:rFonts w:ascii="Garamond" w:eastAsia="Times New Roman" w:hAnsi="Garamond" w:cs="Times New Roman"/>
                <w:b/>
                <w:bCs/>
                <w:sz w:val="20"/>
                <w:szCs w:val="20"/>
                <w:lang w:eastAsia="en-GB"/>
              </w:rPr>
            </w:pPr>
            <w:r w:rsidRPr="003037D2">
              <w:rPr>
                <w:rFonts w:ascii="Garamond" w:eastAsia="Times New Roman" w:hAnsi="Garamond" w:cs="Times New Roman"/>
                <w:b/>
                <w:bCs/>
                <w:sz w:val="20"/>
                <w:szCs w:val="20"/>
                <w:lang w:eastAsia="en-GB"/>
              </w:rPr>
              <w:t>15</w:t>
            </w:r>
          </w:p>
        </w:tc>
        <w:tc>
          <w:tcPr>
            <w:tcW w:w="0" w:type="auto"/>
            <w:tcBorders>
              <w:top w:val="nil"/>
              <w:left w:val="nil"/>
              <w:bottom w:val="nil"/>
              <w:right w:val="nil"/>
            </w:tcBorders>
            <w:shd w:val="clear" w:color="auto" w:fill="auto"/>
            <w:noWrap/>
            <w:vAlign w:val="bottom"/>
          </w:tcPr>
          <w:p w14:paraId="16CD0DCB" w14:textId="77777777" w:rsidR="00162224" w:rsidRPr="003037D2" w:rsidRDefault="00162224" w:rsidP="00162224">
            <w:pPr>
              <w:spacing w:line="360" w:lineRule="auto"/>
              <w:rPr>
                <w:rFonts w:ascii="Garamond" w:eastAsia="Times New Roman" w:hAnsi="Garamond" w:cs="Times New Roman"/>
                <w:b/>
                <w:bCs/>
                <w:sz w:val="20"/>
                <w:szCs w:val="20"/>
                <w:lang w:eastAsia="en-GB"/>
              </w:rPr>
            </w:pPr>
          </w:p>
        </w:tc>
        <w:tc>
          <w:tcPr>
            <w:tcW w:w="0" w:type="auto"/>
            <w:tcBorders>
              <w:top w:val="nil"/>
              <w:left w:val="nil"/>
              <w:bottom w:val="nil"/>
              <w:right w:val="nil"/>
            </w:tcBorders>
            <w:shd w:val="clear" w:color="auto" w:fill="auto"/>
            <w:noWrap/>
            <w:vAlign w:val="bottom"/>
          </w:tcPr>
          <w:p w14:paraId="5396E9E7" w14:textId="77777777" w:rsidR="00162224" w:rsidRPr="003037D2" w:rsidRDefault="00162224" w:rsidP="00162224">
            <w:pPr>
              <w:spacing w:line="360" w:lineRule="auto"/>
              <w:rPr>
                <w:rFonts w:ascii="Garamond" w:eastAsia="Times New Roman" w:hAnsi="Garamond" w:cs="Times New Roman"/>
                <w:b/>
                <w:bCs/>
                <w:sz w:val="20"/>
                <w:szCs w:val="20"/>
                <w:lang w:eastAsia="en-GB"/>
              </w:rPr>
            </w:pPr>
            <w:r w:rsidRPr="003037D2">
              <w:rPr>
                <w:rFonts w:ascii="Garamond" w:eastAsia="Times New Roman" w:hAnsi="Garamond" w:cs="Times New Roman"/>
                <w:b/>
                <w:bCs/>
                <w:sz w:val="20"/>
                <w:szCs w:val="20"/>
                <w:lang w:eastAsia="en-GB"/>
              </w:rPr>
              <w:t>74</w:t>
            </w:r>
          </w:p>
        </w:tc>
        <w:tc>
          <w:tcPr>
            <w:tcW w:w="0" w:type="auto"/>
            <w:tcBorders>
              <w:top w:val="nil"/>
              <w:left w:val="nil"/>
              <w:bottom w:val="nil"/>
              <w:right w:val="nil"/>
            </w:tcBorders>
            <w:shd w:val="clear" w:color="auto" w:fill="auto"/>
            <w:noWrap/>
            <w:vAlign w:val="bottom"/>
          </w:tcPr>
          <w:p w14:paraId="5F9835DB" w14:textId="77777777" w:rsidR="00162224" w:rsidRPr="003037D2" w:rsidRDefault="00162224" w:rsidP="00162224">
            <w:pPr>
              <w:spacing w:line="360" w:lineRule="auto"/>
              <w:rPr>
                <w:rFonts w:ascii="Garamond" w:eastAsia="Times New Roman" w:hAnsi="Garamond" w:cs="Times New Roman"/>
                <w:b/>
                <w:bCs/>
                <w:sz w:val="20"/>
                <w:szCs w:val="20"/>
                <w:lang w:eastAsia="en-GB"/>
              </w:rPr>
            </w:pPr>
          </w:p>
        </w:tc>
        <w:tc>
          <w:tcPr>
            <w:tcW w:w="0" w:type="auto"/>
            <w:tcBorders>
              <w:top w:val="nil"/>
              <w:left w:val="nil"/>
              <w:bottom w:val="nil"/>
              <w:right w:val="nil"/>
            </w:tcBorders>
            <w:shd w:val="clear" w:color="auto" w:fill="auto"/>
            <w:noWrap/>
            <w:vAlign w:val="bottom"/>
          </w:tcPr>
          <w:p w14:paraId="6D5704D2" w14:textId="77777777" w:rsidR="00162224" w:rsidRPr="003037D2" w:rsidRDefault="00162224" w:rsidP="00162224">
            <w:pPr>
              <w:spacing w:line="360" w:lineRule="auto"/>
              <w:rPr>
                <w:rFonts w:ascii="Garamond" w:eastAsia="Times New Roman" w:hAnsi="Garamond" w:cs="Times New Roman"/>
                <w:b/>
                <w:bCs/>
                <w:sz w:val="20"/>
                <w:szCs w:val="20"/>
                <w:lang w:eastAsia="en-GB"/>
              </w:rPr>
            </w:pPr>
            <w:r w:rsidRPr="003037D2">
              <w:rPr>
                <w:rFonts w:ascii="Garamond" w:eastAsia="Times New Roman" w:hAnsi="Garamond" w:cs="Times New Roman"/>
                <w:b/>
                <w:bCs/>
                <w:sz w:val="20"/>
                <w:szCs w:val="20"/>
                <w:lang w:eastAsia="en-GB"/>
              </w:rPr>
              <w:t>67</w:t>
            </w:r>
          </w:p>
        </w:tc>
        <w:tc>
          <w:tcPr>
            <w:tcW w:w="0" w:type="auto"/>
            <w:tcBorders>
              <w:top w:val="nil"/>
              <w:left w:val="nil"/>
              <w:bottom w:val="nil"/>
              <w:right w:val="nil"/>
            </w:tcBorders>
            <w:shd w:val="clear" w:color="auto" w:fill="auto"/>
            <w:noWrap/>
            <w:vAlign w:val="bottom"/>
          </w:tcPr>
          <w:p w14:paraId="3E60EC91" w14:textId="77777777" w:rsidR="00162224" w:rsidRPr="003037D2" w:rsidRDefault="00162224" w:rsidP="00162224">
            <w:pPr>
              <w:spacing w:line="360" w:lineRule="auto"/>
              <w:rPr>
                <w:rFonts w:ascii="Garamond" w:eastAsia="Times New Roman" w:hAnsi="Garamond" w:cs="Times New Roman"/>
                <w:b/>
                <w:bCs/>
                <w:sz w:val="20"/>
                <w:szCs w:val="20"/>
                <w:lang w:eastAsia="en-GB"/>
              </w:rPr>
            </w:pPr>
          </w:p>
        </w:tc>
        <w:tc>
          <w:tcPr>
            <w:tcW w:w="0" w:type="auto"/>
            <w:tcBorders>
              <w:top w:val="nil"/>
              <w:left w:val="nil"/>
              <w:bottom w:val="nil"/>
              <w:right w:val="nil"/>
            </w:tcBorders>
            <w:shd w:val="clear" w:color="auto" w:fill="auto"/>
            <w:noWrap/>
            <w:vAlign w:val="bottom"/>
          </w:tcPr>
          <w:p w14:paraId="27604F51" w14:textId="77777777" w:rsidR="00162224" w:rsidRPr="003037D2" w:rsidRDefault="00162224" w:rsidP="00162224">
            <w:pPr>
              <w:spacing w:line="360" w:lineRule="auto"/>
              <w:rPr>
                <w:rFonts w:ascii="Garamond" w:eastAsia="Times New Roman" w:hAnsi="Garamond" w:cs="Times New Roman"/>
                <w:b/>
                <w:bCs/>
                <w:sz w:val="20"/>
                <w:szCs w:val="20"/>
                <w:lang w:eastAsia="en-GB"/>
              </w:rPr>
            </w:pPr>
            <w:r w:rsidRPr="003037D2">
              <w:rPr>
                <w:rFonts w:ascii="Garamond" w:eastAsia="Times New Roman" w:hAnsi="Garamond" w:cs="Times New Roman"/>
                <w:b/>
                <w:bCs/>
                <w:sz w:val="20"/>
                <w:szCs w:val="20"/>
                <w:lang w:eastAsia="en-GB"/>
              </w:rPr>
              <w:t>61</w:t>
            </w:r>
          </w:p>
        </w:tc>
        <w:tc>
          <w:tcPr>
            <w:tcW w:w="0" w:type="auto"/>
            <w:tcBorders>
              <w:top w:val="nil"/>
              <w:left w:val="single" w:sz="4" w:space="0" w:color="333333"/>
              <w:bottom w:val="single" w:sz="4" w:space="0" w:color="993366"/>
              <w:right w:val="nil"/>
            </w:tcBorders>
            <w:shd w:val="clear" w:color="000000" w:fill="D9E1F2"/>
            <w:noWrap/>
          </w:tcPr>
          <w:p w14:paraId="34CFABB2" w14:textId="77777777" w:rsidR="00162224" w:rsidRPr="003037D2" w:rsidRDefault="00162224" w:rsidP="00162224">
            <w:pPr>
              <w:spacing w:line="360" w:lineRule="auto"/>
              <w:jc w:val="right"/>
              <w:rPr>
                <w:rFonts w:ascii="Garamond" w:eastAsia="Times New Roman" w:hAnsi="Garamond" w:cs="Calibri"/>
                <w:b/>
                <w:bCs/>
                <w:color w:val="000000"/>
                <w:sz w:val="20"/>
                <w:szCs w:val="20"/>
                <w:lang w:eastAsia="en-GB"/>
              </w:rPr>
            </w:pPr>
          </w:p>
        </w:tc>
      </w:tr>
    </w:tbl>
    <w:p w14:paraId="31FCEAEF" w14:textId="77777777" w:rsidR="00162224" w:rsidRPr="003037D2" w:rsidRDefault="00162224" w:rsidP="00162224">
      <w:pPr>
        <w:pStyle w:val="Caption"/>
        <w:spacing w:line="360" w:lineRule="auto"/>
        <w:jc w:val="center"/>
        <w:rPr>
          <w:rFonts w:ascii="Garamond" w:hAnsi="Garamond"/>
          <w:sz w:val="24"/>
          <w:szCs w:val="24"/>
        </w:rPr>
      </w:pPr>
    </w:p>
    <w:p w14:paraId="4ECDB08F" w14:textId="7A4B7D9D" w:rsidR="00162224" w:rsidRPr="003037D2" w:rsidRDefault="00162224" w:rsidP="00162224">
      <w:pPr>
        <w:pStyle w:val="Caption"/>
        <w:spacing w:line="360" w:lineRule="auto"/>
        <w:jc w:val="center"/>
        <w:rPr>
          <w:rFonts w:ascii="Garamond" w:hAnsi="Garamond"/>
          <w:color w:val="auto"/>
          <w:sz w:val="24"/>
          <w:szCs w:val="24"/>
        </w:rPr>
      </w:pPr>
      <w:bookmarkStart w:id="221" w:name="_Ref513911278"/>
      <w:bookmarkStart w:id="222" w:name="_Toc3973272"/>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56</w:t>
      </w:r>
      <w:r w:rsidRPr="003037D2">
        <w:rPr>
          <w:rFonts w:ascii="Garamond" w:hAnsi="Garamond"/>
          <w:noProof/>
          <w:color w:val="auto"/>
          <w:sz w:val="24"/>
          <w:szCs w:val="24"/>
        </w:rPr>
        <w:fldChar w:fldCharType="end"/>
      </w:r>
      <w:bookmarkEnd w:id="221"/>
      <w:r w:rsidRPr="003037D2">
        <w:rPr>
          <w:rFonts w:ascii="Garamond" w:hAnsi="Garamond"/>
          <w:color w:val="auto"/>
          <w:sz w:val="24"/>
          <w:szCs w:val="24"/>
        </w:rPr>
        <w:t xml:space="preserve"> Annual figures for title page features</w:t>
      </w:r>
      <w:bookmarkEnd w:id="222"/>
      <w:r w:rsidR="00667CD5">
        <w:rPr>
          <w:rFonts w:ascii="Garamond" w:hAnsi="Garamond"/>
          <w:color w:val="auto"/>
          <w:sz w:val="24"/>
          <w:szCs w:val="24"/>
        </w:rPr>
        <w:t xml:space="preserve">, 1620 – 1642 </w:t>
      </w:r>
    </w:p>
    <w:p w14:paraId="43FB40B4" w14:textId="77777777" w:rsidR="00162224" w:rsidRPr="003037D2" w:rsidRDefault="00162224" w:rsidP="00162224">
      <w:pPr>
        <w:keepNext/>
        <w:spacing w:line="360" w:lineRule="auto"/>
        <w:jc w:val="center"/>
        <w:rPr>
          <w:rFonts w:ascii="Garamond" w:hAnsi="Garamond"/>
        </w:rPr>
      </w:pPr>
      <w:r w:rsidRPr="003037D2">
        <w:rPr>
          <w:rFonts w:ascii="Garamond" w:hAnsi="Garamond"/>
          <w:noProof/>
          <w:lang w:val="en-GB" w:eastAsia="zh-CN"/>
        </w:rPr>
        <w:lastRenderedPageBreak/>
        <w:drawing>
          <wp:inline distT="0" distB="0" distL="0" distR="0" wp14:anchorId="791D858F" wp14:editId="7C99B974">
            <wp:extent cx="2971057" cy="4056380"/>
            <wp:effectExtent l="0" t="0" r="127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Ilte page the Brownists conventicle .gif"/>
                    <pic:cNvPicPr/>
                  </pic:nvPicPr>
                  <pic:blipFill rotWithShape="1">
                    <a:blip r:embed="rId67">
                      <a:extLst>
                        <a:ext uri="{28A0092B-C50C-407E-A947-70E740481C1C}">
                          <a14:useLocalDpi xmlns:a14="http://schemas.microsoft.com/office/drawing/2010/main" val="0"/>
                        </a:ext>
                      </a:extLst>
                    </a:blip>
                    <a:srcRect l="48163"/>
                    <a:stretch/>
                  </pic:blipFill>
                  <pic:spPr bwMode="auto">
                    <a:xfrm>
                      <a:off x="0" y="0"/>
                      <a:ext cx="2971057" cy="4056380"/>
                    </a:xfrm>
                    <a:prstGeom prst="rect">
                      <a:avLst/>
                    </a:prstGeom>
                    <a:ln>
                      <a:noFill/>
                    </a:ln>
                    <a:extLst>
                      <a:ext uri="{53640926-AAD7-44D8-BBD7-CCE9431645EC}">
                        <a14:shadowObscured xmlns:a14="http://schemas.microsoft.com/office/drawing/2010/main"/>
                      </a:ext>
                    </a:extLst>
                  </pic:spPr>
                </pic:pic>
              </a:graphicData>
            </a:graphic>
          </wp:inline>
        </w:drawing>
      </w:r>
    </w:p>
    <w:p w14:paraId="18EE22AB" w14:textId="6014A814" w:rsidR="00162224" w:rsidRPr="003037D2" w:rsidRDefault="00162224" w:rsidP="00162224">
      <w:pPr>
        <w:pStyle w:val="Caption"/>
        <w:spacing w:line="360" w:lineRule="auto"/>
        <w:jc w:val="center"/>
        <w:rPr>
          <w:rFonts w:ascii="Garamond" w:hAnsi="Garamond"/>
          <w:color w:val="auto"/>
          <w:sz w:val="24"/>
          <w:szCs w:val="24"/>
        </w:rPr>
      </w:pPr>
      <w:bookmarkStart w:id="223" w:name="_Ref513901614"/>
      <w:bookmarkStart w:id="224" w:name="_Toc3973273"/>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57</w:t>
      </w:r>
      <w:r w:rsidRPr="003037D2">
        <w:rPr>
          <w:rFonts w:ascii="Garamond" w:hAnsi="Garamond"/>
          <w:noProof/>
          <w:color w:val="auto"/>
          <w:sz w:val="24"/>
          <w:szCs w:val="24"/>
        </w:rPr>
        <w:fldChar w:fldCharType="end"/>
      </w:r>
      <w:bookmarkEnd w:id="223"/>
      <w:r w:rsidRPr="003037D2">
        <w:rPr>
          <w:rFonts w:ascii="Garamond" w:hAnsi="Garamond"/>
          <w:color w:val="auto"/>
          <w:sz w:val="24"/>
          <w:szCs w:val="24"/>
        </w:rPr>
        <w:t xml:space="preserve"> The </w:t>
      </w:r>
      <w:proofErr w:type="spellStart"/>
      <w:r w:rsidRPr="003037D2">
        <w:rPr>
          <w:rFonts w:ascii="Garamond" w:hAnsi="Garamond"/>
          <w:color w:val="auto"/>
          <w:sz w:val="24"/>
          <w:szCs w:val="24"/>
        </w:rPr>
        <w:t>Brownists</w:t>
      </w:r>
      <w:proofErr w:type="spellEnd"/>
      <w:r w:rsidRPr="003037D2">
        <w:rPr>
          <w:rFonts w:ascii="Garamond" w:hAnsi="Garamond"/>
          <w:color w:val="auto"/>
          <w:sz w:val="24"/>
          <w:szCs w:val="24"/>
        </w:rPr>
        <w:t xml:space="preserve"> Conventicle (London: 1641) (Early English Books Online)</w:t>
      </w:r>
      <w:bookmarkEnd w:id="224"/>
    </w:p>
    <w:p w14:paraId="02B4B578" w14:textId="77777777" w:rsidR="00162224" w:rsidRPr="003037D2" w:rsidRDefault="00162224" w:rsidP="00162224">
      <w:pPr>
        <w:spacing w:line="360" w:lineRule="auto"/>
        <w:jc w:val="center"/>
        <w:rPr>
          <w:rFonts w:ascii="Garamond" w:hAnsi="Garamond"/>
        </w:rPr>
      </w:pPr>
    </w:p>
    <w:p w14:paraId="69A26AAC" w14:textId="77777777" w:rsidR="00162224" w:rsidRPr="003037D2" w:rsidRDefault="00162224" w:rsidP="00162224">
      <w:pPr>
        <w:keepNext/>
        <w:spacing w:line="360" w:lineRule="auto"/>
        <w:ind w:firstLine="720"/>
        <w:jc w:val="center"/>
        <w:rPr>
          <w:rFonts w:ascii="Garamond" w:hAnsi="Garamond"/>
        </w:rPr>
      </w:pPr>
      <w:r w:rsidRPr="003037D2">
        <w:rPr>
          <w:rFonts w:ascii="Garamond" w:hAnsi="Garamond"/>
          <w:noProof/>
          <w:lang w:val="en-GB" w:eastAsia="zh-CN"/>
        </w:rPr>
        <w:drawing>
          <wp:inline distT="0" distB="0" distL="0" distR="0" wp14:anchorId="306C96BF" wp14:editId="5B7D664B">
            <wp:extent cx="3590925" cy="2676525"/>
            <wp:effectExtent l="0" t="0" r="9525" b="9525"/>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6E33D87" w14:textId="7E922E20" w:rsidR="00162224" w:rsidRPr="003037D2" w:rsidRDefault="00162224" w:rsidP="00162224">
      <w:pPr>
        <w:pStyle w:val="Caption"/>
        <w:spacing w:line="360" w:lineRule="auto"/>
        <w:jc w:val="center"/>
        <w:rPr>
          <w:rFonts w:ascii="Garamond" w:hAnsi="Garamond"/>
          <w:color w:val="auto"/>
          <w:sz w:val="24"/>
          <w:szCs w:val="24"/>
        </w:rPr>
      </w:pPr>
      <w:bookmarkStart w:id="225" w:name="_Ref513223187"/>
      <w:bookmarkStart w:id="226" w:name="_Toc3973274"/>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58</w:t>
      </w:r>
      <w:r w:rsidRPr="003037D2">
        <w:rPr>
          <w:rFonts w:ascii="Garamond" w:hAnsi="Garamond"/>
          <w:noProof/>
          <w:color w:val="auto"/>
          <w:sz w:val="24"/>
          <w:szCs w:val="24"/>
        </w:rPr>
        <w:fldChar w:fldCharType="end"/>
      </w:r>
      <w:bookmarkEnd w:id="225"/>
      <w:r w:rsidRPr="003037D2">
        <w:rPr>
          <w:rFonts w:ascii="Garamond" w:hAnsi="Garamond"/>
          <w:color w:val="auto"/>
          <w:sz w:val="24"/>
          <w:szCs w:val="24"/>
        </w:rPr>
        <w:t xml:space="preserve"> Dating referents used on sermon title pages, 1620 – 1642</w:t>
      </w:r>
      <w:bookmarkEnd w:id="226"/>
    </w:p>
    <w:p w14:paraId="26BC23E2" w14:textId="77777777" w:rsidR="00162224" w:rsidRPr="003037D2" w:rsidRDefault="00162224" w:rsidP="00162224">
      <w:pPr>
        <w:keepNext/>
        <w:spacing w:line="360" w:lineRule="auto"/>
        <w:rPr>
          <w:rFonts w:ascii="Garamond" w:hAnsi="Garamond"/>
        </w:rPr>
      </w:pPr>
      <w:r w:rsidRPr="003037D2">
        <w:rPr>
          <w:rFonts w:ascii="Garamond" w:hAnsi="Garamond"/>
          <w:noProof/>
          <w:lang w:val="en-GB" w:eastAsia="zh-CN"/>
        </w:rPr>
        <w:lastRenderedPageBreak/>
        <w:drawing>
          <wp:inline distT="0" distB="0" distL="0" distR="0" wp14:anchorId="374AE9B7" wp14:editId="74CA29BA">
            <wp:extent cx="5324475" cy="3409950"/>
            <wp:effectExtent l="0" t="0" r="9525" b="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1AB965A7" w14:textId="59249D94" w:rsidR="00162224" w:rsidRPr="003037D2" w:rsidRDefault="00162224" w:rsidP="00162224">
      <w:pPr>
        <w:pStyle w:val="Caption"/>
        <w:spacing w:line="360" w:lineRule="auto"/>
        <w:rPr>
          <w:rFonts w:ascii="Garamond" w:hAnsi="Garamond"/>
          <w:iCs w:val="0"/>
          <w:color w:val="auto"/>
          <w:sz w:val="24"/>
          <w:szCs w:val="24"/>
        </w:rPr>
      </w:pPr>
      <w:bookmarkStart w:id="227" w:name="_Ref532833657"/>
      <w:bookmarkStart w:id="228" w:name="_Toc3973275"/>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59</w:t>
      </w:r>
      <w:r w:rsidRPr="003037D2">
        <w:rPr>
          <w:rFonts w:ascii="Garamond" w:hAnsi="Garamond"/>
          <w:noProof/>
          <w:color w:val="auto"/>
          <w:sz w:val="24"/>
          <w:szCs w:val="24"/>
        </w:rPr>
        <w:fldChar w:fldCharType="end"/>
      </w:r>
      <w:bookmarkEnd w:id="227"/>
      <w:r w:rsidRPr="003037D2">
        <w:rPr>
          <w:rFonts w:ascii="Garamond" w:hAnsi="Garamond"/>
          <w:color w:val="auto"/>
          <w:sz w:val="24"/>
          <w:szCs w:val="24"/>
        </w:rPr>
        <w:t xml:space="preserve"> </w:t>
      </w:r>
      <w:r w:rsidRPr="003037D2">
        <w:rPr>
          <w:rFonts w:ascii="Garamond" w:hAnsi="Garamond"/>
          <w:iCs w:val="0"/>
          <w:color w:val="auto"/>
          <w:sz w:val="24"/>
          <w:szCs w:val="24"/>
        </w:rPr>
        <w:t>Type of events referred to on title pages, percentages from 190 incidences, 1620 – 1642</w:t>
      </w:r>
      <w:bookmarkEnd w:id="228"/>
      <w:r w:rsidRPr="003037D2">
        <w:rPr>
          <w:rFonts w:ascii="Garamond" w:hAnsi="Garamond"/>
          <w:iCs w:val="0"/>
          <w:color w:val="auto"/>
          <w:sz w:val="24"/>
          <w:szCs w:val="24"/>
        </w:rPr>
        <w:t xml:space="preserve">  </w:t>
      </w:r>
    </w:p>
    <w:p w14:paraId="557D7542" w14:textId="77777777" w:rsidR="00162224" w:rsidRPr="003037D2" w:rsidRDefault="00162224" w:rsidP="00162224">
      <w:pPr>
        <w:keepNext/>
        <w:spacing w:line="360" w:lineRule="auto"/>
        <w:rPr>
          <w:rFonts w:ascii="Garamond" w:hAnsi="Garamond"/>
        </w:rPr>
      </w:pPr>
      <w:r w:rsidRPr="003037D2">
        <w:rPr>
          <w:rFonts w:ascii="Garamond" w:hAnsi="Garamond"/>
          <w:noProof/>
          <w:lang w:val="en-GB" w:eastAsia="zh-CN"/>
        </w:rPr>
        <w:drawing>
          <wp:inline distT="0" distB="0" distL="0" distR="0" wp14:anchorId="7F25DACA" wp14:editId="0AAFC6A6">
            <wp:extent cx="5400675" cy="3248025"/>
            <wp:effectExtent l="0" t="0" r="9525" b="9525"/>
            <wp:docPr id="49" name="Chart 49">
              <a:extLst xmlns:a="http://schemas.openxmlformats.org/drawingml/2006/main">
                <a:ext uri="{FF2B5EF4-FFF2-40B4-BE49-F238E27FC236}">
                  <a16:creationId xmlns:a16="http://schemas.microsoft.com/office/drawing/2014/main" id="{00000000-0008-0000-04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49084AA7" w14:textId="77C9348C" w:rsidR="00162224" w:rsidRPr="003037D2" w:rsidRDefault="00162224" w:rsidP="00162224">
      <w:pPr>
        <w:pStyle w:val="Caption"/>
        <w:spacing w:line="360" w:lineRule="auto"/>
        <w:rPr>
          <w:rFonts w:ascii="Garamond" w:hAnsi="Garamond"/>
          <w:iCs w:val="0"/>
          <w:color w:val="auto"/>
          <w:sz w:val="24"/>
          <w:szCs w:val="24"/>
        </w:rPr>
      </w:pPr>
      <w:bookmarkStart w:id="229" w:name="_Ref513280087"/>
      <w:bookmarkStart w:id="230" w:name="_Toc3973276"/>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60</w:t>
      </w:r>
      <w:r w:rsidRPr="003037D2">
        <w:rPr>
          <w:rFonts w:ascii="Garamond" w:hAnsi="Garamond"/>
          <w:noProof/>
          <w:color w:val="auto"/>
          <w:sz w:val="24"/>
          <w:szCs w:val="24"/>
        </w:rPr>
        <w:fldChar w:fldCharType="end"/>
      </w:r>
      <w:bookmarkEnd w:id="229"/>
      <w:r w:rsidRPr="003037D2">
        <w:rPr>
          <w:rFonts w:ascii="Garamond" w:hAnsi="Garamond"/>
          <w:color w:val="auto"/>
          <w:sz w:val="24"/>
          <w:szCs w:val="24"/>
        </w:rPr>
        <w:t xml:space="preserve"> </w:t>
      </w:r>
      <w:r w:rsidRPr="003037D2">
        <w:rPr>
          <w:rFonts w:ascii="Garamond" w:hAnsi="Garamond"/>
          <w:iCs w:val="0"/>
          <w:color w:val="auto"/>
          <w:sz w:val="24"/>
          <w:szCs w:val="24"/>
        </w:rPr>
        <w:t>Church festivals referred to on title pages, percentages from 54 incidences, 1620 – 1642</w:t>
      </w:r>
      <w:bookmarkEnd w:id="230"/>
      <w:r w:rsidRPr="003037D2">
        <w:rPr>
          <w:rFonts w:ascii="Garamond" w:hAnsi="Garamond"/>
          <w:iCs w:val="0"/>
          <w:color w:val="auto"/>
          <w:sz w:val="24"/>
          <w:szCs w:val="24"/>
        </w:rPr>
        <w:t xml:space="preserve"> </w:t>
      </w:r>
    </w:p>
    <w:p w14:paraId="5E24D52A" w14:textId="77777777" w:rsidR="00162224" w:rsidRPr="003037D2" w:rsidRDefault="00162224" w:rsidP="00162224">
      <w:pPr>
        <w:spacing w:line="360" w:lineRule="auto"/>
        <w:rPr>
          <w:rFonts w:ascii="Garamond" w:hAnsi="Garamond"/>
        </w:rPr>
      </w:pPr>
    </w:p>
    <w:tbl>
      <w:tblPr>
        <w:tblStyle w:val="TableGrid1"/>
        <w:tblW w:w="7044" w:type="dxa"/>
        <w:tblLook w:val="04A0" w:firstRow="1" w:lastRow="0" w:firstColumn="1" w:lastColumn="0" w:noHBand="0" w:noVBand="1"/>
      </w:tblPr>
      <w:tblGrid>
        <w:gridCol w:w="1750"/>
        <w:gridCol w:w="1957"/>
        <w:gridCol w:w="1713"/>
        <w:gridCol w:w="1624"/>
      </w:tblGrid>
      <w:tr w:rsidR="00162224" w:rsidRPr="003037D2" w14:paraId="260E9310" w14:textId="77777777" w:rsidTr="00162224">
        <w:trPr>
          <w:trHeight w:val="336"/>
        </w:trPr>
        <w:tc>
          <w:tcPr>
            <w:tcW w:w="1655" w:type="dxa"/>
            <w:vMerge w:val="restart"/>
            <w:shd w:val="clear" w:color="auto" w:fill="B4C6E7" w:themeFill="accent1" w:themeFillTint="66"/>
          </w:tcPr>
          <w:p w14:paraId="461286B2" w14:textId="77777777" w:rsidR="00162224" w:rsidRPr="003037D2" w:rsidRDefault="00162224" w:rsidP="00162224">
            <w:pPr>
              <w:keepNext/>
              <w:spacing w:line="360" w:lineRule="auto"/>
              <w:rPr>
                <w:rFonts w:ascii="Garamond" w:hAnsi="Garamond" w:cs="Calibri"/>
                <w:b/>
                <w:bCs/>
                <w:color w:val="000000"/>
              </w:rPr>
            </w:pPr>
            <w:r w:rsidRPr="003037D2">
              <w:rPr>
                <w:rFonts w:ascii="Garamond" w:hAnsi="Garamond" w:cs="Calibri"/>
                <w:b/>
                <w:bCs/>
                <w:color w:val="000000"/>
              </w:rPr>
              <w:lastRenderedPageBreak/>
              <w:t xml:space="preserve">Church Feasts/Festivals </w:t>
            </w:r>
          </w:p>
        </w:tc>
        <w:tc>
          <w:tcPr>
            <w:tcW w:w="1983" w:type="dxa"/>
            <w:shd w:val="clear" w:color="auto" w:fill="B4C6E7" w:themeFill="accent1" w:themeFillTint="66"/>
          </w:tcPr>
          <w:p w14:paraId="4FC63DB8"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 xml:space="preserve">Michaelmas </w:t>
            </w:r>
          </w:p>
        </w:tc>
        <w:tc>
          <w:tcPr>
            <w:tcW w:w="1750" w:type="dxa"/>
            <w:shd w:val="clear" w:color="auto" w:fill="B4C6E7" w:themeFill="accent1" w:themeFillTint="66"/>
          </w:tcPr>
          <w:p w14:paraId="033A9AA2"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1</w:t>
            </w:r>
          </w:p>
        </w:tc>
        <w:tc>
          <w:tcPr>
            <w:tcW w:w="1656" w:type="dxa"/>
            <w:vMerge w:val="restart"/>
            <w:vAlign w:val="bottom"/>
          </w:tcPr>
          <w:p w14:paraId="7A4AE3B5" w14:textId="77777777" w:rsidR="00162224" w:rsidRPr="003037D2" w:rsidRDefault="00162224" w:rsidP="00162224">
            <w:pPr>
              <w:keepNext/>
              <w:spacing w:line="360" w:lineRule="auto"/>
              <w:jc w:val="center"/>
              <w:rPr>
                <w:rFonts w:ascii="Garamond" w:hAnsi="Garamond"/>
                <w:b/>
                <w:bCs/>
                <w:sz w:val="24"/>
                <w:szCs w:val="24"/>
              </w:rPr>
            </w:pPr>
            <w:r w:rsidRPr="003037D2">
              <w:rPr>
                <w:rFonts w:ascii="Garamond" w:hAnsi="Garamond"/>
                <w:b/>
                <w:bCs/>
                <w:sz w:val="24"/>
                <w:szCs w:val="24"/>
              </w:rPr>
              <w:t>54</w:t>
            </w:r>
          </w:p>
        </w:tc>
      </w:tr>
      <w:tr w:rsidR="00162224" w:rsidRPr="003037D2" w14:paraId="5D5C511E" w14:textId="77777777" w:rsidTr="00162224">
        <w:trPr>
          <w:trHeight w:val="347"/>
        </w:trPr>
        <w:tc>
          <w:tcPr>
            <w:tcW w:w="1655" w:type="dxa"/>
            <w:vMerge/>
            <w:shd w:val="clear" w:color="auto" w:fill="B4C6E7" w:themeFill="accent1" w:themeFillTint="66"/>
          </w:tcPr>
          <w:p w14:paraId="182CA468" w14:textId="77777777" w:rsidR="00162224" w:rsidRPr="003037D2" w:rsidRDefault="00162224" w:rsidP="00162224">
            <w:pPr>
              <w:keepNext/>
              <w:spacing w:line="360" w:lineRule="auto"/>
              <w:rPr>
                <w:rFonts w:ascii="Garamond" w:hAnsi="Garamond" w:cs="Calibri"/>
                <w:b/>
                <w:bCs/>
                <w:color w:val="000000"/>
              </w:rPr>
            </w:pPr>
          </w:p>
        </w:tc>
        <w:tc>
          <w:tcPr>
            <w:tcW w:w="1983" w:type="dxa"/>
            <w:shd w:val="clear" w:color="auto" w:fill="B4C6E7" w:themeFill="accent1" w:themeFillTint="66"/>
          </w:tcPr>
          <w:p w14:paraId="03ABEA39"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 xml:space="preserve">Ascension </w:t>
            </w:r>
          </w:p>
        </w:tc>
        <w:tc>
          <w:tcPr>
            <w:tcW w:w="1750" w:type="dxa"/>
            <w:shd w:val="clear" w:color="auto" w:fill="B4C6E7" w:themeFill="accent1" w:themeFillTint="66"/>
          </w:tcPr>
          <w:p w14:paraId="75454846"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1</w:t>
            </w:r>
          </w:p>
        </w:tc>
        <w:tc>
          <w:tcPr>
            <w:tcW w:w="1656" w:type="dxa"/>
            <w:vMerge/>
            <w:vAlign w:val="bottom"/>
          </w:tcPr>
          <w:p w14:paraId="7DF28EC7"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37F74324" w14:textId="77777777" w:rsidTr="00162224">
        <w:trPr>
          <w:trHeight w:val="347"/>
        </w:trPr>
        <w:tc>
          <w:tcPr>
            <w:tcW w:w="1655" w:type="dxa"/>
            <w:vMerge/>
            <w:shd w:val="clear" w:color="auto" w:fill="B4C6E7" w:themeFill="accent1" w:themeFillTint="66"/>
          </w:tcPr>
          <w:p w14:paraId="39A0CA3C" w14:textId="77777777" w:rsidR="00162224" w:rsidRPr="003037D2" w:rsidRDefault="00162224" w:rsidP="00162224">
            <w:pPr>
              <w:keepNext/>
              <w:spacing w:line="360" w:lineRule="auto"/>
              <w:rPr>
                <w:rFonts w:ascii="Garamond" w:hAnsi="Garamond" w:cs="Calibri"/>
                <w:b/>
                <w:bCs/>
                <w:color w:val="000000"/>
              </w:rPr>
            </w:pPr>
          </w:p>
        </w:tc>
        <w:tc>
          <w:tcPr>
            <w:tcW w:w="1983" w:type="dxa"/>
            <w:shd w:val="clear" w:color="auto" w:fill="B4C6E7" w:themeFill="accent1" w:themeFillTint="66"/>
          </w:tcPr>
          <w:p w14:paraId="687B2D92"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 xml:space="preserve">All saints </w:t>
            </w:r>
          </w:p>
        </w:tc>
        <w:tc>
          <w:tcPr>
            <w:tcW w:w="1750" w:type="dxa"/>
            <w:shd w:val="clear" w:color="auto" w:fill="B4C6E7" w:themeFill="accent1" w:themeFillTint="66"/>
          </w:tcPr>
          <w:p w14:paraId="589028B5"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2</w:t>
            </w:r>
          </w:p>
        </w:tc>
        <w:tc>
          <w:tcPr>
            <w:tcW w:w="1656" w:type="dxa"/>
            <w:vMerge/>
            <w:vAlign w:val="bottom"/>
          </w:tcPr>
          <w:p w14:paraId="2D768C76"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106A0690" w14:textId="77777777" w:rsidTr="00162224">
        <w:trPr>
          <w:trHeight w:val="358"/>
        </w:trPr>
        <w:tc>
          <w:tcPr>
            <w:tcW w:w="1655" w:type="dxa"/>
            <w:vMerge/>
            <w:shd w:val="clear" w:color="auto" w:fill="B4C6E7" w:themeFill="accent1" w:themeFillTint="66"/>
          </w:tcPr>
          <w:p w14:paraId="23D77F5E" w14:textId="77777777" w:rsidR="00162224" w:rsidRPr="003037D2" w:rsidRDefault="00162224" w:rsidP="00162224">
            <w:pPr>
              <w:keepNext/>
              <w:spacing w:line="360" w:lineRule="auto"/>
              <w:rPr>
                <w:rFonts w:ascii="Garamond" w:hAnsi="Garamond" w:cs="Calibri"/>
                <w:b/>
                <w:bCs/>
                <w:color w:val="000000"/>
              </w:rPr>
            </w:pPr>
          </w:p>
        </w:tc>
        <w:tc>
          <w:tcPr>
            <w:tcW w:w="1983" w:type="dxa"/>
            <w:shd w:val="clear" w:color="auto" w:fill="B4C6E7" w:themeFill="accent1" w:themeFillTint="66"/>
          </w:tcPr>
          <w:p w14:paraId="1D3DF0F9"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 xml:space="preserve">Candlemas </w:t>
            </w:r>
          </w:p>
        </w:tc>
        <w:tc>
          <w:tcPr>
            <w:tcW w:w="1750" w:type="dxa"/>
            <w:shd w:val="clear" w:color="auto" w:fill="B4C6E7" w:themeFill="accent1" w:themeFillTint="66"/>
          </w:tcPr>
          <w:p w14:paraId="6C52404B"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2</w:t>
            </w:r>
          </w:p>
        </w:tc>
        <w:tc>
          <w:tcPr>
            <w:tcW w:w="1656" w:type="dxa"/>
            <w:vMerge/>
            <w:vAlign w:val="bottom"/>
          </w:tcPr>
          <w:p w14:paraId="2A797429"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02B5E83C" w14:textId="77777777" w:rsidTr="00162224">
        <w:trPr>
          <w:trHeight w:val="347"/>
        </w:trPr>
        <w:tc>
          <w:tcPr>
            <w:tcW w:w="1655" w:type="dxa"/>
            <w:vMerge/>
            <w:shd w:val="clear" w:color="auto" w:fill="B4C6E7" w:themeFill="accent1" w:themeFillTint="66"/>
          </w:tcPr>
          <w:p w14:paraId="4E8A8898" w14:textId="77777777" w:rsidR="00162224" w:rsidRPr="003037D2" w:rsidRDefault="00162224" w:rsidP="00162224">
            <w:pPr>
              <w:keepNext/>
              <w:spacing w:line="360" w:lineRule="auto"/>
              <w:rPr>
                <w:rFonts w:ascii="Garamond" w:hAnsi="Garamond" w:cs="Calibri"/>
                <w:b/>
                <w:bCs/>
                <w:color w:val="000000"/>
              </w:rPr>
            </w:pPr>
          </w:p>
        </w:tc>
        <w:tc>
          <w:tcPr>
            <w:tcW w:w="1983" w:type="dxa"/>
            <w:shd w:val="clear" w:color="auto" w:fill="B4C6E7" w:themeFill="accent1" w:themeFillTint="66"/>
          </w:tcPr>
          <w:p w14:paraId="33A71798"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 xml:space="preserve">Christmas </w:t>
            </w:r>
          </w:p>
        </w:tc>
        <w:tc>
          <w:tcPr>
            <w:tcW w:w="1750" w:type="dxa"/>
            <w:shd w:val="clear" w:color="auto" w:fill="B4C6E7" w:themeFill="accent1" w:themeFillTint="66"/>
          </w:tcPr>
          <w:p w14:paraId="2C40FD09"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1</w:t>
            </w:r>
          </w:p>
        </w:tc>
        <w:tc>
          <w:tcPr>
            <w:tcW w:w="1656" w:type="dxa"/>
            <w:vMerge/>
            <w:vAlign w:val="bottom"/>
          </w:tcPr>
          <w:p w14:paraId="5437FB70"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05CA4013" w14:textId="77777777" w:rsidTr="00162224">
        <w:trPr>
          <w:trHeight w:val="347"/>
        </w:trPr>
        <w:tc>
          <w:tcPr>
            <w:tcW w:w="1655" w:type="dxa"/>
            <w:vMerge/>
            <w:shd w:val="clear" w:color="auto" w:fill="B4C6E7" w:themeFill="accent1" w:themeFillTint="66"/>
          </w:tcPr>
          <w:p w14:paraId="179AF288" w14:textId="77777777" w:rsidR="00162224" w:rsidRPr="003037D2" w:rsidRDefault="00162224" w:rsidP="00162224">
            <w:pPr>
              <w:keepNext/>
              <w:spacing w:line="360" w:lineRule="auto"/>
              <w:rPr>
                <w:rFonts w:ascii="Garamond" w:hAnsi="Garamond" w:cs="Calibri"/>
                <w:b/>
                <w:bCs/>
                <w:color w:val="000000"/>
              </w:rPr>
            </w:pPr>
          </w:p>
        </w:tc>
        <w:tc>
          <w:tcPr>
            <w:tcW w:w="1983" w:type="dxa"/>
            <w:shd w:val="clear" w:color="auto" w:fill="B4C6E7" w:themeFill="accent1" w:themeFillTint="66"/>
          </w:tcPr>
          <w:p w14:paraId="2E570FBF"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Easter</w:t>
            </w:r>
          </w:p>
        </w:tc>
        <w:tc>
          <w:tcPr>
            <w:tcW w:w="1750" w:type="dxa"/>
            <w:shd w:val="clear" w:color="auto" w:fill="B4C6E7" w:themeFill="accent1" w:themeFillTint="66"/>
          </w:tcPr>
          <w:p w14:paraId="5D03CFAD"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18</w:t>
            </w:r>
          </w:p>
        </w:tc>
        <w:tc>
          <w:tcPr>
            <w:tcW w:w="1656" w:type="dxa"/>
            <w:vMerge/>
            <w:vAlign w:val="bottom"/>
          </w:tcPr>
          <w:p w14:paraId="76431003"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61D41876" w14:textId="77777777" w:rsidTr="00162224">
        <w:trPr>
          <w:trHeight w:val="261"/>
        </w:trPr>
        <w:tc>
          <w:tcPr>
            <w:tcW w:w="1655" w:type="dxa"/>
            <w:vMerge/>
            <w:shd w:val="clear" w:color="auto" w:fill="B4C6E7" w:themeFill="accent1" w:themeFillTint="66"/>
          </w:tcPr>
          <w:p w14:paraId="3B08CB7B" w14:textId="77777777" w:rsidR="00162224" w:rsidRPr="003037D2" w:rsidRDefault="00162224" w:rsidP="00162224">
            <w:pPr>
              <w:keepNext/>
              <w:spacing w:line="360" w:lineRule="auto"/>
              <w:rPr>
                <w:rFonts w:ascii="Garamond" w:hAnsi="Garamond" w:cs="Calibri"/>
                <w:b/>
                <w:bCs/>
                <w:color w:val="000000"/>
              </w:rPr>
            </w:pPr>
          </w:p>
        </w:tc>
        <w:tc>
          <w:tcPr>
            <w:tcW w:w="1983" w:type="dxa"/>
            <w:shd w:val="clear" w:color="auto" w:fill="B4C6E7" w:themeFill="accent1" w:themeFillTint="66"/>
          </w:tcPr>
          <w:p w14:paraId="5B72F876" w14:textId="1A1164F2"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Feast of St</w:t>
            </w:r>
            <w:r w:rsidR="00667CD5">
              <w:rPr>
                <w:rFonts w:ascii="Garamond" w:hAnsi="Garamond" w:cs="Calibri"/>
                <w:color w:val="000000"/>
                <w:sz w:val="18"/>
                <w:szCs w:val="18"/>
              </w:rPr>
              <w:t>.</w:t>
            </w:r>
            <w:r w:rsidRPr="003037D2">
              <w:rPr>
                <w:rFonts w:ascii="Garamond" w:hAnsi="Garamond" w:cs="Calibri"/>
                <w:color w:val="000000"/>
                <w:sz w:val="18"/>
                <w:szCs w:val="18"/>
              </w:rPr>
              <w:t xml:space="preserve"> Michael </w:t>
            </w:r>
          </w:p>
        </w:tc>
        <w:tc>
          <w:tcPr>
            <w:tcW w:w="1750" w:type="dxa"/>
            <w:shd w:val="clear" w:color="auto" w:fill="B4C6E7" w:themeFill="accent1" w:themeFillTint="66"/>
          </w:tcPr>
          <w:p w14:paraId="64B2AB58"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1</w:t>
            </w:r>
          </w:p>
        </w:tc>
        <w:tc>
          <w:tcPr>
            <w:tcW w:w="1656" w:type="dxa"/>
            <w:vMerge/>
            <w:vAlign w:val="bottom"/>
          </w:tcPr>
          <w:p w14:paraId="35643F10"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36612256" w14:textId="77777777" w:rsidTr="00162224">
        <w:trPr>
          <w:trHeight w:val="347"/>
        </w:trPr>
        <w:tc>
          <w:tcPr>
            <w:tcW w:w="1655" w:type="dxa"/>
            <w:vMerge/>
            <w:shd w:val="clear" w:color="auto" w:fill="B4C6E7" w:themeFill="accent1" w:themeFillTint="66"/>
          </w:tcPr>
          <w:p w14:paraId="20BB43EE" w14:textId="77777777" w:rsidR="00162224" w:rsidRPr="003037D2" w:rsidRDefault="00162224" w:rsidP="00162224">
            <w:pPr>
              <w:keepNext/>
              <w:spacing w:line="360" w:lineRule="auto"/>
              <w:rPr>
                <w:rFonts w:ascii="Garamond" w:hAnsi="Garamond" w:cs="Calibri"/>
                <w:b/>
                <w:bCs/>
                <w:color w:val="000000"/>
              </w:rPr>
            </w:pPr>
          </w:p>
        </w:tc>
        <w:tc>
          <w:tcPr>
            <w:tcW w:w="1983" w:type="dxa"/>
            <w:shd w:val="clear" w:color="auto" w:fill="B4C6E7" w:themeFill="accent1" w:themeFillTint="66"/>
          </w:tcPr>
          <w:p w14:paraId="4B29CBDD"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 xml:space="preserve">Innocent's day </w:t>
            </w:r>
          </w:p>
        </w:tc>
        <w:tc>
          <w:tcPr>
            <w:tcW w:w="1750" w:type="dxa"/>
            <w:shd w:val="clear" w:color="auto" w:fill="B4C6E7" w:themeFill="accent1" w:themeFillTint="66"/>
          </w:tcPr>
          <w:p w14:paraId="1D7EC54A"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1</w:t>
            </w:r>
          </w:p>
        </w:tc>
        <w:tc>
          <w:tcPr>
            <w:tcW w:w="1656" w:type="dxa"/>
            <w:vMerge/>
            <w:vAlign w:val="bottom"/>
          </w:tcPr>
          <w:p w14:paraId="23635FDB"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7A6ABD7E" w14:textId="77777777" w:rsidTr="00162224">
        <w:trPr>
          <w:trHeight w:val="347"/>
        </w:trPr>
        <w:tc>
          <w:tcPr>
            <w:tcW w:w="1655" w:type="dxa"/>
            <w:vMerge/>
            <w:shd w:val="clear" w:color="auto" w:fill="B4C6E7" w:themeFill="accent1" w:themeFillTint="66"/>
          </w:tcPr>
          <w:p w14:paraId="476F058C" w14:textId="77777777" w:rsidR="00162224" w:rsidRPr="003037D2" w:rsidRDefault="00162224" w:rsidP="00162224">
            <w:pPr>
              <w:keepNext/>
              <w:spacing w:line="360" w:lineRule="auto"/>
              <w:rPr>
                <w:rFonts w:ascii="Garamond" w:hAnsi="Garamond" w:cs="Calibri"/>
                <w:b/>
                <w:bCs/>
                <w:color w:val="000000"/>
              </w:rPr>
            </w:pPr>
          </w:p>
        </w:tc>
        <w:tc>
          <w:tcPr>
            <w:tcW w:w="1983" w:type="dxa"/>
            <w:shd w:val="clear" w:color="auto" w:fill="B4C6E7" w:themeFill="accent1" w:themeFillTint="66"/>
          </w:tcPr>
          <w:p w14:paraId="0934B091"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 xml:space="preserve">Lent </w:t>
            </w:r>
          </w:p>
        </w:tc>
        <w:tc>
          <w:tcPr>
            <w:tcW w:w="1750" w:type="dxa"/>
            <w:shd w:val="clear" w:color="auto" w:fill="B4C6E7" w:themeFill="accent1" w:themeFillTint="66"/>
          </w:tcPr>
          <w:p w14:paraId="456662F2"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6</w:t>
            </w:r>
          </w:p>
        </w:tc>
        <w:tc>
          <w:tcPr>
            <w:tcW w:w="1656" w:type="dxa"/>
            <w:vMerge/>
            <w:vAlign w:val="bottom"/>
          </w:tcPr>
          <w:p w14:paraId="03EEC791"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27159494" w14:textId="77777777" w:rsidTr="00162224">
        <w:trPr>
          <w:trHeight w:val="347"/>
        </w:trPr>
        <w:tc>
          <w:tcPr>
            <w:tcW w:w="1655" w:type="dxa"/>
            <w:vMerge/>
            <w:shd w:val="clear" w:color="auto" w:fill="B4C6E7" w:themeFill="accent1" w:themeFillTint="66"/>
          </w:tcPr>
          <w:p w14:paraId="6BF49756" w14:textId="77777777" w:rsidR="00162224" w:rsidRPr="003037D2" w:rsidRDefault="00162224" w:rsidP="00162224">
            <w:pPr>
              <w:keepNext/>
              <w:spacing w:line="360" w:lineRule="auto"/>
              <w:rPr>
                <w:rFonts w:ascii="Garamond" w:hAnsi="Garamond" w:cs="Calibri"/>
                <w:b/>
                <w:bCs/>
                <w:color w:val="000000"/>
              </w:rPr>
            </w:pPr>
          </w:p>
        </w:tc>
        <w:tc>
          <w:tcPr>
            <w:tcW w:w="1983" w:type="dxa"/>
            <w:shd w:val="clear" w:color="auto" w:fill="B4C6E7" w:themeFill="accent1" w:themeFillTint="66"/>
          </w:tcPr>
          <w:p w14:paraId="215EB528"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St Peter's Day</w:t>
            </w:r>
          </w:p>
        </w:tc>
        <w:tc>
          <w:tcPr>
            <w:tcW w:w="1750" w:type="dxa"/>
            <w:shd w:val="clear" w:color="auto" w:fill="B4C6E7" w:themeFill="accent1" w:themeFillTint="66"/>
          </w:tcPr>
          <w:p w14:paraId="49587D32"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1</w:t>
            </w:r>
          </w:p>
        </w:tc>
        <w:tc>
          <w:tcPr>
            <w:tcW w:w="1656" w:type="dxa"/>
            <w:vMerge/>
            <w:vAlign w:val="bottom"/>
          </w:tcPr>
          <w:p w14:paraId="62C7D3CF"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60759068" w14:textId="77777777" w:rsidTr="00162224">
        <w:trPr>
          <w:trHeight w:val="358"/>
        </w:trPr>
        <w:tc>
          <w:tcPr>
            <w:tcW w:w="1655" w:type="dxa"/>
            <w:vMerge/>
            <w:shd w:val="clear" w:color="auto" w:fill="B4C6E7" w:themeFill="accent1" w:themeFillTint="66"/>
          </w:tcPr>
          <w:p w14:paraId="01F1A638" w14:textId="77777777" w:rsidR="00162224" w:rsidRPr="003037D2" w:rsidRDefault="00162224" w:rsidP="00162224">
            <w:pPr>
              <w:keepNext/>
              <w:spacing w:line="360" w:lineRule="auto"/>
              <w:rPr>
                <w:rFonts w:ascii="Garamond" w:hAnsi="Garamond" w:cs="Calibri"/>
                <w:b/>
                <w:bCs/>
                <w:color w:val="000000"/>
              </w:rPr>
            </w:pPr>
          </w:p>
        </w:tc>
        <w:tc>
          <w:tcPr>
            <w:tcW w:w="1983" w:type="dxa"/>
            <w:shd w:val="clear" w:color="auto" w:fill="B4C6E7" w:themeFill="accent1" w:themeFillTint="66"/>
          </w:tcPr>
          <w:p w14:paraId="2E826B84"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 xml:space="preserve">Ash Wednesday </w:t>
            </w:r>
          </w:p>
        </w:tc>
        <w:tc>
          <w:tcPr>
            <w:tcW w:w="1750" w:type="dxa"/>
            <w:shd w:val="clear" w:color="auto" w:fill="B4C6E7" w:themeFill="accent1" w:themeFillTint="66"/>
          </w:tcPr>
          <w:p w14:paraId="5C637122"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1</w:t>
            </w:r>
          </w:p>
        </w:tc>
        <w:tc>
          <w:tcPr>
            <w:tcW w:w="1656" w:type="dxa"/>
            <w:vMerge/>
            <w:vAlign w:val="bottom"/>
          </w:tcPr>
          <w:p w14:paraId="6DF80F73"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640F7CEA" w14:textId="77777777" w:rsidTr="00162224">
        <w:trPr>
          <w:trHeight w:val="347"/>
        </w:trPr>
        <w:tc>
          <w:tcPr>
            <w:tcW w:w="1655" w:type="dxa"/>
            <w:vMerge/>
            <w:shd w:val="clear" w:color="auto" w:fill="B4C6E7" w:themeFill="accent1" w:themeFillTint="66"/>
          </w:tcPr>
          <w:p w14:paraId="1931D9B3" w14:textId="77777777" w:rsidR="00162224" w:rsidRPr="003037D2" w:rsidRDefault="00162224" w:rsidP="00162224">
            <w:pPr>
              <w:keepNext/>
              <w:spacing w:line="360" w:lineRule="auto"/>
              <w:rPr>
                <w:rFonts w:ascii="Garamond" w:hAnsi="Garamond" w:cs="Calibri"/>
                <w:b/>
                <w:bCs/>
                <w:color w:val="000000"/>
              </w:rPr>
            </w:pPr>
          </w:p>
        </w:tc>
        <w:tc>
          <w:tcPr>
            <w:tcW w:w="1983" w:type="dxa"/>
            <w:shd w:val="clear" w:color="auto" w:fill="B4C6E7" w:themeFill="accent1" w:themeFillTint="66"/>
          </w:tcPr>
          <w:p w14:paraId="28795B6E"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 xml:space="preserve">Whitsunday </w:t>
            </w:r>
          </w:p>
        </w:tc>
        <w:tc>
          <w:tcPr>
            <w:tcW w:w="1750" w:type="dxa"/>
            <w:shd w:val="clear" w:color="auto" w:fill="B4C6E7" w:themeFill="accent1" w:themeFillTint="66"/>
          </w:tcPr>
          <w:p w14:paraId="52B555AA"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1</w:t>
            </w:r>
          </w:p>
        </w:tc>
        <w:tc>
          <w:tcPr>
            <w:tcW w:w="1656" w:type="dxa"/>
            <w:vMerge/>
            <w:vAlign w:val="bottom"/>
          </w:tcPr>
          <w:p w14:paraId="11A43845"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1E0E42C2" w14:textId="77777777" w:rsidTr="00162224">
        <w:trPr>
          <w:trHeight w:val="347"/>
        </w:trPr>
        <w:tc>
          <w:tcPr>
            <w:tcW w:w="1655" w:type="dxa"/>
            <w:vMerge/>
            <w:shd w:val="clear" w:color="auto" w:fill="B4C6E7" w:themeFill="accent1" w:themeFillTint="66"/>
          </w:tcPr>
          <w:p w14:paraId="413812A5" w14:textId="77777777" w:rsidR="00162224" w:rsidRPr="003037D2" w:rsidRDefault="00162224" w:rsidP="00162224">
            <w:pPr>
              <w:keepNext/>
              <w:spacing w:line="360" w:lineRule="auto"/>
              <w:rPr>
                <w:rFonts w:ascii="Garamond" w:hAnsi="Garamond" w:cs="Calibri"/>
                <w:b/>
                <w:bCs/>
                <w:color w:val="000000"/>
              </w:rPr>
            </w:pPr>
          </w:p>
        </w:tc>
        <w:tc>
          <w:tcPr>
            <w:tcW w:w="1983" w:type="dxa"/>
            <w:shd w:val="clear" w:color="auto" w:fill="B4C6E7" w:themeFill="accent1" w:themeFillTint="66"/>
          </w:tcPr>
          <w:p w14:paraId="1F302487"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 xml:space="preserve">Other </w:t>
            </w:r>
          </w:p>
        </w:tc>
        <w:tc>
          <w:tcPr>
            <w:tcW w:w="1750" w:type="dxa"/>
            <w:shd w:val="clear" w:color="auto" w:fill="B4C6E7" w:themeFill="accent1" w:themeFillTint="66"/>
          </w:tcPr>
          <w:p w14:paraId="14F607B1"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 xml:space="preserve">19 </w:t>
            </w:r>
          </w:p>
        </w:tc>
        <w:tc>
          <w:tcPr>
            <w:tcW w:w="1656" w:type="dxa"/>
            <w:vMerge/>
            <w:vAlign w:val="bottom"/>
          </w:tcPr>
          <w:p w14:paraId="3D91D111"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479F0929" w14:textId="77777777" w:rsidTr="00162224">
        <w:trPr>
          <w:trHeight w:val="336"/>
        </w:trPr>
        <w:tc>
          <w:tcPr>
            <w:tcW w:w="1655" w:type="dxa"/>
            <w:vMerge w:val="restart"/>
            <w:shd w:val="clear" w:color="auto" w:fill="F4B083" w:themeFill="accent2" w:themeFillTint="99"/>
          </w:tcPr>
          <w:p w14:paraId="2423CE31" w14:textId="77777777" w:rsidR="00162224" w:rsidRPr="003037D2" w:rsidRDefault="00162224" w:rsidP="00162224">
            <w:pPr>
              <w:keepNext/>
              <w:spacing w:line="360" w:lineRule="auto"/>
              <w:rPr>
                <w:rFonts w:ascii="Garamond" w:hAnsi="Garamond" w:cs="Calibri"/>
                <w:b/>
                <w:bCs/>
                <w:color w:val="000000"/>
              </w:rPr>
            </w:pPr>
            <w:r w:rsidRPr="003037D2">
              <w:rPr>
                <w:rFonts w:ascii="Garamond" w:hAnsi="Garamond" w:cs="Calibri"/>
                <w:b/>
                <w:bCs/>
                <w:color w:val="000000"/>
              </w:rPr>
              <w:t xml:space="preserve">Date </w:t>
            </w:r>
          </w:p>
        </w:tc>
        <w:tc>
          <w:tcPr>
            <w:tcW w:w="1983" w:type="dxa"/>
            <w:shd w:val="clear" w:color="auto" w:fill="F4B083" w:themeFill="accent2" w:themeFillTint="99"/>
          </w:tcPr>
          <w:p w14:paraId="0CA9ECBE"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Year</w:t>
            </w:r>
          </w:p>
        </w:tc>
        <w:tc>
          <w:tcPr>
            <w:tcW w:w="1750" w:type="dxa"/>
            <w:shd w:val="clear" w:color="auto" w:fill="F4B083" w:themeFill="accent2" w:themeFillTint="99"/>
          </w:tcPr>
          <w:p w14:paraId="6DEBFEAD"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10</w:t>
            </w:r>
          </w:p>
        </w:tc>
        <w:tc>
          <w:tcPr>
            <w:tcW w:w="1656" w:type="dxa"/>
            <w:vMerge w:val="restart"/>
            <w:vAlign w:val="bottom"/>
          </w:tcPr>
          <w:p w14:paraId="119621E5" w14:textId="77777777" w:rsidR="00162224" w:rsidRPr="003037D2" w:rsidRDefault="00162224" w:rsidP="00162224">
            <w:pPr>
              <w:keepNext/>
              <w:spacing w:line="360" w:lineRule="auto"/>
              <w:jc w:val="center"/>
              <w:rPr>
                <w:rFonts w:ascii="Garamond" w:hAnsi="Garamond"/>
                <w:b/>
                <w:bCs/>
                <w:sz w:val="24"/>
                <w:szCs w:val="24"/>
              </w:rPr>
            </w:pPr>
            <w:r w:rsidRPr="003037D2">
              <w:rPr>
                <w:rFonts w:ascii="Garamond" w:hAnsi="Garamond"/>
                <w:b/>
                <w:bCs/>
                <w:sz w:val="24"/>
                <w:szCs w:val="24"/>
              </w:rPr>
              <w:t>381</w:t>
            </w:r>
          </w:p>
        </w:tc>
      </w:tr>
      <w:tr w:rsidR="00162224" w:rsidRPr="003037D2" w14:paraId="45F636F5" w14:textId="77777777" w:rsidTr="00162224">
        <w:trPr>
          <w:trHeight w:val="336"/>
        </w:trPr>
        <w:tc>
          <w:tcPr>
            <w:tcW w:w="1655" w:type="dxa"/>
            <w:vMerge/>
            <w:shd w:val="clear" w:color="auto" w:fill="F4B083" w:themeFill="accent2" w:themeFillTint="99"/>
          </w:tcPr>
          <w:p w14:paraId="3B2F41DC" w14:textId="77777777" w:rsidR="00162224" w:rsidRPr="003037D2" w:rsidRDefault="00162224" w:rsidP="00162224">
            <w:pPr>
              <w:keepNext/>
              <w:spacing w:line="360" w:lineRule="auto"/>
              <w:rPr>
                <w:rFonts w:ascii="Garamond" w:hAnsi="Garamond" w:cs="Calibri"/>
                <w:b/>
                <w:bCs/>
                <w:color w:val="000000"/>
              </w:rPr>
            </w:pPr>
          </w:p>
        </w:tc>
        <w:tc>
          <w:tcPr>
            <w:tcW w:w="1983" w:type="dxa"/>
            <w:shd w:val="clear" w:color="auto" w:fill="F4B083" w:themeFill="accent2" w:themeFillTint="99"/>
          </w:tcPr>
          <w:p w14:paraId="1EFE7834"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 xml:space="preserve">Month </w:t>
            </w:r>
          </w:p>
        </w:tc>
        <w:tc>
          <w:tcPr>
            <w:tcW w:w="1750" w:type="dxa"/>
            <w:shd w:val="clear" w:color="auto" w:fill="F4B083" w:themeFill="accent2" w:themeFillTint="99"/>
          </w:tcPr>
          <w:p w14:paraId="23563038"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2</w:t>
            </w:r>
          </w:p>
        </w:tc>
        <w:tc>
          <w:tcPr>
            <w:tcW w:w="1656" w:type="dxa"/>
            <w:vMerge/>
            <w:vAlign w:val="bottom"/>
          </w:tcPr>
          <w:p w14:paraId="3C849934"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36070FBD" w14:textId="77777777" w:rsidTr="00162224">
        <w:trPr>
          <w:trHeight w:val="53"/>
        </w:trPr>
        <w:tc>
          <w:tcPr>
            <w:tcW w:w="1655" w:type="dxa"/>
            <w:vMerge/>
            <w:shd w:val="clear" w:color="auto" w:fill="F4B083" w:themeFill="accent2" w:themeFillTint="99"/>
          </w:tcPr>
          <w:p w14:paraId="11A73165" w14:textId="77777777" w:rsidR="00162224" w:rsidRPr="003037D2" w:rsidRDefault="00162224" w:rsidP="00162224">
            <w:pPr>
              <w:keepNext/>
              <w:spacing w:line="360" w:lineRule="auto"/>
              <w:rPr>
                <w:rFonts w:ascii="Garamond" w:hAnsi="Garamond" w:cs="Calibri"/>
                <w:b/>
                <w:bCs/>
                <w:color w:val="000000"/>
              </w:rPr>
            </w:pPr>
          </w:p>
        </w:tc>
        <w:tc>
          <w:tcPr>
            <w:tcW w:w="1983" w:type="dxa"/>
            <w:shd w:val="clear" w:color="auto" w:fill="F4B083" w:themeFill="accent2" w:themeFillTint="99"/>
          </w:tcPr>
          <w:p w14:paraId="561EA1BE"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Exact date</w:t>
            </w:r>
          </w:p>
        </w:tc>
        <w:tc>
          <w:tcPr>
            <w:tcW w:w="1750" w:type="dxa"/>
            <w:shd w:val="clear" w:color="auto" w:fill="F4B083" w:themeFill="accent2" w:themeFillTint="99"/>
          </w:tcPr>
          <w:p w14:paraId="702FDCBF"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369</w:t>
            </w:r>
          </w:p>
        </w:tc>
        <w:tc>
          <w:tcPr>
            <w:tcW w:w="1656" w:type="dxa"/>
            <w:vMerge/>
            <w:vAlign w:val="bottom"/>
          </w:tcPr>
          <w:p w14:paraId="77348CB6"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2876F97E" w14:textId="77777777" w:rsidTr="00162224">
        <w:trPr>
          <w:trHeight w:val="336"/>
        </w:trPr>
        <w:tc>
          <w:tcPr>
            <w:tcW w:w="1655" w:type="dxa"/>
            <w:vMerge w:val="restart"/>
            <w:shd w:val="clear" w:color="auto" w:fill="E7E6E6" w:themeFill="background2"/>
          </w:tcPr>
          <w:p w14:paraId="47F3959C" w14:textId="77777777" w:rsidR="00162224" w:rsidRPr="003037D2" w:rsidRDefault="00162224" w:rsidP="00162224">
            <w:pPr>
              <w:keepNext/>
              <w:spacing w:line="360" w:lineRule="auto"/>
              <w:rPr>
                <w:rFonts w:ascii="Garamond" w:hAnsi="Garamond" w:cs="Calibri"/>
                <w:b/>
                <w:bCs/>
                <w:color w:val="000000"/>
              </w:rPr>
            </w:pPr>
            <w:r w:rsidRPr="003037D2">
              <w:rPr>
                <w:rFonts w:ascii="Garamond" w:hAnsi="Garamond" w:cs="Calibri"/>
                <w:b/>
                <w:bCs/>
                <w:color w:val="000000"/>
              </w:rPr>
              <w:t xml:space="preserve">Event </w:t>
            </w:r>
          </w:p>
        </w:tc>
        <w:tc>
          <w:tcPr>
            <w:tcW w:w="1983" w:type="dxa"/>
            <w:shd w:val="clear" w:color="auto" w:fill="E7E6E6" w:themeFill="background2"/>
          </w:tcPr>
          <w:p w14:paraId="66BF543E"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 xml:space="preserve">anniversary </w:t>
            </w:r>
          </w:p>
        </w:tc>
        <w:tc>
          <w:tcPr>
            <w:tcW w:w="1750" w:type="dxa"/>
            <w:shd w:val="clear" w:color="auto" w:fill="E7E6E6" w:themeFill="background2"/>
          </w:tcPr>
          <w:p w14:paraId="550FAECE"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1</w:t>
            </w:r>
          </w:p>
        </w:tc>
        <w:tc>
          <w:tcPr>
            <w:tcW w:w="1656" w:type="dxa"/>
            <w:vMerge w:val="restart"/>
            <w:vAlign w:val="bottom"/>
          </w:tcPr>
          <w:p w14:paraId="55B1FE55" w14:textId="77777777" w:rsidR="00162224" w:rsidRPr="003037D2" w:rsidRDefault="00162224" w:rsidP="00162224">
            <w:pPr>
              <w:keepNext/>
              <w:spacing w:line="360" w:lineRule="auto"/>
              <w:jc w:val="center"/>
              <w:rPr>
                <w:rFonts w:ascii="Garamond" w:hAnsi="Garamond"/>
                <w:b/>
                <w:bCs/>
                <w:sz w:val="24"/>
                <w:szCs w:val="24"/>
              </w:rPr>
            </w:pPr>
            <w:r w:rsidRPr="003037D2">
              <w:rPr>
                <w:rFonts w:ascii="Garamond" w:hAnsi="Garamond"/>
                <w:b/>
                <w:bCs/>
                <w:sz w:val="24"/>
                <w:szCs w:val="24"/>
              </w:rPr>
              <w:t>190</w:t>
            </w:r>
          </w:p>
        </w:tc>
      </w:tr>
      <w:tr w:rsidR="00162224" w:rsidRPr="003037D2" w14:paraId="6238314F" w14:textId="77777777" w:rsidTr="00162224">
        <w:trPr>
          <w:trHeight w:val="347"/>
        </w:trPr>
        <w:tc>
          <w:tcPr>
            <w:tcW w:w="1655" w:type="dxa"/>
            <w:vMerge/>
            <w:shd w:val="clear" w:color="auto" w:fill="E7E6E6" w:themeFill="background2"/>
          </w:tcPr>
          <w:p w14:paraId="774E1EDA" w14:textId="77777777" w:rsidR="00162224" w:rsidRPr="003037D2" w:rsidRDefault="00162224" w:rsidP="00162224">
            <w:pPr>
              <w:keepNext/>
              <w:spacing w:line="360" w:lineRule="auto"/>
              <w:rPr>
                <w:rFonts w:ascii="Garamond" w:hAnsi="Garamond" w:cs="Calibri"/>
                <w:color w:val="000000"/>
                <w:sz w:val="18"/>
                <w:szCs w:val="18"/>
              </w:rPr>
            </w:pPr>
          </w:p>
        </w:tc>
        <w:tc>
          <w:tcPr>
            <w:tcW w:w="1983" w:type="dxa"/>
            <w:shd w:val="clear" w:color="auto" w:fill="E7E6E6" w:themeFill="background2"/>
          </w:tcPr>
          <w:p w14:paraId="0B02875C"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 xml:space="preserve">burial </w:t>
            </w:r>
          </w:p>
        </w:tc>
        <w:tc>
          <w:tcPr>
            <w:tcW w:w="1750" w:type="dxa"/>
            <w:shd w:val="clear" w:color="auto" w:fill="E7E6E6" w:themeFill="background2"/>
          </w:tcPr>
          <w:p w14:paraId="7B0F9921"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4</w:t>
            </w:r>
          </w:p>
        </w:tc>
        <w:tc>
          <w:tcPr>
            <w:tcW w:w="1656" w:type="dxa"/>
            <w:vMerge/>
            <w:vAlign w:val="bottom"/>
          </w:tcPr>
          <w:p w14:paraId="2072767C"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763BA996" w14:textId="77777777" w:rsidTr="00162224">
        <w:trPr>
          <w:trHeight w:val="336"/>
        </w:trPr>
        <w:tc>
          <w:tcPr>
            <w:tcW w:w="1655" w:type="dxa"/>
            <w:vMerge/>
            <w:shd w:val="clear" w:color="auto" w:fill="E7E6E6" w:themeFill="background2"/>
          </w:tcPr>
          <w:p w14:paraId="20C8A1BB" w14:textId="77777777" w:rsidR="00162224" w:rsidRPr="003037D2" w:rsidRDefault="00162224" w:rsidP="00162224">
            <w:pPr>
              <w:keepNext/>
              <w:spacing w:line="360" w:lineRule="auto"/>
              <w:rPr>
                <w:rFonts w:ascii="Garamond" w:hAnsi="Garamond" w:cs="Calibri"/>
                <w:color w:val="000000"/>
                <w:sz w:val="18"/>
                <w:szCs w:val="18"/>
              </w:rPr>
            </w:pPr>
          </w:p>
        </w:tc>
        <w:tc>
          <w:tcPr>
            <w:tcW w:w="1983" w:type="dxa"/>
            <w:shd w:val="clear" w:color="auto" w:fill="E7E6E6" w:themeFill="background2"/>
          </w:tcPr>
          <w:p w14:paraId="4BF14A57"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consecration</w:t>
            </w:r>
          </w:p>
        </w:tc>
        <w:tc>
          <w:tcPr>
            <w:tcW w:w="1750" w:type="dxa"/>
            <w:shd w:val="clear" w:color="auto" w:fill="E7E6E6" w:themeFill="background2"/>
          </w:tcPr>
          <w:p w14:paraId="02BDC96B"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10</w:t>
            </w:r>
          </w:p>
        </w:tc>
        <w:tc>
          <w:tcPr>
            <w:tcW w:w="1656" w:type="dxa"/>
            <w:vMerge/>
            <w:vAlign w:val="bottom"/>
          </w:tcPr>
          <w:p w14:paraId="45E4D13B"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1B90A0F7" w14:textId="77777777" w:rsidTr="00162224">
        <w:trPr>
          <w:trHeight w:val="336"/>
        </w:trPr>
        <w:tc>
          <w:tcPr>
            <w:tcW w:w="1655" w:type="dxa"/>
            <w:vMerge/>
            <w:shd w:val="clear" w:color="auto" w:fill="E7E6E6" w:themeFill="background2"/>
          </w:tcPr>
          <w:p w14:paraId="69E5D893" w14:textId="77777777" w:rsidR="00162224" w:rsidRPr="003037D2" w:rsidRDefault="00162224" w:rsidP="00162224">
            <w:pPr>
              <w:keepNext/>
              <w:spacing w:line="360" w:lineRule="auto"/>
              <w:rPr>
                <w:rFonts w:ascii="Garamond" w:hAnsi="Garamond" w:cs="Calibri"/>
                <w:color w:val="000000"/>
                <w:sz w:val="18"/>
                <w:szCs w:val="18"/>
              </w:rPr>
            </w:pPr>
          </w:p>
        </w:tc>
        <w:tc>
          <w:tcPr>
            <w:tcW w:w="1983" w:type="dxa"/>
            <w:shd w:val="clear" w:color="auto" w:fill="E7E6E6" w:themeFill="background2"/>
          </w:tcPr>
          <w:p w14:paraId="31B26DA0"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coronation</w:t>
            </w:r>
          </w:p>
        </w:tc>
        <w:tc>
          <w:tcPr>
            <w:tcW w:w="1750" w:type="dxa"/>
            <w:shd w:val="clear" w:color="auto" w:fill="E7E6E6" w:themeFill="background2"/>
          </w:tcPr>
          <w:p w14:paraId="25244E05"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1</w:t>
            </w:r>
          </w:p>
        </w:tc>
        <w:tc>
          <w:tcPr>
            <w:tcW w:w="1656" w:type="dxa"/>
            <w:vMerge/>
            <w:vAlign w:val="bottom"/>
          </w:tcPr>
          <w:p w14:paraId="7CD1E6CF"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15C35D6E" w14:textId="77777777" w:rsidTr="00162224">
        <w:trPr>
          <w:trHeight w:val="336"/>
        </w:trPr>
        <w:tc>
          <w:tcPr>
            <w:tcW w:w="1655" w:type="dxa"/>
            <w:vMerge/>
            <w:shd w:val="clear" w:color="auto" w:fill="E7E6E6" w:themeFill="background2"/>
          </w:tcPr>
          <w:p w14:paraId="167BF0AF" w14:textId="77777777" w:rsidR="00162224" w:rsidRPr="003037D2" w:rsidRDefault="00162224" w:rsidP="00162224">
            <w:pPr>
              <w:keepNext/>
              <w:spacing w:line="360" w:lineRule="auto"/>
              <w:rPr>
                <w:rFonts w:ascii="Garamond" w:hAnsi="Garamond" w:cs="Calibri"/>
                <w:color w:val="000000"/>
                <w:sz w:val="18"/>
                <w:szCs w:val="18"/>
              </w:rPr>
            </w:pPr>
          </w:p>
        </w:tc>
        <w:tc>
          <w:tcPr>
            <w:tcW w:w="1983" w:type="dxa"/>
            <w:shd w:val="clear" w:color="auto" w:fill="E7E6E6" w:themeFill="background2"/>
          </w:tcPr>
          <w:p w14:paraId="2BCD31F5"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 xml:space="preserve">election </w:t>
            </w:r>
          </w:p>
        </w:tc>
        <w:tc>
          <w:tcPr>
            <w:tcW w:w="1750" w:type="dxa"/>
            <w:shd w:val="clear" w:color="auto" w:fill="E7E6E6" w:themeFill="background2"/>
          </w:tcPr>
          <w:p w14:paraId="7A02494F"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5</w:t>
            </w:r>
          </w:p>
        </w:tc>
        <w:tc>
          <w:tcPr>
            <w:tcW w:w="1656" w:type="dxa"/>
            <w:vMerge/>
            <w:vAlign w:val="bottom"/>
          </w:tcPr>
          <w:p w14:paraId="44C35C93"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47C5CB5D" w14:textId="77777777" w:rsidTr="00162224">
        <w:trPr>
          <w:trHeight w:val="336"/>
        </w:trPr>
        <w:tc>
          <w:tcPr>
            <w:tcW w:w="1655" w:type="dxa"/>
            <w:vMerge/>
            <w:shd w:val="clear" w:color="auto" w:fill="E7E6E6" w:themeFill="background2"/>
          </w:tcPr>
          <w:p w14:paraId="02E3F944" w14:textId="77777777" w:rsidR="00162224" w:rsidRPr="003037D2" w:rsidRDefault="00162224" w:rsidP="00162224">
            <w:pPr>
              <w:keepNext/>
              <w:spacing w:line="360" w:lineRule="auto"/>
              <w:rPr>
                <w:rFonts w:ascii="Garamond" w:hAnsi="Garamond" w:cs="Calibri"/>
                <w:color w:val="000000"/>
                <w:sz w:val="18"/>
                <w:szCs w:val="18"/>
              </w:rPr>
            </w:pPr>
          </w:p>
        </w:tc>
        <w:tc>
          <w:tcPr>
            <w:tcW w:w="1983" w:type="dxa"/>
            <w:shd w:val="clear" w:color="auto" w:fill="E7E6E6" w:themeFill="background2"/>
          </w:tcPr>
          <w:p w14:paraId="7EDE50EF"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fast</w:t>
            </w:r>
          </w:p>
        </w:tc>
        <w:tc>
          <w:tcPr>
            <w:tcW w:w="1750" w:type="dxa"/>
            <w:shd w:val="clear" w:color="auto" w:fill="E7E6E6" w:themeFill="background2"/>
          </w:tcPr>
          <w:p w14:paraId="31D3D99D"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29</w:t>
            </w:r>
          </w:p>
        </w:tc>
        <w:tc>
          <w:tcPr>
            <w:tcW w:w="1656" w:type="dxa"/>
            <w:vMerge/>
            <w:vAlign w:val="bottom"/>
          </w:tcPr>
          <w:p w14:paraId="27501F19"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032A1C2B" w14:textId="77777777" w:rsidTr="00162224">
        <w:trPr>
          <w:trHeight w:val="336"/>
        </w:trPr>
        <w:tc>
          <w:tcPr>
            <w:tcW w:w="1655" w:type="dxa"/>
            <w:vMerge/>
            <w:shd w:val="clear" w:color="auto" w:fill="E7E6E6" w:themeFill="background2"/>
          </w:tcPr>
          <w:p w14:paraId="0A177AFE" w14:textId="77777777" w:rsidR="00162224" w:rsidRPr="003037D2" w:rsidRDefault="00162224" w:rsidP="00162224">
            <w:pPr>
              <w:keepNext/>
              <w:spacing w:line="360" w:lineRule="auto"/>
              <w:rPr>
                <w:rFonts w:ascii="Garamond" w:hAnsi="Garamond" w:cs="Calibri"/>
                <w:color w:val="000000"/>
                <w:sz w:val="18"/>
                <w:szCs w:val="18"/>
              </w:rPr>
            </w:pPr>
          </w:p>
        </w:tc>
        <w:tc>
          <w:tcPr>
            <w:tcW w:w="1983" w:type="dxa"/>
            <w:shd w:val="clear" w:color="auto" w:fill="E7E6E6" w:themeFill="background2"/>
          </w:tcPr>
          <w:p w14:paraId="41D60B56"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 xml:space="preserve">funeral </w:t>
            </w:r>
          </w:p>
        </w:tc>
        <w:tc>
          <w:tcPr>
            <w:tcW w:w="1750" w:type="dxa"/>
            <w:shd w:val="clear" w:color="auto" w:fill="E7E6E6" w:themeFill="background2"/>
          </w:tcPr>
          <w:p w14:paraId="4B7DAA66"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83</w:t>
            </w:r>
          </w:p>
        </w:tc>
        <w:tc>
          <w:tcPr>
            <w:tcW w:w="1656" w:type="dxa"/>
            <w:vMerge/>
            <w:vAlign w:val="bottom"/>
          </w:tcPr>
          <w:p w14:paraId="2EFEE1D3"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432BEBE7" w14:textId="77777777" w:rsidTr="00162224">
        <w:trPr>
          <w:trHeight w:val="336"/>
        </w:trPr>
        <w:tc>
          <w:tcPr>
            <w:tcW w:w="1655" w:type="dxa"/>
            <w:vMerge/>
            <w:shd w:val="clear" w:color="auto" w:fill="E7E6E6" w:themeFill="background2"/>
          </w:tcPr>
          <w:p w14:paraId="01876029" w14:textId="77777777" w:rsidR="00162224" w:rsidRPr="003037D2" w:rsidRDefault="00162224" w:rsidP="00162224">
            <w:pPr>
              <w:keepNext/>
              <w:spacing w:line="360" w:lineRule="auto"/>
              <w:rPr>
                <w:rFonts w:ascii="Garamond" w:hAnsi="Garamond" w:cs="Calibri"/>
                <w:color w:val="000000"/>
                <w:sz w:val="18"/>
                <w:szCs w:val="18"/>
              </w:rPr>
            </w:pPr>
          </w:p>
        </w:tc>
        <w:tc>
          <w:tcPr>
            <w:tcW w:w="1983" w:type="dxa"/>
            <w:shd w:val="clear" w:color="auto" w:fill="E7E6E6" w:themeFill="background2"/>
          </w:tcPr>
          <w:p w14:paraId="4180C3C3"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 xml:space="preserve">memorial </w:t>
            </w:r>
          </w:p>
        </w:tc>
        <w:tc>
          <w:tcPr>
            <w:tcW w:w="1750" w:type="dxa"/>
            <w:shd w:val="clear" w:color="auto" w:fill="E7E6E6" w:themeFill="background2"/>
          </w:tcPr>
          <w:p w14:paraId="03E2E987"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1</w:t>
            </w:r>
          </w:p>
        </w:tc>
        <w:tc>
          <w:tcPr>
            <w:tcW w:w="1656" w:type="dxa"/>
            <w:vMerge/>
            <w:vAlign w:val="bottom"/>
          </w:tcPr>
          <w:p w14:paraId="332590AC"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0D5EFA5E" w14:textId="77777777" w:rsidTr="00162224">
        <w:trPr>
          <w:trHeight w:val="347"/>
        </w:trPr>
        <w:tc>
          <w:tcPr>
            <w:tcW w:w="1655" w:type="dxa"/>
            <w:vMerge/>
            <w:shd w:val="clear" w:color="auto" w:fill="E7E6E6" w:themeFill="background2"/>
          </w:tcPr>
          <w:p w14:paraId="0705D975" w14:textId="77777777" w:rsidR="00162224" w:rsidRPr="003037D2" w:rsidRDefault="00162224" w:rsidP="00162224">
            <w:pPr>
              <w:keepNext/>
              <w:spacing w:line="360" w:lineRule="auto"/>
              <w:rPr>
                <w:rFonts w:ascii="Garamond" w:hAnsi="Garamond" w:cs="Calibri"/>
                <w:color w:val="000000"/>
                <w:sz w:val="18"/>
                <w:szCs w:val="18"/>
              </w:rPr>
            </w:pPr>
          </w:p>
        </w:tc>
        <w:tc>
          <w:tcPr>
            <w:tcW w:w="1983" w:type="dxa"/>
            <w:shd w:val="clear" w:color="auto" w:fill="E7E6E6" w:themeFill="background2"/>
          </w:tcPr>
          <w:p w14:paraId="06741D7F"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 xml:space="preserve">thanksgiving </w:t>
            </w:r>
          </w:p>
        </w:tc>
        <w:tc>
          <w:tcPr>
            <w:tcW w:w="1750" w:type="dxa"/>
            <w:shd w:val="clear" w:color="auto" w:fill="E7E6E6" w:themeFill="background2"/>
          </w:tcPr>
          <w:p w14:paraId="2F9C4942"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3</w:t>
            </w:r>
          </w:p>
        </w:tc>
        <w:tc>
          <w:tcPr>
            <w:tcW w:w="1656" w:type="dxa"/>
            <w:vMerge/>
            <w:vAlign w:val="bottom"/>
          </w:tcPr>
          <w:p w14:paraId="19B344B1"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1C3A2285" w14:textId="77777777" w:rsidTr="00162224">
        <w:trPr>
          <w:trHeight w:val="336"/>
        </w:trPr>
        <w:tc>
          <w:tcPr>
            <w:tcW w:w="1655" w:type="dxa"/>
            <w:vMerge/>
            <w:shd w:val="clear" w:color="auto" w:fill="E7E6E6" w:themeFill="background2"/>
          </w:tcPr>
          <w:p w14:paraId="0FB7A73E" w14:textId="77777777" w:rsidR="00162224" w:rsidRPr="003037D2" w:rsidRDefault="00162224" w:rsidP="00162224">
            <w:pPr>
              <w:keepNext/>
              <w:spacing w:line="360" w:lineRule="auto"/>
              <w:rPr>
                <w:rFonts w:ascii="Garamond" w:hAnsi="Garamond" w:cs="Calibri"/>
                <w:color w:val="000000"/>
                <w:sz w:val="18"/>
                <w:szCs w:val="18"/>
              </w:rPr>
            </w:pPr>
          </w:p>
        </w:tc>
        <w:tc>
          <w:tcPr>
            <w:tcW w:w="1983" w:type="dxa"/>
            <w:shd w:val="clear" w:color="auto" w:fill="E7E6E6" w:themeFill="background2"/>
          </w:tcPr>
          <w:p w14:paraId="1397A6C1"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 xml:space="preserve">visitation </w:t>
            </w:r>
          </w:p>
        </w:tc>
        <w:tc>
          <w:tcPr>
            <w:tcW w:w="1750" w:type="dxa"/>
            <w:shd w:val="clear" w:color="auto" w:fill="E7E6E6" w:themeFill="background2"/>
          </w:tcPr>
          <w:p w14:paraId="3BE4FA8D"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30</w:t>
            </w:r>
          </w:p>
        </w:tc>
        <w:tc>
          <w:tcPr>
            <w:tcW w:w="1656" w:type="dxa"/>
            <w:vMerge/>
            <w:vAlign w:val="bottom"/>
          </w:tcPr>
          <w:p w14:paraId="5A6CD527"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1D211F7E" w14:textId="77777777" w:rsidTr="00162224">
        <w:trPr>
          <w:trHeight w:val="336"/>
        </w:trPr>
        <w:tc>
          <w:tcPr>
            <w:tcW w:w="1655" w:type="dxa"/>
            <w:vMerge/>
            <w:shd w:val="clear" w:color="auto" w:fill="E7E6E6" w:themeFill="background2"/>
          </w:tcPr>
          <w:p w14:paraId="7D4B0AA0" w14:textId="77777777" w:rsidR="00162224" w:rsidRPr="003037D2" w:rsidRDefault="00162224" w:rsidP="00162224">
            <w:pPr>
              <w:keepNext/>
              <w:spacing w:line="360" w:lineRule="auto"/>
              <w:rPr>
                <w:rFonts w:ascii="Garamond" w:hAnsi="Garamond" w:cs="Calibri"/>
                <w:color w:val="000000"/>
                <w:sz w:val="18"/>
                <w:szCs w:val="18"/>
              </w:rPr>
            </w:pPr>
          </w:p>
        </w:tc>
        <w:tc>
          <w:tcPr>
            <w:tcW w:w="1983" w:type="dxa"/>
            <w:shd w:val="clear" w:color="auto" w:fill="E7E6E6" w:themeFill="background2"/>
          </w:tcPr>
          <w:p w14:paraId="42E392D0"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 xml:space="preserve">wedding </w:t>
            </w:r>
          </w:p>
        </w:tc>
        <w:tc>
          <w:tcPr>
            <w:tcW w:w="1750" w:type="dxa"/>
            <w:shd w:val="clear" w:color="auto" w:fill="E7E6E6" w:themeFill="background2"/>
          </w:tcPr>
          <w:p w14:paraId="2F84049D"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4</w:t>
            </w:r>
          </w:p>
        </w:tc>
        <w:tc>
          <w:tcPr>
            <w:tcW w:w="1656" w:type="dxa"/>
            <w:vMerge/>
            <w:vAlign w:val="bottom"/>
          </w:tcPr>
          <w:p w14:paraId="76B1C6B6"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00D5CC4D" w14:textId="77777777" w:rsidTr="00162224">
        <w:trPr>
          <w:trHeight w:val="336"/>
        </w:trPr>
        <w:tc>
          <w:tcPr>
            <w:tcW w:w="1655" w:type="dxa"/>
            <w:vMerge/>
            <w:shd w:val="clear" w:color="auto" w:fill="E7E6E6" w:themeFill="background2"/>
          </w:tcPr>
          <w:p w14:paraId="1AC1E37E" w14:textId="77777777" w:rsidR="00162224" w:rsidRPr="003037D2" w:rsidRDefault="00162224" w:rsidP="00162224">
            <w:pPr>
              <w:keepNext/>
              <w:spacing w:line="360" w:lineRule="auto"/>
              <w:rPr>
                <w:rFonts w:ascii="Garamond" w:hAnsi="Garamond" w:cs="Calibri"/>
                <w:color w:val="000000"/>
                <w:sz w:val="18"/>
                <w:szCs w:val="18"/>
              </w:rPr>
            </w:pPr>
          </w:p>
        </w:tc>
        <w:tc>
          <w:tcPr>
            <w:tcW w:w="1983" w:type="dxa"/>
            <w:shd w:val="clear" w:color="auto" w:fill="E7E6E6" w:themeFill="background2"/>
          </w:tcPr>
          <w:p w14:paraId="1B410D87"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plague</w:t>
            </w:r>
          </w:p>
        </w:tc>
        <w:tc>
          <w:tcPr>
            <w:tcW w:w="1750" w:type="dxa"/>
            <w:shd w:val="clear" w:color="auto" w:fill="E7E6E6" w:themeFill="background2"/>
          </w:tcPr>
          <w:p w14:paraId="29B0A2BA"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8</w:t>
            </w:r>
          </w:p>
        </w:tc>
        <w:tc>
          <w:tcPr>
            <w:tcW w:w="1656" w:type="dxa"/>
            <w:vMerge/>
            <w:vAlign w:val="bottom"/>
          </w:tcPr>
          <w:p w14:paraId="785F7343"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3A8F80C2" w14:textId="77777777" w:rsidTr="00162224">
        <w:trPr>
          <w:trHeight w:val="336"/>
        </w:trPr>
        <w:tc>
          <w:tcPr>
            <w:tcW w:w="1655" w:type="dxa"/>
            <w:vMerge/>
            <w:shd w:val="clear" w:color="auto" w:fill="E7E6E6" w:themeFill="background2"/>
          </w:tcPr>
          <w:p w14:paraId="250B5C4C" w14:textId="77777777" w:rsidR="00162224" w:rsidRPr="003037D2" w:rsidRDefault="00162224" w:rsidP="00162224">
            <w:pPr>
              <w:keepNext/>
              <w:spacing w:line="360" w:lineRule="auto"/>
              <w:rPr>
                <w:rFonts w:ascii="Garamond" w:hAnsi="Garamond" w:cs="Calibri"/>
                <w:color w:val="000000"/>
                <w:sz w:val="18"/>
                <w:szCs w:val="18"/>
              </w:rPr>
            </w:pPr>
          </w:p>
        </w:tc>
        <w:tc>
          <w:tcPr>
            <w:tcW w:w="1983" w:type="dxa"/>
            <w:shd w:val="clear" w:color="auto" w:fill="E7E6E6" w:themeFill="background2"/>
          </w:tcPr>
          <w:p w14:paraId="3FE09D89"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 xml:space="preserve">inauguration </w:t>
            </w:r>
          </w:p>
        </w:tc>
        <w:tc>
          <w:tcPr>
            <w:tcW w:w="1750" w:type="dxa"/>
            <w:shd w:val="clear" w:color="auto" w:fill="E7E6E6" w:themeFill="background2"/>
          </w:tcPr>
          <w:p w14:paraId="27087284"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6</w:t>
            </w:r>
          </w:p>
        </w:tc>
        <w:tc>
          <w:tcPr>
            <w:tcW w:w="1656" w:type="dxa"/>
            <w:vMerge/>
            <w:vAlign w:val="bottom"/>
          </w:tcPr>
          <w:p w14:paraId="0A1DF6BE"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5D0733AA" w14:textId="77777777" w:rsidTr="00162224">
        <w:trPr>
          <w:trHeight w:val="336"/>
        </w:trPr>
        <w:tc>
          <w:tcPr>
            <w:tcW w:w="1655" w:type="dxa"/>
            <w:vMerge/>
            <w:shd w:val="clear" w:color="auto" w:fill="E7E6E6" w:themeFill="background2"/>
          </w:tcPr>
          <w:p w14:paraId="2E4B72FC" w14:textId="77777777" w:rsidR="00162224" w:rsidRPr="003037D2" w:rsidRDefault="00162224" w:rsidP="00162224">
            <w:pPr>
              <w:keepNext/>
              <w:spacing w:line="360" w:lineRule="auto"/>
              <w:rPr>
                <w:rFonts w:ascii="Garamond" w:hAnsi="Garamond" w:cs="Calibri"/>
                <w:color w:val="000000"/>
                <w:sz w:val="18"/>
                <w:szCs w:val="18"/>
              </w:rPr>
            </w:pPr>
          </w:p>
        </w:tc>
        <w:tc>
          <w:tcPr>
            <w:tcW w:w="1983" w:type="dxa"/>
            <w:shd w:val="clear" w:color="auto" w:fill="E7E6E6" w:themeFill="background2"/>
          </w:tcPr>
          <w:p w14:paraId="1F870597"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 xml:space="preserve">feast </w:t>
            </w:r>
          </w:p>
        </w:tc>
        <w:tc>
          <w:tcPr>
            <w:tcW w:w="1750" w:type="dxa"/>
            <w:shd w:val="clear" w:color="auto" w:fill="E7E6E6" w:themeFill="background2"/>
          </w:tcPr>
          <w:p w14:paraId="19EE35BE"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3</w:t>
            </w:r>
          </w:p>
        </w:tc>
        <w:tc>
          <w:tcPr>
            <w:tcW w:w="1656" w:type="dxa"/>
            <w:vMerge/>
            <w:vAlign w:val="bottom"/>
          </w:tcPr>
          <w:p w14:paraId="6290833A"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52743A52" w14:textId="77777777" w:rsidTr="00162224">
        <w:trPr>
          <w:trHeight w:val="336"/>
        </w:trPr>
        <w:tc>
          <w:tcPr>
            <w:tcW w:w="1655" w:type="dxa"/>
            <w:vMerge/>
            <w:shd w:val="clear" w:color="auto" w:fill="E7E6E6" w:themeFill="background2"/>
          </w:tcPr>
          <w:p w14:paraId="7855FAAA" w14:textId="77777777" w:rsidR="00162224" w:rsidRPr="003037D2" w:rsidRDefault="00162224" w:rsidP="00162224">
            <w:pPr>
              <w:keepNext/>
              <w:spacing w:line="360" w:lineRule="auto"/>
              <w:rPr>
                <w:rFonts w:ascii="Garamond" w:hAnsi="Garamond" w:cs="Calibri"/>
                <w:color w:val="000000"/>
                <w:sz w:val="18"/>
                <w:szCs w:val="18"/>
              </w:rPr>
            </w:pPr>
          </w:p>
        </w:tc>
        <w:tc>
          <w:tcPr>
            <w:tcW w:w="1983" w:type="dxa"/>
            <w:shd w:val="clear" w:color="auto" w:fill="E7E6E6" w:themeFill="background2"/>
          </w:tcPr>
          <w:p w14:paraId="157E39E8"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fire</w:t>
            </w:r>
          </w:p>
        </w:tc>
        <w:tc>
          <w:tcPr>
            <w:tcW w:w="1750" w:type="dxa"/>
            <w:shd w:val="clear" w:color="auto" w:fill="E7E6E6" w:themeFill="background2"/>
          </w:tcPr>
          <w:p w14:paraId="26802D5C"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3</w:t>
            </w:r>
          </w:p>
        </w:tc>
        <w:tc>
          <w:tcPr>
            <w:tcW w:w="1656" w:type="dxa"/>
            <w:vMerge/>
            <w:vAlign w:val="bottom"/>
          </w:tcPr>
          <w:p w14:paraId="1E58DF1E" w14:textId="77777777" w:rsidR="00162224" w:rsidRPr="003037D2" w:rsidRDefault="00162224" w:rsidP="00162224">
            <w:pPr>
              <w:keepNext/>
              <w:spacing w:line="360" w:lineRule="auto"/>
              <w:jc w:val="center"/>
              <w:rPr>
                <w:rFonts w:ascii="Garamond" w:hAnsi="Garamond"/>
                <w:b/>
                <w:bCs/>
                <w:sz w:val="24"/>
                <w:szCs w:val="24"/>
              </w:rPr>
            </w:pPr>
          </w:p>
        </w:tc>
      </w:tr>
      <w:tr w:rsidR="00162224" w:rsidRPr="003037D2" w14:paraId="5BC6DE72" w14:textId="77777777" w:rsidTr="00162224">
        <w:trPr>
          <w:trHeight w:val="336"/>
        </w:trPr>
        <w:tc>
          <w:tcPr>
            <w:tcW w:w="1655" w:type="dxa"/>
          </w:tcPr>
          <w:p w14:paraId="4FEE2D03" w14:textId="77777777" w:rsidR="00162224" w:rsidRPr="003037D2" w:rsidRDefault="00162224" w:rsidP="00162224">
            <w:pPr>
              <w:keepNext/>
              <w:spacing w:line="360" w:lineRule="auto"/>
              <w:rPr>
                <w:rFonts w:ascii="Garamond" w:hAnsi="Garamond" w:cs="Calibri"/>
                <w:color w:val="000000"/>
                <w:sz w:val="18"/>
                <w:szCs w:val="18"/>
              </w:rPr>
            </w:pPr>
          </w:p>
        </w:tc>
        <w:tc>
          <w:tcPr>
            <w:tcW w:w="1983" w:type="dxa"/>
          </w:tcPr>
          <w:p w14:paraId="7F41A207"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 xml:space="preserve">Term Date </w:t>
            </w:r>
          </w:p>
        </w:tc>
        <w:tc>
          <w:tcPr>
            <w:tcW w:w="1750" w:type="dxa"/>
          </w:tcPr>
          <w:p w14:paraId="13F1F3DC" w14:textId="77777777" w:rsidR="00162224" w:rsidRPr="003037D2" w:rsidRDefault="00162224" w:rsidP="00162224">
            <w:pPr>
              <w:keepNext/>
              <w:spacing w:line="360" w:lineRule="auto"/>
              <w:rPr>
                <w:rFonts w:ascii="Garamond" w:hAnsi="Garamond"/>
                <w:sz w:val="18"/>
                <w:szCs w:val="18"/>
              </w:rPr>
            </w:pPr>
            <w:r w:rsidRPr="003037D2">
              <w:rPr>
                <w:rFonts w:ascii="Garamond" w:hAnsi="Garamond" w:cs="Calibri"/>
                <w:color w:val="000000"/>
                <w:sz w:val="18"/>
                <w:szCs w:val="18"/>
              </w:rPr>
              <w:t>8</w:t>
            </w:r>
          </w:p>
        </w:tc>
        <w:tc>
          <w:tcPr>
            <w:tcW w:w="1656" w:type="dxa"/>
            <w:vAlign w:val="bottom"/>
          </w:tcPr>
          <w:p w14:paraId="44250894" w14:textId="77777777" w:rsidR="00162224" w:rsidRPr="003037D2" w:rsidRDefault="00162224" w:rsidP="00162224">
            <w:pPr>
              <w:keepNext/>
              <w:spacing w:line="360" w:lineRule="auto"/>
              <w:jc w:val="center"/>
              <w:rPr>
                <w:rFonts w:ascii="Garamond" w:hAnsi="Garamond"/>
                <w:b/>
                <w:bCs/>
                <w:sz w:val="24"/>
                <w:szCs w:val="24"/>
              </w:rPr>
            </w:pPr>
            <w:r w:rsidRPr="003037D2">
              <w:rPr>
                <w:rFonts w:ascii="Garamond" w:hAnsi="Garamond"/>
                <w:b/>
                <w:bCs/>
                <w:sz w:val="24"/>
                <w:szCs w:val="24"/>
              </w:rPr>
              <w:t>8</w:t>
            </w:r>
          </w:p>
        </w:tc>
      </w:tr>
      <w:tr w:rsidR="00162224" w:rsidRPr="003037D2" w14:paraId="5F5DC1ED" w14:textId="77777777" w:rsidTr="00162224">
        <w:trPr>
          <w:trHeight w:val="336"/>
        </w:trPr>
        <w:tc>
          <w:tcPr>
            <w:tcW w:w="1655" w:type="dxa"/>
          </w:tcPr>
          <w:p w14:paraId="77509C98" w14:textId="77777777" w:rsidR="00162224" w:rsidRPr="003037D2" w:rsidRDefault="00162224" w:rsidP="00162224">
            <w:pPr>
              <w:keepNext/>
              <w:spacing w:line="360" w:lineRule="auto"/>
              <w:rPr>
                <w:rFonts w:ascii="Garamond" w:hAnsi="Garamond" w:cs="Calibri"/>
                <w:color w:val="000000"/>
                <w:sz w:val="18"/>
                <w:szCs w:val="18"/>
              </w:rPr>
            </w:pPr>
          </w:p>
        </w:tc>
        <w:tc>
          <w:tcPr>
            <w:tcW w:w="1983" w:type="dxa"/>
          </w:tcPr>
          <w:p w14:paraId="6A94639C" w14:textId="77777777" w:rsidR="00162224" w:rsidRPr="003037D2" w:rsidRDefault="00162224" w:rsidP="00162224">
            <w:pPr>
              <w:keepNext/>
              <w:spacing w:line="360" w:lineRule="auto"/>
              <w:rPr>
                <w:rFonts w:ascii="Garamond" w:hAnsi="Garamond" w:cs="Calibri"/>
                <w:color w:val="000000"/>
                <w:sz w:val="18"/>
                <w:szCs w:val="18"/>
              </w:rPr>
            </w:pPr>
            <w:r w:rsidRPr="003037D2">
              <w:rPr>
                <w:rFonts w:ascii="Garamond" w:hAnsi="Garamond" w:cs="Calibri"/>
                <w:color w:val="000000"/>
                <w:sz w:val="18"/>
                <w:szCs w:val="18"/>
              </w:rPr>
              <w:t xml:space="preserve">Other </w:t>
            </w:r>
          </w:p>
        </w:tc>
        <w:tc>
          <w:tcPr>
            <w:tcW w:w="1750" w:type="dxa"/>
          </w:tcPr>
          <w:p w14:paraId="59BE4331" w14:textId="77777777" w:rsidR="00162224" w:rsidRPr="003037D2" w:rsidRDefault="00162224" w:rsidP="00162224">
            <w:pPr>
              <w:keepNext/>
              <w:spacing w:line="360" w:lineRule="auto"/>
              <w:rPr>
                <w:rFonts w:ascii="Garamond" w:hAnsi="Garamond" w:cs="Calibri"/>
                <w:color w:val="000000"/>
                <w:sz w:val="18"/>
                <w:szCs w:val="18"/>
              </w:rPr>
            </w:pPr>
            <w:r w:rsidRPr="003037D2">
              <w:rPr>
                <w:rFonts w:ascii="Garamond" w:hAnsi="Garamond" w:cs="Calibri"/>
                <w:color w:val="000000"/>
                <w:sz w:val="18"/>
                <w:szCs w:val="18"/>
              </w:rPr>
              <w:t xml:space="preserve">9 </w:t>
            </w:r>
          </w:p>
        </w:tc>
        <w:tc>
          <w:tcPr>
            <w:tcW w:w="1656" w:type="dxa"/>
            <w:vAlign w:val="bottom"/>
          </w:tcPr>
          <w:p w14:paraId="7324A1BD" w14:textId="77777777" w:rsidR="00162224" w:rsidRPr="003037D2" w:rsidRDefault="00162224" w:rsidP="00162224">
            <w:pPr>
              <w:keepNext/>
              <w:spacing w:line="360" w:lineRule="auto"/>
              <w:jc w:val="center"/>
              <w:rPr>
                <w:rFonts w:ascii="Garamond" w:hAnsi="Garamond"/>
                <w:b/>
                <w:bCs/>
                <w:sz w:val="24"/>
                <w:szCs w:val="24"/>
              </w:rPr>
            </w:pPr>
            <w:r w:rsidRPr="003037D2">
              <w:rPr>
                <w:rFonts w:ascii="Garamond" w:hAnsi="Garamond"/>
                <w:b/>
                <w:bCs/>
                <w:sz w:val="24"/>
                <w:szCs w:val="24"/>
              </w:rPr>
              <w:t>9</w:t>
            </w:r>
          </w:p>
        </w:tc>
      </w:tr>
      <w:tr w:rsidR="00162224" w:rsidRPr="003037D2" w14:paraId="35621718" w14:textId="77777777" w:rsidTr="00162224">
        <w:trPr>
          <w:trHeight w:val="336"/>
        </w:trPr>
        <w:tc>
          <w:tcPr>
            <w:tcW w:w="5388" w:type="dxa"/>
            <w:gridSpan w:val="3"/>
          </w:tcPr>
          <w:p w14:paraId="2AE57B17" w14:textId="77777777" w:rsidR="00162224" w:rsidRPr="003037D2" w:rsidRDefault="00162224" w:rsidP="00162224">
            <w:pPr>
              <w:keepNext/>
              <w:spacing w:line="360" w:lineRule="auto"/>
              <w:jc w:val="right"/>
              <w:rPr>
                <w:rFonts w:ascii="Garamond" w:hAnsi="Garamond" w:cs="Calibri"/>
                <w:b/>
                <w:bCs/>
                <w:color w:val="000000"/>
                <w:sz w:val="18"/>
                <w:szCs w:val="18"/>
              </w:rPr>
            </w:pPr>
            <w:r w:rsidRPr="003037D2">
              <w:rPr>
                <w:rFonts w:ascii="Garamond" w:hAnsi="Garamond" w:cs="Calibri"/>
                <w:b/>
                <w:bCs/>
                <w:color w:val="000000"/>
                <w:sz w:val="18"/>
                <w:szCs w:val="18"/>
              </w:rPr>
              <w:t>TOTAL:</w:t>
            </w:r>
          </w:p>
        </w:tc>
        <w:tc>
          <w:tcPr>
            <w:tcW w:w="1656" w:type="dxa"/>
            <w:vAlign w:val="bottom"/>
          </w:tcPr>
          <w:p w14:paraId="40AFDA9A" w14:textId="77777777" w:rsidR="00162224" w:rsidRPr="003037D2" w:rsidRDefault="00162224" w:rsidP="00162224">
            <w:pPr>
              <w:keepNext/>
              <w:spacing w:line="360" w:lineRule="auto"/>
              <w:jc w:val="center"/>
              <w:rPr>
                <w:rFonts w:ascii="Garamond" w:hAnsi="Garamond"/>
                <w:b/>
                <w:bCs/>
                <w:sz w:val="24"/>
                <w:szCs w:val="24"/>
              </w:rPr>
            </w:pPr>
            <w:r w:rsidRPr="003037D2">
              <w:rPr>
                <w:rFonts w:ascii="Garamond" w:hAnsi="Garamond"/>
                <w:b/>
                <w:bCs/>
                <w:sz w:val="24"/>
                <w:szCs w:val="24"/>
              </w:rPr>
              <w:t>642</w:t>
            </w:r>
          </w:p>
        </w:tc>
      </w:tr>
    </w:tbl>
    <w:p w14:paraId="0F1CC2B2" w14:textId="77777777" w:rsidR="00162224" w:rsidRPr="003037D2" w:rsidRDefault="00162224" w:rsidP="00162224">
      <w:pPr>
        <w:keepNext/>
        <w:spacing w:line="360" w:lineRule="auto"/>
        <w:rPr>
          <w:rFonts w:ascii="Garamond" w:hAnsi="Garamond"/>
        </w:rPr>
      </w:pPr>
    </w:p>
    <w:p w14:paraId="5D65EB5F" w14:textId="1C638C9F" w:rsidR="00162224" w:rsidRPr="003037D2" w:rsidRDefault="00162224" w:rsidP="00162224">
      <w:pPr>
        <w:pStyle w:val="Caption"/>
        <w:spacing w:line="360" w:lineRule="auto"/>
        <w:rPr>
          <w:rFonts w:ascii="Garamond" w:hAnsi="Garamond"/>
          <w:color w:val="auto"/>
          <w:sz w:val="24"/>
          <w:szCs w:val="24"/>
        </w:rPr>
      </w:pPr>
      <w:bookmarkStart w:id="231" w:name="_Ref513280401"/>
      <w:bookmarkStart w:id="232" w:name="_Toc3973277"/>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61</w:t>
      </w:r>
      <w:r w:rsidRPr="003037D2">
        <w:rPr>
          <w:rFonts w:ascii="Garamond" w:hAnsi="Garamond"/>
          <w:noProof/>
          <w:color w:val="auto"/>
          <w:sz w:val="24"/>
          <w:szCs w:val="24"/>
        </w:rPr>
        <w:fldChar w:fldCharType="end"/>
      </w:r>
      <w:bookmarkEnd w:id="231"/>
      <w:r w:rsidRPr="003037D2">
        <w:rPr>
          <w:rFonts w:ascii="Garamond" w:hAnsi="Garamond"/>
          <w:color w:val="auto"/>
          <w:sz w:val="24"/>
          <w:szCs w:val="24"/>
        </w:rPr>
        <w:t xml:space="preserve"> Dating referents on sermon title pages, 1620 – 1642</w:t>
      </w:r>
      <w:bookmarkEnd w:id="232"/>
      <w:r w:rsidRPr="003037D2">
        <w:rPr>
          <w:rFonts w:ascii="Garamond" w:hAnsi="Garamond"/>
          <w:color w:val="auto"/>
          <w:sz w:val="24"/>
          <w:szCs w:val="24"/>
        </w:rPr>
        <w:t xml:space="preserve"> </w:t>
      </w:r>
    </w:p>
    <w:p w14:paraId="61732420" w14:textId="77777777" w:rsidR="007A57F2" w:rsidRPr="003037D2" w:rsidRDefault="007A57F2" w:rsidP="007A57F2">
      <w:pPr>
        <w:rPr>
          <w:rFonts w:ascii="Garamond" w:hAnsi="Garamond"/>
          <w:lang w:val="en-GB" w:eastAsia="zh-CN"/>
        </w:rPr>
      </w:pPr>
    </w:p>
    <w:p w14:paraId="2A038B02" w14:textId="77777777" w:rsidR="00162224" w:rsidRPr="003037D2" w:rsidRDefault="00162224" w:rsidP="00162224">
      <w:pPr>
        <w:keepNext/>
        <w:spacing w:line="360" w:lineRule="auto"/>
        <w:rPr>
          <w:rFonts w:ascii="Garamond" w:hAnsi="Garamond"/>
          <w:i/>
          <w:iCs/>
        </w:rPr>
      </w:pPr>
    </w:p>
    <w:p w14:paraId="64F889FD" w14:textId="30BE7BD7" w:rsidR="00162224" w:rsidRPr="003037D2" w:rsidRDefault="00162224" w:rsidP="00162224">
      <w:pPr>
        <w:pStyle w:val="Caption"/>
        <w:spacing w:line="360" w:lineRule="auto"/>
        <w:rPr>
          <w:rFonts w:ascii="Garamond" w:hAnsi="Garamond"/>
          <w:i w:val="0"/>
          <w:iCs w:val="0"/>
          <w:color w:val="auto"/>
          <w:sz w:val="24"/>
          <w:szCs w:val="24"/>
        </w:rPr>
      </w:pPr>
      <w:bookmarkStart w:id="233" w:name="_Ref513917026"/>
      <w:bookmarkStart w:id="234" w:name="_Toc3973278"/>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62</w:t>
      </w:r>
      <w:r w:rsidRPr="003037D2">
        <w:rPr>
          <w:rFonts w:ascii="Garamond" w:hAnsi="Garamond"/>
          <w:noProof/>
          <w:color w:val="auto"/>
          <w:sz w:val="24"/>
          <w:szCs w:val="24"/>
        </w:rPr>
        <w:fldChar w:fldCharType="end"/>
      </w:r>
      <w:bookmarkEnd w:id="233"/>
      <w:r w:rsidRPr="003037D2">
        <w:rPr>
          <w:rFonts w:ascii="Garamond" w:hAnsi="Garamond"/>
          <w:color w:val="auto"/>
          <w:sz w:val="24"/>
          <w:szCs w:val="24"/>
        </w:rPr>
        <w:t xml:space="preserve"> Place of preaching on sermon title pages, categorised, 1620 – 1642</w:t>
      </w:r>
      <w:bookmarkEnd w:id="234"/>
      <w:r w:rsidRPr="003037D2">
        <w:rPr>
          <w:rFonts w:ascii="Garamond" w:hAnsi="Garamond"/>
          <w:i w:val="0"/>
          <w:iCs w:val="0"/>
          <w:color w:val="auto"/>
          <w:sz w:val="24"/>
          <w:szCs w:val="24"/>
        </w:rPr>
        <w:t xml:space="preserve"> </w:t>
      </w:r>
    </w:p>
    <w:p w14:paraId="2DD2ACF1" w14:textId="77777777" w:rsidR="00162224" w:rsidRPr="003037D2" w:rsidRDefault="00162224" w:rsidP="00162224">
      <w:pPr>
        <w:rPr>
          <w:rFonts w:ascii="Garamond" w:hAnsi="Garamond"/>
          <w:lang w:eastAsia="zh-CN"/>
        </w:rPr>
      </w:pPr>
    </w:p>
    <w:p w14:paraId="064160F6" w14:textId="77777777" w:rsidR="00162224" w:rsidRPr="003037D2" w:rsidRDefault="00162224" w:rsidP="00162224">
      <w:pPr>
        <w:pStyle w:val="Caption"/>
        <w:spacing w:line="360" w:lineRule="auto"/>
        <w:rPr>
          <w:rFonts w:ascii="Garamond" w:hAnsi="Garamond"/>
          <w:sz w:val="24"/>
          <w:szCs w:val="24"/>
        </w:rPr>
      </w:pPr>
      <w:r w:rsidRPr="003037D2">
        <w:rPr>
          <w:rFonts w:ascii="Garamond" w:hAnsi="Garamond"/>
          <w:noProof/>
          <w:sz w:val="24"/>
          <w:szCs w:val="24"/>
        </w:rPr>
        <w:drawing>
          <wp:inline distT="0" distB="0" distL="0" distR="0" wp14:anchorId="51DD9196" wp14:editId="14648E5F">
            <wp:extent cx="5572125" cy="3448050"/>
            <wp:effectExtent l="0" t="0" r="9525" b="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153174D1" w14:textId="77777777" w:rsidR="00162224" w:rsidRPr="003037D2" w:rsidRDefault="00162224" w:rsidP="00162224">
      <w:pPr>
        <w:spacing w:line="360" w:lineRule="auto"/>
        <w:rPr>
          <w:rFonts w:ascii="Garamond" w:hAnsi="Garamond"/>
        </w:rPr>
      </w:pPr>
    </w:p>
    <w:p w14:paraId="255B394A" w14:textId="77777777" w:rsidR="00162224" w:rsidRPr="003037D2" w:rsidRDefault="00162224" w:rsidP="00162224">
      <w:pPr>
        <w:spacing w:line="360" w:lineRule="auto"/>
        <w:rPr>
          <w:rFonts w:ascii="Garamond" w:hAnsi="Garamond"/>
        </w:rPr>
      </w:pPr>
    </w:p>
    <w:p w14:paraId="37B18AAC" w14:textId="77777777" w:rsidR="00162224" w:rsidRPr="003037D2" w:rsidRDefault="00162224" w:rsidP="00162224">
      <w:pPr>
        <w:spacing w:line="360" w:lineRule="auto"/>
        <w:rPr>
          <w:rFonts w:ascii="Garamond" w:hAnsi="Garamond"/>
        </w:rPr>
      </w:pPr>
    </w:p>
    <w:p w14:paraId="3121CA91" w14:textId="77777777" w:rsidR="00162224" w:rsidRPr="003037D2" w:rsidRDefault="00162224" w:rsidP="00162224">
      <w:pPr>
        <w:spacing w:line="360" w:lineRule="auto"/>
        <w:rPr>
          <w:rFonts w:ascii="Garamond" w:hAnsi="Garamond"/>
        </w:rPr>
      </w:pPr>
    </w:p>
    <w:p w14:paraId="7864ED98" w14:textId="77777777" w:rsidR="00162224" w:rsidRPr="003037D2" w:rsidRDefault="00162224" w:rsidP="00162224">
      <w:pPr>
        <w:spacing w:line="360" w:lineRule="auto"/>
        <w:rPr>
          <w:rFonts w:ascii="Garamond" w:hAnsi="Garamond"/>
        </w:rPr>
      </w:pPr>
    </w:p>
    <w:p w14:paraId="52FBE704" w14:textId="77777777" w:rsidR="00162224" w:rsidRPr="003037D2" w:rsidRDefault="00162224" w:rsidP="00162224">
      <w:pPr>
        <w:spacing w:line="360" w:lineRule="auto"/>
        <w:rPr>
          <w:rFonts w:ascii="Garamond" w:hAnsi="Garamond"/>
        </w:rPr>
      </w:pPr>
    </w:p>
    <w:p w14:paraId="24DA559A" w14:textId="77777777" w:rsidR="00162224" w:rsidRPr="003037D2" w:rsidRDefault="00162224" w:rsidP="00162224">
      <w:pPr>
        <w:spacing w:line="360" w:lineRule="auto"/>
        <w:rPr>
          <w:rFonts w:ascii="Garamond" w:hAnsi="Garamond"/>
        </w:rPr>
      </w:pPr>
    </w:p>
    <w:p w14:paraId="6712C3EB" w14:textId="77777777" w:rsidR="00162224" w:rsidRPr="003037D2" w:rsidRDefault="00162224" w:rsidP="00162224">
      <w:pPr>
        <w:spacing w:line="360" w:lineRule="auto"/>
        <w:rPr>
          <w:rFonts w:ascii="Garamond" w:hAnsi="Garamond"/>
        </w:rPr>
      </w:pPr>
    </w:p>
    <w:p w14:paraId="55F2F971" w14:textId="5E462C6C" w:rsidR="00162224" w:rsidRPr="003037D2" w:rsidRDefault="00162224" w:rsidP="00162224">
      <w:pPr>
        <w:spacing w:line="360" w:lineRule="auto"/>
        <w:rPr>
          <w:rFonts w:ascii="Garamond" w:hAnsi="Garamond"/>
        </w:rPr>
      </w:pPr>
    </w:p>
    <w:p w14:paraId="45231BED" w14:textId="30EE09CF" w:rsidR="007A57F2" w:rsidRPr="003037D2" w:rsidRDefault="007A57F2" w:rsidP="00162224">
      <w:pPr>
        <w:spacing w:line="360" w:lineRule="auto"/>
        <w:rPr>
          <w:rFonts w:ascii="Garamond" w:hAnsi="Garamond"/>
        </w:rPr>
      </w:pPr>
    </w:p>
    <w:p w14:paraId="36FB2A42" w14:textId="41B82989" w:rsidR="007A57F2" w:rsidRPr="003037D2" w:rsidRDefault="007A57F2" w:rsidP="00162224">
      <w:pPr>
        <w:spacing w:line="360" w:lineRule="auto"/>
        <w:rPr>
          <w:rFonts w:ascii="Garamond" w:hAnsi="Garamond"/>
        </w:rPr>
      </w:pPr>
    </w:p>
    <w:p w14:paraId="511E4C14" w14:textId="77777777" w:rsidR="007A57F2" w:rsidRPr="003037D2" w:rsidRDefault="007A57F2" w:rsidP="00162224">
      <w:pPr>
        <w:spacing w:line="360" w:lineRule="auto"/>
        <w:rPr>
          <w:rFonts w:ascii="Garamond" w:hAnsi="Garamond"/>
        </w:rPr>
      </w:pPr>
    </w:p>
    <w:p w14:paraId="6558538B" w14:textId="77777777" w:rsidR="00162224" w:rsidRPr="003037D2" w:rsidRDefault="00162224" w:rsidP="00162224">
      <w:pPr>
        <w:spacing w:line="360" w:lineRule="auto"/>
        <w:rPr>
          <w:rFonts w:ascii="Garamond" w:hAnsi="Garamond"/>
        </w:rPr>
      </w:pPr>
    </w:p>
    <w:p w14:paraId="0889E021" w14:textId="77777777" w:rsidR="00162224" w:rsidRPr="003037D2" w:rsidRDefault="00162224" w:rsidP="00162224">
      <w:pPr>
        <w:spacing w:line="360" w:lineRule="auto"/>
        <w:rPr>
          <w:rFonts w:ascii="Garamond" w:hAnsi="Garamond"/>
        </w:rPr>
      </w:pPr>
    </w:p>
    <w:p w14:paraId="2C68034B" w14:textId="77777777" w:rsidR="00162224" w:rsidRPr="003037D2" w:rsidRDefault="00162224" w:rsidP="00162224">
      <w:pPr>
        <w:spacing w:line="360" w:lineRule="auto"/>
        <w:rPr>
          <w:rFonts w:ascii="Garamond" w:hAnsi="Garamond"/>
        </w:rPr>
      </w:pPr>
    </w:p>
    <w:p w14:paraId="2D531BA7" w14:textId="77777777" w:rsidR="00162224" w:rsidRPr="003037D2" w:rsidRDefault="00162224" w:rsidP="00162224">
      <w:pPr>
        <w:spacing w:line="360" w:lineRule="auto"/>
        <w:rPr>
          <w:rFonts w:ascii="Garamond" w:hAnsi="Garamond"/>
        </w:rPr>
      </w:pPr>
    </w:p>
    <w:p w14:paraId="6858B37A" w14:textId="77777777" w:rsidR="00162224" w:rsidRPr="003037D2" w:rsidRDefault="00162224" w:rsidP="00162224">
      <w:pPr>
        <w:spacing w:line="360" w:lineRule="auto"/>
        <w:rPr>
          <w:rFonts w:ascii="Garamond" w:hAnsi="Garamond"/>
        </w:rPr>
      </w:pPr>
    </w:p>
    <w:tbl>
      <w:tblPr>
        <w:tblW w:w="5930" w:type="dxa"/>
        <w:tblLook w:val="04A0" w:firstRow="1" w:lastRow="0" w:firstColumn="1" w:lastColumn="0" w:noHBand="0" w:noVBand="1"/>
      </w:tblPr>
      <w:tblGrid>
        <w:gridCol w:w="1769"/>
        <w:gridCol w:w="554"/>
        <w:gridCol w:w="1436"/>
        <w:gridCol w:w="1769"/>
        <w:gridCol w:w="554"/>
      </w:tblGrid>
      <w:tr w:rsidR="00162224" w:rsidRPr="003037D2" w14:paraId="2CEB9421" w14:textId="77777777" w:rsidTr="00162224">
        <w:trPr>
          <w:trHeight w:val="294"/>
        </w:trPr>
        <w:tc>
          <w:tcPr>
            <w:tcW w:w="1769" w:type="dxa"/>
            <w:tcBorders>
              <w:top w:val="single" w:sz="4" w:space="0" w:color="4472C4"/>
              <w:left w:val="nil"/>
              <w:bottom w:val="double" w:sz="6" w:space="0" w:color="4472C4"/>
              <w:right w:val="nil"/>
            </w:tcBorders>
            <w:shd w:val="clear" w:color="000000" w:fill="D9E1F2"/>
            <w:noWrap/>
            <w:vAlign w:val="bottom"/>
            <w:hideMark/>
          </w:tcPr>
          <w:p w14:paraId="2DEA390C" w14:textId="77777777" w:rsidR="00162224" w:rsidRPr="003037D2" w:rsidRDefault="00162224" w:rsidP="00162224">
            <w:pPr>
              <w:rPr>
                <w:rFonts w:ascii="Garamond" w:eastAsia="Times New Roman" w:hAnsi="Garamond" w:cs="Times New Roman"/>
                <w:b/>
                <w:bCs/>
                <w:color w:val="000000"/>
                <w:lang w:eastAsia="zh-CN"/>
              </w:rPr>
            </w:pPr>
            <w:r w:rsidRPr="003037D2">
              <w:rPr>
                <w:rFonts w:ascii="Garamond" w:eastAsia="Times New Roman" w:hAnsi="Garamond" w:cs="Times New Roman"/>
                <w:b/>
                <w:bCs/>
                <w:color w:val="000000"/>
                <w:lang w:eastAsia="zh-CN"/>
              </w:rPr>
              <w:lastRenderedPageBreak/>
              <w:t>Place</w:t>
            </w:r>
          </w:p>
        </w:tc>
        <w:tc>
          <w:tcPr>
            <w:tcW w:w="478" w:type="dxa"/>
            <w:tcBorders>
              <w:top w:val="single" w:sz="4" w:space="0" w:color="4472C4"/>
              <w:left w:val="nil"/>
              <w:bottom w:val="double" w:sz="6" w:space="0" w:color="4472C4"/>
              <w:right w:val="nil"/>
            </w:tcBorders>
            <w:shd w:val="clear" w:color="000000" w:fill="D9E1F2"/>
            <w:noWrap/>
            <w:vAlign w:val="bottom"/>
            <w:hideMark/>
          </w:tcPr>
          <w:p w14:paraId="0D9B4027" w14:textId="77777777" w:rsidR="00162224" w:rsidRPr="003037D2" w:rsidRDefault="00162224" w:rsidP="00162224">
            <w:pPr>
              <w:jc w:val="right"/>
              <w:rPr>
                <w:rFonts w:ascii="Garamond" w:eastAsia="Times New Roman" w:hAnsi="Garamond" w:cs="Times New Roman"/>
                <w:b/>
                <w:bCs/>
                <w:color w:val="000000"/>
                <w:lang w:eastAsia="zh-CN"/>
              </w:rPr>
            </w:pPr>
            <w:r w:rsidRPr="003037D2">
              <w:rPr>
                <w:rFonts w:ascii="Garamond" w:eastAsia="Times New Roman" w:hAnsi="Garamond" w:cs="Times New Roman"/>
                <w:b/>
                <w:bCs/>
                <w:color w:val="000000"/>
                <w:lang w:eastAsia="zh-CN"/>
              </w:rPr>
              <w:t>140</w:t>
            </w:r>
          </w:p>
        </w:tc>
        <w:tc>
          <w:tcPr>
            <w:tcW w:w="1436" w:type="dxa"/>
            <w:tcBorders>
              <w:top w:val="nil"/>
              <w:left w:val="nil"/>
              <w:bottom w:val="nil"/>
              <w:right w:val="nil"/>
            </w:tcBorders>
            <w:shd w:val="clear" w:color="auto" w:fill="auto"/>
            <w:noWrap/>
            <w:vAlign w:val="bottom"/>
            <w:hideMark/>
          </w:tcPr>
          <w:p w14:paraId="17F8D3E3" w14:textId="77777777" w:rsidR="00162224" w:rsidRPr="003037D2" w:rsidRDefault="00162224" w:rsidP="00162224">
            <w:pPr>
              <w:jc w:val="right"/>
              <w:rPr>
                <w:rFonts w:ascii="Garamond" w:eastAsia="Times New Roman" w:hAnsi="Garamond" w:cs="Times New Roman"/>
                <w:b/>
                <w:bCs/>
                <w:color w:val="000000"/>
                <w:lang w:eastAsia="zh-CN"/>
              </w:rPr>
            </w:pPr>
          </w:p>
        </w:tc>
        <w:tc>
          <w:tcPr>
            <w:tcW w:w="1769" w:type="dxa"/>
            <w:tcBorders>
              <w:top w:val="single" w:sz="4" w:space="0" w:color="4472C4"/>
              <w:left w:val="nil"/>
              <w:bottom w:val="double" w:sz="6" w:space="0" w:color="4472C4"/>
              <w:right w:val="nil"/>
            </w:tcBorders>
            <w:shd w:val="clear" w:color="auto" w:fill="auto"/>
            <w:noWrap/>
            <w:vAlign w:val="bottom"/>
            <w:hideMark/>
          </w:tcPr>
          <w:p w14:paraId="3FE57C63" w14:textId="77777777" w:rsidR="00162224" w:rsidRPr="003037D2" w:rsidRDefault="00162224" w:rsidP="00162224">
            <w:pPr>
              <w:rPr>
                <w:rFonts w:ascii="Garamond" w:eastAsia="Times New Roman" w:hAnsi="Garamond" w:cs="Times New Roman"/>
                <w:b/>
                <w:bCs/>
                <w:color w:val="000000"/>
                <w:lang w:eastAsia="zh-CN"/>
              </w:rPr>
            </w:pPr>
            <w:r w:rsidRPr="003037D2">
              <w:rPr>
                <w:rFonts w:ascii="Garamond" w:eastAsia="Times New Roman" w:hAnsi="Garamond" w:cs="Times New Roman"/>
                <w:b/>
                <w:bCs/>
                <w:color w:val="000000"/>
                <w:lang w:eastAsia="zh-CN"/>
              </w:rPr>
              <w:t>Churches</w:t>
            </w:r>
          </w:p>
        </w:tc>
        <w:tc>
          <w:tcPr>
            <w:tcW w:w="478" w:type="dxa"/>
            <w:tcBorders>
              <w:top w:val="single" w:sz="4" w:space="0" w:color="4472C4"/>
              <w:left w:val="nil"/>
              <w:bottom w:val="double" w:sz="6" w:space="0" w:color="4472C4"/>
              <w:right w:val="nil"/>
            </w:tcBorders>
            <w:shd w:val="clear" w:color="auto" w:fill="auto"/>
            <w:noWrap/>
            <w:vAlign w:val="bottom"/>
            <w:hideMark/>
          </w:tcPr>
          <w:p w14:paraId="61E1C265" w14:textId="77777777" w:rsidR="00162224" w:rsidRPr="003037D2" w:rsidRDefault="00162224" w:rsidP="00162224">
            <w:pPr>
              <w:jc w:val="right"/>
              <w:rPr>
                <w:rFonts w:ascii="Garamond" w:eastAsia="Times New Roman" w:hAnsi="Garamond" w:cs="Times New Roman"/>
                <w:b/>
                <w:bCs/>
                <w:color w:val="000000"/>
                <w:lang w:eastAsia="zh-CN"/>
              </w:rPr>
            </w:pPr>
            <w:r w:rsidRPr="003037D2">
              <w:rPr>
                <w:rFonts w:ascii="Garamond" w:eastAsia="Times New Roman" w:hAnsi="Garamond" w:cs="Times New Roman"/>
                <w:b/>
                <w:bCs/>
                <w:color w:val="000000"/>
                <w:lang w:eastAsia="zh-CN"/>
              </w:rPr>
              <w:t>141</w:t>
            </w:r>
          </w:p>
        </w:tc>
      </w:tr>
      <w:tr w:rsidR="00162224" w:rsidRPr="003037D2" w14:paraId="3CCC988A" w14:textId="77777777" w:rsidTr="00162224">
        <w:trPr>
          <w:trHeight w:val="294"/>
        </w:trPr>
        <w:tc>
          <w:tcPr>
            <w:tcW w:w="1769" w:type="dxa"/>
            <w:tcBorders>
              <w:top w:val="nil"/>
              <w:left w:val="nil"/>
              <w:bottom w:val="nil"/>
              <w:right w:val="nil"/>
            </w:tcBorders>
            <w:shd w:val="clear" w:color="000000" w:fill="D9E1F2"/>
            <w:noWrap/>
            <w:vAlign w:val="bottom"/>
            <w:hideMark/>
          </w:tcPr>
          <w:p w14:paraId="649E7DFE"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Town </w:t>
            </w:r>
          </w:p>
        </w:tc>
        <w:tc>
          <w:tcPr>
            <w:tcW w:w="478" w:type="dxa"/>
            <w:tcBorders>
              <w:top w:val="nil"/>
              <w:left w:val="nil"/>
              <w:bottom w:val="nil"/>
              <w:right w:val="nil"/>
            </w:tcBorders>
            <w:shd w:val="clear" w:color="000000" w:fill="D9E1F2"/>
            <w:noWrap/>
            <w:vAlign w:val="bottom"/>
            <w:hideMark/>
          </w:tcPr>
          <w:p w14:paraId="2F546878"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135</w:t>
            </w:r>
          </w:p>
        </w:tc>
        <w:tc>
          <w:tcPr>
            <w:tcW w:w="1436" w:type="dxa"/>
            <w:tcBorders>
              <w:top w:val="nil"/>
              <w:left w:val="nil"/>
              <w:bottom w:val="nil"/>
              <w:right w:val="nil"/>
            </w:tcBorders>
            <w:shd w:val="clear" w:color="auto" w:fill="auto"/>
            <w:noWrap/>
            <w:vAlign w:val="bottom"/>
            <w:hideMark/>
          </w:tcPr>
          <w:p w14:paraId="54388C59" w14:textId="77777777" w:rsidR="00162224" w:rsidRPr="003037D2" w:rsidRDefault="00162224" w:rsidP="00162224">
            <w:pPr>
              <w:jc w:val="right"/>
              <w:rPr>
                <w:rFonts w:ascii="Garamond" w:eastAsia="Times New Roman" w:hAnsi="Garamond" w:cs="Times New Roman"/>
                <w:color w:val="000000"/>
                <w:lang w:eastAsia="zh-CN"/>
              </w:rPr>
            </w:pPr>
          </w:p>
        </w:tc>
        <w:tc>
          <w:tcPr>
            <w:tcW w:w="1769" w:type="dxa"/>
            <w:tcBorders>
              <w:top w:val="nil"/>
              <w:left w:val="nil"/>
              <w:bottom w:val="nil"/>
              <w:right w:val="nil"/>
            </w:tcBorders>
            <w:shd w:val="clear" w:color="auto" w:fill="auto"/>
            <w:noWrap/>
            <w:vAlign w:val="bottom"/>
            <w:hideMark/>
          </w:tcPr>
          <w:p w14:paraId="186D1A7C"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Church </w:t>
            </w:r>
          </w:p>
        </w:tc>
        <w:tc>
          <w:tcPr>
            <w:tcW w:w="478" w:type="dxa"/>
            <w:tcBorders>
              <w:top w:val="nil"/>
              <w:left w:val="nil"/>
              <w:bottom w:val="nil"/>
              <w:right w:val="nil"/>
            </w:tcBorders>
            <w:shd w:val="clear" w:color="auto" w:fill="auto"/>
            <w:noWrap/>
            <w:vAlign w:val="bottom"/>
            <w:hideMark/>
          </w:tcPr>
          <w:p w14:paraId="2C9DCCF5"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137</w:t>
            </w:r>
          </w:p>
        </w:tc>
      </w:tr>
      <w:tr w:rsidR="00162224" w:rsidRPr="003037D2" w14:paraId="097FFF7C" w14:textId="77777777" w:rsidTr="00162224">
        <w:trPr>
          <w:trHeight w:val="280"/>
        </w:trPr>
        <w:tc>
          <w:tcPr>
            <w:tcW w:w="1769" w:type="dxa"/>
            <w:tcBorders>
              <w:top w:val="nil"/>
              <w:left w:val="nil"/>
              <w:bottom w:val="nil"/>
              <w:right w:val="nil"/>
            </w:tcBorders>
            <w:shd w:val="clear" w:color="000000" w:fill="D9E1F2"/>
            <w:noWrap/>
            <w:vAlign w:val="bottom"/>
            <w:hideMark/>
          </w:tcPr>
          <w:p w14:paraId="1004AF31"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Tavern </w:t>
            </w:r>
          </w:p>
        </w:tc>
        <w:tc>
          <w:tcPr>
            <w:tcW w:w="478" w:type="dxa"/>
            <w:tcBorders>
              <w:top w:val="nil"/>
              <w:left w:val="nil"/>
              <w:bottom w:val="nil"/>
              <w:right w:val="nil"/>
            </w:tcBorders>
            <w:shd w:val="clear" w:color="000000" w:fill="D9E1F2"/>
            <w:noWrap/>
            <w:vAlign w:val="bottom"/>
            <w:hideMark/>
          </w:tcPr>
          <w:p w14:paraId="1EC1A21A"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1</w:t>
            </w:r>
          </w:p>
        </w:tc>
        <w:tc>
          <w:tcPr>
            <w:tcW w:w="1436" w:type="dxa"/>
            <w:tcBorders>
              <w:top w:val="nil"/>
              <w:left w:val="nil"/>
              <w:bottom w:val="nil"/>
              <w:right w:val="nil"/>
            </w:tcBorders>
            <w:shd w:val="clear" w:color="auto" w:fill="auto"/>
            <w:noWrap/>
            <w:vAlign w:val="bottom"/>
            <w:hideMark/>
          </w:tcPr>
          <w:p w14:paraId="057474E0" w14:textId="77777777" w:rsidR="00162224" w:rsidRPr="003037D2" w:rsidRDefault="00162224" w:rsidP="00162224">
            <w:pPr>
              <w:jc w:val="right"/>
              <w:rPr>
                <w:rFonts w:ascii="Garamond" w:eastAsia="Times New Roman" w:hAnsi="Garamond" w:cs="Times New Roman"/>
                <w:color w:val="000000"/>
                <w:lang w:eastAsia="zh-CN"/>
              </w:rPr>
            </w:pPr>
          </w:p>
        </w:tc>
        <w:tc>
          <w:tcPr>
            <w:tcW w:w="1769" w:type="dxa"/>
            <w:tcBorders>
              <w:top w:val="nil"/>
              <w:left w:val="nil"/>
              <w:bottom w:val="nil"/>
              <w:right w:val="nil"/>
            </w:tcBorders>
            <w:shd w:val="clear" w:color="auto" w:fill="auto"/>
            <w:noWrap/>
            <w:vAlign w:val="bottom"/>
            <w:hideMark/>
          </w:tcPr>
          <w:p w14:paraId="5FB4560B"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Chapel </w:t>
            </w:r>
          </w:p>
        </w:tc>
        <w:tc>
          <w:tcPr>
            <w:tcW w:w="478" w:type="dxa"/>
            <w:tcBorders>
              <w:top w:val="nil"/>
              <w:left w:val="nil"/>
              <w:bottom w:val="nil"/>
              <w:right w:val="nil"/>
            </w:tcBorders>
            <w:shd w:val="clear" w:color="auto" w:fill="auto"/>
            <w:noWrap/>
            <w:vAlign w:val="bottom"/>
            <w:hideMark/>
          </w:tcPr>
          <w:p w14:paraId="2455C554"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4</w:t>
            </w:r>
          </w:p>
        </w:tc>
      </w:tr>
      <w:tr w:rsidR="00162224" w:rsidRPr="003037D2" w14:paraId="4DAD5645" w14:textId="77777777" w:rsidTr="00162224">
        <w:trPr>
          <w:trHeight w:val="280"/>
        </w:trPr>
        <w:tc>
          <w:tcPr>
            <w:tcW w:w="1769" w:type="dxa"/>
            <w:tcBorders>
              <w:top w:val="nil"/>
              <w:left w:val="nil"/>
              <w:bottom w:val="nil"/>
              <w:right w:val="nil"/>
            </w:tcBorders>
            <w:shd w:val="clear" w:color="000000" w:fill="D9E1F2"/>
            <w:noWrap/>
            <w:vAlign w:val="bottom"/>
            <w:hideMark/>
          </w:tcPr>
          <w:p w14:paraId="0E78F4F8"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County </w:t>
            </w:r>
          </w:p>
        </w:tc>
        <w:tc>
          <w:tcPr>
            <w:tcW w:w="478" w:type="dxa"/>
            <w:tcBorders>
              <w:top w:val="nil"/>
              <w:left w:val="nil"/>
              <w:bottom w:val="nil"/>
              <w:right w:val="nil"/>
            </w:tcBorders>
            <w:shd w:val="clear" w:color="000000" w:fill="D9E1F2"/>
            <w:noWrap/>
            <w:vAlign w:val="bottom"/>
            <w:hideMark/>
          </w:tcPr>
          <w:p w14:paraId="515A750E"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2</w:t>
            </w:r>
          </w:p>
        </w:tc>
        <w:tc>
          <w:tcPr>
            <w:tcW w:w="1436" w:type="dxa"/>
            <w:tcBorders>
              <w:top w:val="nil"/>
              <w:left w:val="nil"/>
              <w:bottom w:val="nil"/>
              <w:right w:val="nil"/>
            </w:tcBorders>
            <w:shd w:val="clear" w:color="auto" w:fill="auto"/>
            <w:noWrap/>
            <w:vAlign w:val="bottom"/>
            <w:hideMark/>
          </w:tcPr>
          <w:p w14:paraId="16498550" w14:textId="77777777" w:rsidR="00162224" w:rsidRPr="003037D2" w:rsidRDefault="00162224" w:rsidP="00162224">
            <w:pPr>
              <w:jc w:val="right"/>
              <w:rPr>
                <w:rFonts w:ascii="Garamond" w:eastAsia="Times New Roman" w:hAnsi="Garamond" w:cs="Times New Roman"/>
                <w:color w:val="000000"/>
                <w:lang w:eastAsia="zh-CN"/>
              </w:rPr>
            </w:pPr>
          </w:p>
        </w:tc>
        <w:tc>
          <w:tcPr>
            <w:tcW w:w="1769" w:type="dxa"/>
            <w:tcBorders>
              <w:top w:val="nil"/>
              <w:left w:val="nil"/>
              <w:bottom w:val="nil"/>
              <w:right w:val="nil"/>
            </w:tcBorders>
            <w:shd w:val="clear" w:color="auto" w:fill="auto"/>
            <w:noWrap/>
            <w:vAlign w:val="bottom"/>
            <w:hideMark/>
          </w:tcPr>
          <w:p w14:paraId="1D8BFEC5" w14:textId="77777777" w:rsidR="00162224" w:rsidRPr="003037D2" w:rsidRDefault="00162224" w:rsidP="00162224">
            <w:pPr>
              <w:rPr>
                <w:rFonts w:ascii="Garamond" w:eastAsia="Times New Roman" w:hAnsi="Garamond" w:cs="Times New Roman"/>
                <w:sz w:val="20"/>
                <w:szCs w:val="20"/>
                <w:lang w:eastAsia="zh-CN"/>
              </w:rPr>
            </w:pPr>
          </w:p>
        </w:tc>
        <w:tc>
          <w:tcPr>
            <w:tcW w:w="478" w:type="dxa"/>
            <w:tcBorders>
              <w:top w:val="nil"/>
              <w:left w:val="nil"/>
              <w:bottom w:val="nil"/>
              <w:right w:val="nil"/>
            </w:tcBorders>
            <w:shd w:val="clear" w:color="auto" w:fill="auto"/>
            <w:noWrap/>
            <w:vAlign w:val="bottom"/>
            <w:hideMark/>
          </w:tcPr>
          <w:p w14:paraId="1EB98198" w14:textId="77777777" w:rsidR="00162224" w:rsidRPr="003037D2" w:rsidRDefault="00162224" w:rsidP="00162224">
            <w:pPr>
              <w:rPr>
                <w:rFonts w:ascii="Garamond" w:eastAsia="Times New Roman" w:hAnsi="Garamond" w:cs="Times New Roman"/>
                <w:sz w:val="20"/>
                <w:szCs w:val="20"/>
                <w:lang w:eastAsia="zh-CN"/>
              </w:rPr>
            </w:pPr>
          </w:p>
        </w:tc>
      </w:tr>
      <w:tr w:rsidR="00162224" w:rsidRPr="003037D2" w14:paraId="5DF0F5B1" w14:textId="77777777" w:rsidTr="00162224">
        <w:trPr>
          <w:trHeight w:val="294"/>
        </w:trPr>
        <w:tc>
          <w:tcPr>
            <w:tcW w:w="1769" w:type="dxa"/>
            <w:tcBorders>
              <w:top w:val="nil"/>
              <w:left w:val="nil"/>
              <w:bottom w:val="nil"/>
              <w:right w:val="nil"/>
            </w:tcBorders>
            <w:shd w:val="clear" w:color="000000" w:fill="D9E1F2"/>
            <w:noWrap/>
            <w:vAlign w:val="bottom"/>
            <w:hideMark/>
          </w:tcPr>
          <w:p w14:paraId="0DD37BCC"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House </w:t>
            </w:r>
          </w:p>
        </w:tc>
        <w:tc>
          <w:tcPr>
            <w:tcW w:w="478" w:type="dxa"/>
            <w:tcBorders>
              <w:top w:val="nil"/>
              <w:left w:val="nil"/>
              <w:bottom w:val="nil"/>
              <w:right w:val="nil"/>
            </w:tcBorders>
            <w:shd w:val="clear" w:color="000000" w:fill="D9E1F2"/>
            <w:noWrap/>
            <w:vAlign w:val="bottom"/>
            <w:hideMark/>
          </w:tcPr>
          <w:p w14:paraId="0540F5B7"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2</w:t>
            </w:r>
          </w:p>
        </w:tc>
        <w:tc>
          <w:tcPr>
            <w:tcW w:w="1436" w:type="dxa"/>
            <w:tcBorders>
              <w:top w:val="nil"/>
              <w:left w:val="nil"/>
              <w:bottom w:val="nil"/>
              <w:right w:val="nil"/>
            </w:tcBorders>
            <w:shd w:val="clear" w:color="auto" w:fill="auto"/>
            <w:noWrap/>
            <w:vAlign w:val="bottom"/>
            <w:hideMark/>
          </w:tcPr>
          <w:p w14:paraId="281F0E3A" w14:textId="77777777" w:rsidR="00162224" w:rsidRPr="003037D2" w:rsidRDefault="00162224" w:rsidP="00162224">
            <w:pPr>
              <w:jc w:val="right"/>
              <w:rPr>
                <w:rFonts w:ascii="Garamond" w:eastAsia="Times New Roman" w:hAnsi="Garamond" w:cs="Times New Roman"/>
                <w:color w:val="000000"/>
                <w:lang w:eastAsia="zh-CN"/>
              </w:rPr>
            </w:pPr>
          </w:p>
        </w:tc>
        <w:tc>
          <w:tcPr>
            <w:tcW w:w="1769" w:type="dxa"/>
            <w:tcBorders>
              <w:top w:val="single" w:sz="4" w:space="0" w:color="4472C4"/>
              <w:left w:val="nil"/>
              <w:bottom w:val="double" w:sz="6" w:space="0" w:color="4472C4"/>
              <w:right w:val="nil"/>
            </w:tcBorders>
            <w:shd w:val="clear" w:color="000000" w:fill="D9E1F2"/>
            <w:noWrap/>
            <w:vAlign w:val="bottom"/>
            <w:hideMark/>
          </w:tcPr>
          <w:p w14:paraId="4A718902" w14:textId="77777777" w:rsidR="00162224" w:rsidRPr="003037D2" w:rsidRDefault="00162224" w:rsidP="00162224">
            <w:pPr>
              <w:rPr>
                <w:rFonts w:ascii="Garamond" w:eastAsia="Times New Roman" w:hAnsi="Garamond" w:cs="Times New Roman"/>
                <w:b/>
                <w:bCs/>
                <w:color w:val="000000"/>
                <w:lang w:eastAsia="zh-CN"/>
              </w:rPr>
            </w:pPr>
            <w:r w:rsidRPr="003037D2">
              <w:rPr>
                <w:rFonts w:ascii="Garamond" w:eastAsia="Times New Roman" w:hAnsi="Garamond" w:cs="Times New Roman"/>
                <w:b/>
                <w:bCs/>
                <w:color w:val="000000"/>
                <w:lang w:eastAsia="zh-CN"/>
              </w:rPr>
              <w:t>Cathedrals</w:t>
            </w:r>
          </w:p>
        </w:tc>
        <w:tc>
          <w:tcPr>
            <w:tcW w:w="478" w:type="dxa"/>
            <w:tcBorders>
              <w:top w:val="single" w:sz="4" w:space="0" w:color="4472C4"/>
              <w:left w:val="nil"/>
              <w:bottom w:val="double" w:sz="6" w:space="0" w:color="4472C4"/>
              <w:right w:val="nil"/>
            </w:tcBorders>
            <w:shd w:val="clear" w:color="000000" w:fill="D9E1F2"/>
            <w:noWrap/>
            <w:vAlign w:val="bottom"/>
            <w:hideMark/>
          </w:tcPr>
          <w:p w14:paraId="00A1E593" w14:textId="77777777" w:rsidR="00162224" w:rsidRPr="003037D2" w:rsidRDefault="00162224" w:rsidP="00162224">
            <w:pPr>
              <w:jc w:val="right"/>
              <w:rPr>
                <w:rFonts w:ascii="Garamond" w:eastAsia="Times New Roman" w:hAnsi="Garamond" w:cs="Times New Roman"/>
                <w:b/>
                <w:bCs/>
                <w:color w:val="000000"/>
                <w:lang w:eastAsia="zh-CN"/>
              </w:rPr>
            </w:pPr>
            <w:r w:rsidRPr="003037D2">
              <w:rPr>
                <w:rFonts w:ascii="Garamond" w:eastAsia="Times New Roman" w:hAnsi="Garamond" w:cs="Times New Roman"/>
                <w:b/>
                <w:bCs/>
                <w:color w:val="000000"/>
                <w:lang w:eastAsia="zh-CN"/>
              </w:rPr>
              <w:t>51</w:t>
            </w:r>
          </w:p>
        </w:tc>
      </w:tr>
      <w:tr w:rsidR="00162224" w:rsidRPr="003037D2" w14:paraId="47B43502" w14:textId="77777777" w:rsidTr="00162224">
        <w:trPr>
          <w:trHeight w:val="294"/>
        </w:trPr>
        <w:tc>
          <w:tcPr>
            <w:tcW w:w="1769" w:type="dxa"/>
            <w:tcBorders>
              <w:top w:val="nil"/>
              <w:left w:val="nil"/>
              <w:bottom w:val="nil"/>
              <w:right w:val="nil"/>
            </w:tcBorders>
            <w:shd w:val="clear" w:color="auto" w:fill="auto"/>
            <w:noWrap/>
            <w:vAlign w:val="bottom"/>
            <w:hideMark/>
          </w:tcPr>
          <w:p w14:paraId="000E7779" w14:textId="77777777" w:rsidR="00162224" w:rsidRPr="003037D2" w:rsidRDefault="00162224" w:rsidP="00162224">
            <w:pPr>
              <w:jc w:val="right"/>
              <w:rPr>
                <w:rFonts w:ascii="Garamond" w:eastAsia="Times New Roman" w:hAnsi="Garamond" w:cs="Times New Roman"/>
                <w:b/>
                <w:bCs/>
                <w:color w:val="000000"/>
                <w:lang w:eastAsia="zh-CN"/>
              </w:rPr>
            </w:pPr>
          </w:p>
        </w:tc>
        <w:tc>
          <w:tcPr>
            <w:tcW w:w="478" w:type="dxa"/>
            <w:tcBorders>
              <w:top w:val="nil"/>
              <w:left w:val="nil"/>
              <w:bottom w:val="nil"/>
              <w:right w:val="nil"/>
            </w:tcBorders>
            <w:shd w:val="clear" w:color="auto" w:fill="auto"/>
            <w:noWrap/>
            <w:vAlign w:val="bottom"/>
            <w:hideMark/>
          </w:tcPr>
          <w:p w14:paraId="460A18AD" w14:textId="77777777" w:rsidR="00162224" w:rsidRPr="003037D2" w:rsidRDefault="00162224" w:rsidP="00162224">
            <w:pPr>
              <w:rPr>
                <w:rFonts w:ascii="Garamond" w:eastAsia="Times New Roman" w:hAnsi="Garamond" w:cs="Times New Roman"/>
                <w:sz w:val="20"/>
                <w:szCs w:val="20"/>
                <w:lang w:eastAsia="zh-CN"/>
              </w:rPr>
            </w:pPr>
          </w:p>
        </w:tc>
        <w:tc>
          <w:tcPr>
            <w:tcW w:w="1436" w:type="dxa"/>
            <w:tcBorders>
              <w:top w:val="nil"/>
              <w:left w:val="nil"/>
              <w:bottom w:val="nil"/>
              <w:right w:val="nil"/>
            </w:tcBorders>
            <w:shd w:val="clear" w:color="auto" w:fill="auto"/>
            <w:noWrap/>
            <w:vAlign w:val="bottom"/>
            <w:hideMark/>
          </w:tcPr>
          <w:p w14:paraId="0C6175C6" w14:textId="77777777" w:rsidR="00162224" w:rsidRPr="003037D2" w:rsidRDefault="00162224" w:rsidP="00162224">
            <w:pPr>
              <w:rPr>
                <w:rFonts w:ascii="Garamond" w:eastAsia="Times New Roman" w:hAnsi="Garamond" w:cs="Times New Roman"/>
                <w:sz w:val="20"/>
                <w:szCs w:val="20"/>
                <w:lang w:eastAsia="zh-CN"/>
              </w:rPr>
            </w:pPr>
          </w:p>
        </w:tc>
        <w:tc>
          <w:tcPr>
            <w:tcW w:w="1769" w:type="dxa"/>
            <w:tcBorders>
              <w:top w:val="nil"/>
              <w:left w:val="nil"/>
              <w:bottom w:val="nil"/>
              <w:right w:val="nil"/>
            </w:tcBorders>
            <w:shd w:val="clear" w:color="000000" w:fill="D9E1F2"/>
            <w:noWrap/>
            <w:vAlign w:val="bottom"/>
            <w:hideMark/>
          </w:tcPr>
          <w:p w14:paraId="11EFF4A4"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St Paul's </w:t>
            </w:r>
          </w:p>
        </w:tc>
        <w:tc>
          <w:tcPr>
            <w:tcW w:w="478" w:type="dxa"/>
            <w:tcBorders>
              <w:top w:val="nil"/>
              <w:left w:val="nil"/>
              <w:bottom w:val="nil"/>
              <w:right w:val="nil"/>
            </w:tcBorders>
            <w:shd w:val="clear" w:color="000000" w:fill="D9E1F2"/>
            <w:noWrap/>
            <w:vAlign w:val="bottom"/>
            <w:hideMark/>
          </w:tcPr>
          <w:p w14:paraId="3D88E489"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31</w:t>
            </w:r>
          </w:p>
        </w:tc>
      </w:tr>
      <w:tr w:rsidR="00162224" w:rsidRPr="003037D2" w14:paraId="6963E31D" w14:textId="77777777" w:rsidTr="00162224">
        <w:trPr>
          <w:trHeight w:val="294"/>
        </w:trPr>
        <w:tc>
          <w:tcPr>
            <w:tcW w:w="1769" w:type="dxa"/>
            <w:tcBorders>
              <w:top w:val="single" w:sz="4" w:space="0" w:color="4472C4"/>
              <w:left w:val="nil"/>
              <w:bottom w:val="double" w:sz="6" w:space="0" w:color="4472C4"/>
              <w:right w:val="nil"/>
            </w:tcBorders>
            <w:shd w:val="clear" w:color="auto" w:fill="auto"/>
            <w:noWrap/>
            <w:vAlign w:val="bottom"/>
            <w:hideMark/>
          </w:tcPr>
          <w:p w14:paraId="67627460" w14:textId="77777777" w:rsidR="00162224" w:rsidRPr="003037D2" w:rsidRDefault="00162224" w:rsidP="00162224">
            <w:pPr>
              <w:rPr>
                <w:rFonts w:ascii="Garamond" w:eastAsia="Times New Roman" w:hAnsi="Garamond" w:cs="Times New Roman"/>
                <w:b/>
                <w:bCs/>
                <w:color w:val="000000"/>
                <w:lang w:eastAsia="zh-CN"/>
              </w:rPr>
            </w:pPr>
            <w:r w:rsidRPr="003037D2">
              <w:rPr>
                <w:rFonts w:ascii="Garamond" w:eastAsia="Times New Roman" w:hAnsi="Garamond" w:cs="Times New Roman"/>
                <w:b/>
                <w:bCs/>
                <w:color w:val="000000"/>
                <w:lang w:eastAsia="zh-CN"/>
              </w:rPr>
              <w:t xml:space="preserve">Outdoor Pulpits </w:t>
            </w:r>
          </w:p>
        </w:tc>
        <w:tc>
          <w:tcPr>
            <w:tcW w:w="478" w:type="dxa"/>
            <w:tcBorders>
              <w:top w:val="single" w:sz="4" w:space="0" w:color="4472C4"/>
              <w:left w:val="nil"/>
              <w:bottom w:val="double" w:sz="6" w:space="0" w:color="4472C4"/>
              <w:right w:val="nil"/>
            </w:tcBorders>
            <w:shd w:val="clear" w:color="auto" w:fill="auto"/>
            <w:noWrap/>
            <w:vAlign w:val="bottom"/>
            <w:hideMark/>
          </w:tcPr>
          <w:p w14:paraId="4717813C" w14:textId="77777777" w:rsidR="00162224" w:rsidRPr="003037D2" w:rsidRDefault="00162224" w:rsidP="00162224">
            <w:pPr>
              <w:jc w:val="right"/>
              <w:rPr>
                <w:rFonts w:ascii="Garamond" w:eastAsia="Times New Roman" w:hAnsi="Garamond" w:cs="Times New Roman"/>
                <w:b/>
                <w:bCs/>
                <w:color w:val="000000"/>
                <w:lang w:eastAsia="zh-CN"/>
              </w:rPr>
            </w:pPr>
            <w:r w:rsidRPr="003037D2">
              <w:rPr>
                <w:rFonts w:ascii="Garamond" w:eastAsia="Times New Roman" w:hAnsi="Garamond" w:cs="Times New Roman"/>
                <w:b/>
                <w:bCs/>
                <w:color w:val="000000"/>
                <w:lang w:eastAsia="zh-CN"/>
              </w:rPr>
              <w:t>83</w:t>
            </w:r>
          </w:p>
        </w:tc>
        <w:tc>
          <w:tcPr>
            <w:tcW w:w="1436" w:type="dxa"/>
            <w:tcBorders>
              <w:top w:val="nil"/>
              <w:left w:val="nil"/>
              <w:bottom w:val="nil"/>
              <w:right w:val="nil"/>
            </w:tcBorders>
            <w:shd w:val="clear" w:color="auto" w:fill="auto"/>
            <w:noWrap/>
            <w:vAlign w:val="bottom"/>
            <w:hideMark/>
          </w:tcPr>
          <w:p w14:paraId="6BC5A606" w14:textId="77777777" w:rsidR="00162224" w:rsidRPr="003037D2" w:rsidRDefault="00162224" w:rsidP="00162224">
            <w:pPr>
              <w:jc w:val="right"/>
              <w:rPr>
                <w:rFonts w:ascii="Garamond" w:eastAsia="Times New Roman" w:hAnsi="Garamond" w:cs="Times New Roman"/>
                <w:b/>
                <w:bCs/>
                <w:color w:val="000000"/>
                <w:lang w:eastAsia="zh-CN"/>
              </w:rPr>
            </w:pPr>
          </w:p>
        </w:tc>
        <w:tc>
          <w:tcPr>
            <w:tcW w:w="1769" w:type="dxa"/>
            <w:tcBorders>
              <w:top w:val="nil"/>
              <w:left w:val="nil"/>
              <w:bottom w:val="nil"/>
              <w:right w:val="nil"/>
            </w:tcBorders>
            <w:shd w:val="clear" w:color="000000" w:fill="D9E1F2"/>
            <w:noWrap/>
            <w:vAlign w:val="bottom"/>
            <w:hideMark/>
          </w:tcPr>
          <w:p w14:paraId="187F1C1C"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Other</w:t>
            </w:r>
          </w:p>
        </w:tc>
        <w:tc>
          <w:tcPr>
            <w:tcW w:w="478" w:type="dxa"/>
            <w:tcBorders>
              <w:top w:val="nil"/>
              <w:left w:val="nil"/>
              <w:bottom w:val="nil"/>
              <w:right w:val="nil"/>
            </w:tcBorders>
            <w:shd w:val="clear" w:color="000000" w:fill="D9E1F2"/>
            <w:noWrap/>
            <w:vAlign w:val="bottom"/>
            <w:hideMark/>
          </w:tcPr>
          <w:p w14:paraId="5F660F40"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20</w:t>
            </w:r>
          </w:p>
        </w:tc>
      </w:tr>
      <w:tr w:rsidR="00162224" w:rsidRPr="003037D2" w14:paraId="33CC3C7C" w14:textId="77777777" w:rsidTr="00162224">
        <w:trPr>
          <w:trHeight w:val="294"/>
        </w:trPr>
        <w:tc>
          <w:tcPr>
            <w:tcW w:w="1769" w:type="dxa"/>
            <w:tcBorders>
              <w:top w:val="nil"/>
              <w:left w:val="nil"/>
              <w:bottom w:val="nil"/>
              <w:right w:val="nil"/>
            </w:tcBorders>
            <w:shd w:val="clear" w:color="auto" w:fill="auto"/>
            <w:noWrap/>
            <w:vAlign w:val="bottom"/>
            <w:hideMark/>
          </w:tcPr>
          <w:p w14:paraId="380CB9B6" w14:textId="77777777" w:rsidR="00162224" w:rsidRPr="003037D2" w:rsidRDefault="00162224" w:rsidP="00162224">
            <w:pPr>
              <w:rPr>
                <w:rFonts w:ascii="Garamond" w:eastAsia="Times New Roman" w:hAnsi="Garamond" w:cs="Times New Roman"/>
                <w:color w:val="000000"/>
                <w:lang w:eastAsia="zh-CN"/>
              </w:rPr>
            </w:pPr>
            <w:proofErr w:type="spellStart"/>
            <w:r w:rsidRPr="003037D2">
              <w:rPr>
                <w:rFonts w:ascii="Garamond" w:eastAsia="Times New Roman" w:hAnsi="Garamond" w:cs="Times New Roman"/>
                <w:color w:val="000000"/>
                <w:lang w:eastAsia="zh-CN"/>
              </w:rPr>
              <w:t>Spittal</w:t>
            </w:r>
            <w:proofErr w:type="spellEnd"/>
            <w:r w:rsidRPr="003037D2">
              <w:rPr>
                <w:rFonts w:ascii="Garamond" w:eastAsia="Times New Roman" w:hAnsi="Garamond" w:cs="Times New Roman"/>
                <w:color w:val="000000"/>
                <w:lang w:eastAsia="zh-CN"/>
              </w:rPr>
              <w:t xml:space="preserve"> </w:t>
            </w:r>
          </w:p>
        </w:tc>
        <w:tc>
          <w:tcPr>
            <w:tcW w:w="478" w:type="dxa"/>
            <w:tcBorders>
              <w:top w:val="nil"/>
              <w:left w:val="nil"/>
              <w:bottom w:val="nil"/>
              <w:right w:val="nil"/>
            </w:tcBorders>
            <w:shd w:val="clear" w:color="auto" w:fill="auto"/>
            <w:noWrap/>
            <w:vAlign w:val="bottom"/>
            <w:hideMark/>
          </w:tcPr>
          <w:p w14:paraId="5B3D3D5A"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6</w:t>
            </w:r>
          </w:p>
        </w:tc>
        <w:tc>
          <w:tcPr>
            <w:tcW w:w="1436" w:type="dxa"/>
            <w:tcBorders>
              <w:top w:val="nil"/>
              <w:left w:val="nil"/>
              <w:bottom w:val="nil"/>
              <w:right w:val="nil"/>
            </w:tcBorders>
            <w:shd w:val="clear" w:color="auto" w:fill="auto"/>
            <w:noWrap/>
            <w:vAlign w:val="bottom"/>
            <w:hideMark/>
          </w:tcPr>
          <w:p w14:paraId="5767956A" w14:textId="77777777" w:rsidR="00162224" w:rsidRPr="003037D2" w:rsidRDefault="00162224" w:rsidP="00162224">
            <w:pPr>
              <w:jc w:val="right"/>
              <w:rPr>
                <w:rFonts w:ascii="Garamond" w:eastAsia="Times New Roman" w:hAnsi="Garamond" w:cs="Times New Roman"/>
                <w:color w:val="000000"/>
                <w:lang w:eastAsia="zh-CN"/>
              </w:rPr>
            </w:pPr>
          </w:p>
        </w:tc>
        <w:tc>
          <w:tcPr>
            <w:tcW w:w="1769" w:type="dxa"/>
            <w:tcBorders>
              <w:top w:val="nil"/>
              <w:left w:val="nil"/>
              <w:bottom w:val="nil"/>
              <w:right w:val="nil"/>
            </w:tcBorders>
            <w:shd w:val="clear" w:color="auto" w:fill="auto"/>
            <w:noWrap/>
            <w:vAlign w:val="bottom"/>
            <w:hideMark/>
          </w:tcPr>
          <w:p w14:paraId="3BDBD6AE" w14:textId="77777777" w:rsidR="00162224" w:rsidRPr="003037D2" w:rsidRDefault="00162224" w:rsidP="00162224">
            <w:pPr>
              <w:rPr>
                <w:rFonts w:ascii="Garamond" w:eastAsia="Times New Roman" w:hAnsi="Garamond" w:cs="Times New Roman"/>
                <w:sz w:val="20"/>
                <w:szCs w:val="20"/>
                <w:lang w:eastAsia="zh-CN"/>
              </w:rPr>
            </w:pPr>
          </w:p>
        </w:tc>
        <w:tc>
          <w:tcPr>
            <w:tcW w:w="478" w:type="dxa"/>
            <w:tcBorders>
              <w:top w:val="nil"/>
              <w:left w:val="nil"/>
              <w:bottom w:val="nil"/>
              <w:right w:val="nil"/>
            </w:tcBorders>
            <w:shd w:val="clear" w:color="auto" w:fill="auto"/>
            <w:noWrap/>
            <w:vAlign w:val="bottom"/>
            <w:hideMark/>
          </w:tcPr>
          <w:p w14:paraId="7BC79C83" w14:textId="77777777" w:rsidR="00162224" w:rsidRPr="003037D2" w:rsidRDefault="00162224" w:rsidP="00162224">
            <w:pPr>
              <w:rPr>
                <w:rFonts w:ascii="Garamond" w:eastAsia="Times New Roman" w:hAnsi="Garamond" w:cs="Times New Roman"/>
                <w:sz w:val="20"/>
                <w:szCs w:val="20"/>
                <w:lang w:eastAsia="zh-CN"/>
              </w:rPr>
            </w:pPr>
          </w:p>
        </w:tc>
      </w:tr>
      <w:tr w:rsidR="00162224" w:rsidRPr="003037D2" w14:paraId="58B92D64" w14:textId="77777777" w:rsidTr="00162224">
        <w:trPr>
          <w:trHeight w:val="294"/>
        </w:trPr>
        <w:tc>
          <w:tcPr>
            <w:tcW w:w="1769" w:type="dxa"/>
            <w:tcBorders>
              <w:top w:val="nil"/>
              <w:left w:val="nil"/>
              <w:bottom w:val="nil"/>
              <w:right w:val="nil"/>
            </w:tcBorders>
            <w:shd w:val="clear" w:color="auto" w:fill="auto"/>
            <w:noWrap/>
            <w:vAlign w:val="bottom"/>
            <w:hideMark/>
          </w:tcPr>
          <w:p w14:paraId="3D39344B"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Paul's Cross </w:t>
            </w:r>
          </w:p>
        </w:tc>
        <w:tc>
          <w:tcPr>
            <w:tcW w:w="478" w:type="dxa"/>
            <w:tcBorders>
              <w:top w:val="nil"/>
              <w:left w:val="nil"/>
              <w:bottom w:val="nil"/>
              <w:right w:val="nil"/>
            </w:tcBorders>
            <w:shd w:val="clear" w:color="auto" w:fill="auto"/>
            <w:noWrap/>
            <w:vAlign w:val="bottom"/>
            <w:hideMark/>
          </w:tcPr>
          <w:p w14:paraId="5697F384"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74</w:t>
            </w:r>
          </w:p>
        </w:tc>
        <w:tc>
          <w:tcPr>
            <w:tcW w:w="1436" w:type="dxa"/>
            <w:tcBorders>
              <w:top w:val="nil"/>
              <w:left w:val="nil"/>
              <w:bottom w:val="nil"/>
              <w:right w:val="nil"/>
            </w:tcBorders>
            <w:shd w:val="clear" w:color="auto" w:fill="auto"/>
            <w:noWrap/>
            <w:vAlign w:val="bottom"/>
            <w:hideMark/>
          </w:tcPr>
          <w:p w14:paraId="1E65F9BA" w14:textId="77777777" w:rsidR="00162224" w:rsidRPr="003037D2" w:rsidRDefault="00162224" w:rsidP="00162224">
            <w:pPr>
              <w:jc w:val="right"/>
              <w:rPr>
                <w:rFonts w:ascii="Garamond" w:eastAsia="Times New Roman" w:hAnsi="Garamond" w:cs="Times New Roman"/>
                <w:color w:val="000000"/>
                <w:lang w:eastAsia="zh-CN"/>
              </w:rPr>
            </w:pPr>
          </w:p>
        </w:tc>
        <w:tc>
          <w:tcPr>
            <w:tcW w:w="1769" w:type="dxa"/>
            <w:tcBorders>
              <w:top w:val="single" w:sz="4" w:space="0" w:color="4472C4"/>
              <w:left w:val="nil"/>
              <w:bottom w:val="double" w:sz="6" w:space="0" w:color="4472C4"/>
              <w:right w:val="nil"/>
            </w:tcBorders>
            <w:shd w:val="clear" w:color="auto" w:fill="auto"/>
            <w:noWrap/>
            <w:vAlign w:val="bottom"/>
            <w:hideMark/>
          </w:tcPr>
          <w:p w14:paraId="492A2831" w14:textId="77777777" w:rsidR="00162224" w:rsidRPr="003037D2" w:rsidRDefault="00162224" w:rsidP="00162224">
            <w:pPr>
              <w:rPr>
                <w:rFonts w:ascii="Garamond" w:eastAsia="Times New Roman" w:hAnsi="Garamond" w:cs="Times New Roman"/>
                <w:b/>
                <w:bCs/>
                <w:color w:val="000000"/>
                <w:lang w:eastAsia="zh-CN"/>
              </w:rPr>
            </w:pPr>
            <w:r w:rsidRPr="003037D2">
              <w:rPr>
                <w:rFonts w:ascii="Garamond" w:eastAsia="Times New Roman" w:hAnsi="Garamond" w:cs="Times New Roman"/>
                <w:b/>
                <w:bCs/>
                <w:color w:val="000000"/>
                <w:lang w:eastAsia="zh-CN"/>
              </w:rPr>
              <w:t xml:space="preserve">Legal/Political </w:t>
            </w:r>
          </w:p>
        </w:tc>
        <w:tc>
          <w:tcPr>
            <w:tcW w:w="478" w:type="dxa"/>
            <w:tcBorders>
              <w:top w:val="single" w:sz="4" w:space="0" w:color="4472C4"/>
              <w:left w:val="nil"/>
              <w:bottom w:val="double" w:sz="6" w:space="0" w:color="4472C4"/>
              <w:right w:val="nil"/>
            </w:tcBorders>
            <w:shd w:val="clear" w:color="auto" w:fill="auto"/>
            <w:noWrap/>
            <w:vAlign w:val="bottom"/>
            <w:hideMark/>
          </w:tcPr>
          <w:p w14:paraId="7154AE8C" w14:textId="77777777" w:rsidR="00162224" w:rsidRPr="003037D2" w:rsidRDefault="00162224" w:rsidP="00162224">
            <w:pPr>
              <w:jc w:val="right"/>
              <w:rPr>
                <w:rFonts w:ascii="Garamond" w:eastAsia="Times New Roman" w:hAnsi="Garamond" w:cs="Times New Roman"/>
                <w:b/>
                <w:bCs/>
                <w:color w:val="000000"/>
                <w:lang w:eastAsia="zh-CN"/>
              </w:rPr>
            </w:pPr>
            <w:r w:rsidRPr="003037D2">
              <w:rPr>
                <w:rFonts w:ascii="Garamond" w:eastAsia="Times New Roman" w:hAnsi="Garamond" w:cs="Times New Roman"/>
                <w:b/>
                <w:bCs/>
                <w:color w:val="000000"/>
                <w:lang w:eastAsia="zh-CN"/>
              </w:rPr>
              <w:t>74</w:t>
            </w:r>
          </w:p>
        </w:tc>
      </w:tr>
      <w:tr w:rsidR="00162224" w:rsidRPr="003037D2" w14:paraId="0CE99122" w14:textId="77777777" w:rsidTr="00162224">
        <w:trPr>
          <w:trHeight w:val="294"/>
        </w:trPr>
        <w:tc>
          <w:tcPr>
            <w:tcW w:w="1769" w:type="dxa"/>
            <w:tcBorders>
              <w:top w:val="nil"/>
              <w:left w:val="nil"/>
              <w:bottom w:val="nil"/>
              <w:right w:val="nil"/>
            </w:tcBorders>
            <w:shd w:val="clear" w:color="auto" w:fill="auto"/>
            <w:noWrap/>
            <w:vAlign w:val="bottom"/>
            <w:hideMark/>
          </w:tcPr>
          <w:p w14:paraId="530F2AF8" w14:textId="77777777" w:rsidR="00162224" w:rsidRPr="003037D2" w:rsidRDefault="00162224" w:rsidP="00162224">
            <w:pPr>
              <w:rPr>
                <w:rFonts w:ascii="Garamond" w:eastAsia="Times New Roman" w:hAnsi="Garamond" w:cs="Times New Roman"/>
                <w:color w:val="000000"/>
                <w:lang w:eastAsia="zh-CN"/>
              </w:rPr>
            </w:pPr>
            <w:proofErr w:type="spellStart"/>
            <w:r w:rsidRPr="003037D2">
              <w:rPr>
                <w:rFonts w:ascii="Garamond" w:eastAsia="Times New Roman" w:hAnsi="Garamond" w:cs="Times New Roman"/>
                <w:color w:val="000000"/>
                <w:lang w:eastAsia="zh-CN"/>
              </w:rPr>
              <w:t>Greenyard</w:t>
            </w:r>
            <w:proofErr w:type="spellEnd"/>
            <w:r w:rsidRPr="003037D2">
              <w:rPr>
                <w:rFonts w:ascii="Garamond" w:eastAsia="Times New Roman" w:hAnsi="Garamond" w:cs="Times New Roman"/>
                <w:color w:val="000000"/>
                <w:lang w:eastAsia="zh-CN"/>
              </w:rPr>
              <w:t xml:space="preserve"> </w:t>
            </w:r>
          </w:p>
        </w:tc>
        <w:tc>
          <w:tcPr>
            <w:tcW w:w="478" w:type="dxa"/>
            <w:tcBorders>
              <w:top w:val="nil"/>
              <w:left w:val="nil"/>
              <w:bottom w:val="nil"/>
              <w:right w:val="nil"/>
            </w:tcBorders>
            <w:shd w:val="clear" w:color="auto" w:fill="auto"/>
            <w:noWrap/>
            <w:vAlign w:val="bottom"/>
            <w:hideMark/>
          </w:tcPr>
          <w:p w14:paraId="07F05D8A"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1</w:t>
            </w:r>
          </w:p>
        </w:tc>
        <w:tc>
          <w:tcPr>
            <w:tcW w:w="1436" w:type="dxa"/>
            <w:tcBorders>
              <w:top w:val="nil"/>
              <w:left w:val="nil"/>
              <w:bottom w:val="nil"/>
              <w:right w:val="nil"/>
            </w:tcBorders>
            <w:shd w:val="clear" w:color="auto" w:fill="auto"/>
            <w:noWrap/>
            <w:vAlign w:val="bottom"/>
            <w:hideMark/>
          </w:tcPr>
          <w:p w14:paraId="2B412AC3" w14:textId="77777777" w:rsidR="00162224" w:rsidRPr="003037D2" w:rsidRDefault="00162224" w:rsidP="00162224">
            <w:pPr>
              <w:jc w:val="right"/>
              <w:rPr>
                <w:rFonts w:ascii="Garamond" w:eastAsia="Times New Roman" w:hAnsi="Garamond" w:cs="Times New Roman"/>
                <w:color w:val="000000"/>
                <w:lang w:eastAsia="zh-CN"/>
              </w:rPr>
            </w:pPr>
          </w:p>
        </w:tc>
        <w:tc>
          <w:tcPr>
            <w:tcW w:w="1769" w:type="dxa"/>
            <w:tcBorders>
              <w:top w:val="nil"/>
              <w:left w:val="nil"/>
              <w:bottom w:val="nil"/>
              <w:right w:val="nil"/>
            </w:tcBorders>
            <w:shd w:val="clear" w:color="auto" w:fill="auto"/>
            <w:noWrap/>
            <w:vAlign w:val="bottom"/>
            <w:hideMark/>
          </w:tcPr>
          <w:p w14:paraId="7E123415" w14:textId="77777777" w:rsidR="00162224" w:rsidRPr="003037D2" w:rsidRDefault="00162224" w:rsidP="00162224">
            <w:pPr>
              <w:rPr>
                <w:rFonts w:ascii="Garamond" w:eastAsia="Times New Roman" w:hAnsi="Garamond" w:cs="Times New Roman"/>
                <w:color w:val="000000"/>
                <w:lang w:eastAsia="zh-CN"/>
              </w:rPr>
            </w:pPr>
            <w:proofErr w:type="spellStart"/>
            <w:r w:rsidRPr="003037D2">
              <w:rPr>
                <w:rFonts w:ascii="Garamond" w:eastAsia="Times New Roman" w:hAnsi="Garamond" w:cs="Times New Roman"/>
                <w:color w:val="000000"/>
                <w:lang w:eastAsia="zh-CN"/>
              </w:rPr>
              <w:t>Assises</w:t>
            </w:r>
            <w:proofErr w:type="spellEnd"/>
            <w:r w:rsidRPr="003037D2">
              <w:rPr>
                <w:rFonts w:ascii="Garamond" w:eastAsia="Times New Roman" w:hAnsi="Garamond" w:cs="Times New Roman"/>
                <w:color w:val="000000"/>
                <w:lang w:eastAsia="zh-CN"/>
              </w:rPr>
              <w:t xml:space="preserve"> </w:t>
            </w:r>
          </w:p>
        </w:tc>
        <w:tc>
          <w:tcPr>
            <w:tcW w:w="478" w:type="dxa"/>
            <w:tcBorders>
              <w:top w:val="nil"/>
              <w:left w:val="nil"/>
              <w:bottom w:val="nil"/>
              <w:right w:val="nil"/>
            </w:tcBorders>
            <w:shd w:val="clear" w:color="auto" w:fill="auto"/>
            <w:noWrap/>
            <w:vAlign w:val="bottom"/>
            <w:hideMark/>
          </w:tcPr>
          <w:p w14:paraId="1B650124"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13</w:t>
            </w:r>
          </w:p>
        </w:tc>
      </w:tr>
      <w:tr w:rsidR="00162224" w:rsidRPr="003037D2" w14:paraId="4A096C28" w14:textId="77777777" w:rsidTr="00162224">
        <w:trPr>
          <w:trHeight w:val="280"/>
        </w:trPr>
        <w:tc>
          <w:tcPr>
            <w:tcW w:w="1769" w:type="dxa"/>
            <w:tcBorders>
              <w:top w:val="nil"/>
              <w:left w:val="nil"/>
              <w:bottom w:val="nil"/>
              <w:right w:val="nil"/>
            </w:tcBorders>
            <w:shd w:val="clear" w:color="auto" w:fill="auto"/>
            <w:noWrap/>
            <w:vAlign w:val="bottom"/>
            <w:hideMark/>
          </w:tcPr>
          <w:p w14:paraId="77716AAA"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New Church Yard</w:t>
            </w:r>
          </w:p>
        </w:tc>
        <w:tc>
          <w:tcPr>
            <w:tcW w:w="478" w:type="dxa"/>
            <w:tcBorders>
              <w:top w:val="nil"/>
              <w:left w:val="nil"/>
              <w:bottom w:val="nil"/>
              <w:right w:val="nil"/>
            </w:tcBorders>
            <w:shd w:val="clear" w:color="auto" w:fill="auto"/>
            <w:noWrap/>
            <w:vAlign w:val="bottom"/>
            <w:hideMark/>
          </w:tcPr>
          <w:p w14:paraId="5515E721"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1</w:t>
            </w:r>
          </w:p>
        </w:tc>
        <w:tc>
          <w:tcPr>
            <w:tcW w:w="1436" w:type="dxa"/>
            <w:tcBorders>
              <w:top w:val="nil"/>
              <w:left w:val="nil"/>
              <w:bottom w:val="nil"/>
              <w:right w:val="nil"/>
            </w:tcBorders>
            <w:shd w:val="clear" w:color="auto" w:fill="auto"/>
            <w:noWrap/>
            <w:vAlign w:val="bottom"/>
            <w:hideMark/>
          </w:tcPr>
          <w:p w14:paraId="4450C211" w14:textId="77777777" w:rsidR="00162224" w:rsidRPr="003037D2" w:rsidRDefault="00162224" w:rsidP="00162224">
            <w:pPr>
              <w:jc w:val="right"/>
              <w:rPr>
                <w:rFonts w:ascii="Garamond" w:eastAsia="Times New Roman" w:hAnsi="Garamond" w:cs="Times New Roman"/>
                <w:color w:val="000000"/>
                <w:lang w:eastAsia="zh-CN"/>
              </w:rPr>
            </w:pPr>
          </w:p>
        </w:tc>
        <w:tc>
          <w:tcPr>
            <w:tcW w:w="1769" w:type="dxa"/>
            <w:tcBorders>
              <w:top w:val="nil"/>
              <w:left w:val="nil"/>
              <w:bottom w:val="nil"/>
              <w:right w:val="nil"/>
            </w:tcBorders>
            <w:shd w:val="clear" w:color="auto" w:fill="auto"/>
            <w:noWrap/>
            <w:vAlign w:val="bottom"/>
            <w:hideMark/>
          </w:tcPr>
          <w:p w14:paraId="6931E149" w14:textId="77777777" w:rsidR="00162224" w:rsidRPr="003037D2" w:rsidRDefault="00162224" w:rsidP="00162224">
            <w:pPr>
              <w:rPr>
                <w:rFonts w:ascii="Garamond" w:eastAsia="Times New Roman" w:hAnsi="Garamond" w:cs="Times New Roman"/>
                <w:color w:val="000000"/>
                <w:lang w:eastAsia="zh-CN"/>
              </w:rPr>
            </w:pPr>
            <w:proofErr w:type="spellStart"/>
            <w:r w:rsidRPr="003037D2">
              <w:rPr>
                <w:rFonts w:ascii="Garamond" w:eastAsia="Times New Roman" w:hAnsi="Garamond" w:cs="Times New Roman"/>
                <w:color w:val="000000"/>
                <w:lang w:eastAsia="zh-CN"/>
              </w:rPr>
              <w:t>Blackfriars</w:t>
            </w:r>
            <w:proofErr w:type="spellEnd"/>
            <w:r w:rsidRPr="003037D2">
              <w:rPr>
                <w:rFonts w:ascii="Garamond" w:eastAsia="Times New Roman" w:hAnsi="Garamond" w:cs="Times New Roman"/>
                <w:color w:val="000000"/>
                <w:lang w:eastAsia="zh-CN"/>
              </w:rPr>
              <w:t xml:space="preserve"> </w:t>
            </w:r>
          </w:p>
        </w:tc>
        <w:tc>
          <w:tcPr>
            <w:tcW w:w="478" w:type="dxa"/>
            <w:tcBorders>
              <w:top w:val="nil"/>
              <w:left w:val="nil"/>
              <w:bottom w:val="nil"/>
              <w:right w:val="nil"/>
            </w:tcBorders>
            <w:shd w:val="clear" w:color="auto" w:fill="auto"/>
            <w:noWrap/>
            <w:vAlign w:val="bottom"/>
            <w:hideMark/>
          </w:tcPr>
          <w:p w14:paraId="399CA8ED"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2</w:t>
            </w:r>
          </w:p>
        </w:tc>
      </w:tr>
      <w:tr w:rsidR="00162224" w:rsidRPr="003037D2" w14:paraId="2701093F" w14:textId="77777777" w:rsidTr="00162224">
        <w:trPr>
          <w:trHeight w:val="280"/>
        </w:trPr>
        <w:tc>
          <w:tcPr>
            <w:tcW w:w="1769" w:type="dxa"/>
            <w:tcBorders>
              <w:top w:val="nil"/>
              <w:left w:val="nil"/>
              <w:bottom w:val="nil"/>
              <w:right w:val="nil"/>
            </w:tcBorders>
            <w:shd w:val="clear" w:color="auto" w:fill="auto"/>
            <w:noWrap/>
            <w:vAlign w:val="bottom"/>
            <w:hideMark/>
          </w:tcPr>
          <w:p w14:paraId="66870F20"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Park </w:t>
            </w:r>
          </w:p>
        </w:tc>
        <w:tc>
          <w:tcPr>
            <w:tcW w:w="478" w:type="dxa"/>
            <w:tcBorders>
              <w:top w:val="nil"/>
              <w:left w:val="nil"/>
              <w:bottom w:val="nil"/>
              <w:right w:val="nil"/>
            </w:tcBorders>
            <w:shd w:val="clear" w:color="auto" w:fill="auto"/>
            <w:noWrap/>
            <w:vAlign w:val="bottom"/>
            <w:hideMark/>
          </w:tcPr>
          <w:p w14:paraId="665C1B3C"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1</w:t>
            </w:r>
          </w:p>
        </w:tc>
        <w:tc>
          <w:tcPr>
            <w:tcW w:w="1436" w:type="dxa"/>
            <w:tcBorders>
              <w:top w:val="nil"/>
              <w:left w:val="nil"/>
              <w:bottom w:val="nil"/>
              <w:right w:val="nil"/>
            </w:tcBorders>
            <w:shd w:val="clear" w:color="auto" w:fill="auto"/>
            <w:noWrap/>
            <w:vAlign w:val="bottom"/>
            <w:hideMark/>
          </w:tcPr>
          <w:p w14:paraId="768DBA1D" w14:textId="77777777" w:rsidR="00162224" w:rsidRPr="003037D2" w:rsidRDefault="00162224" w:rsidP="00162224">
            <w:pPr>
              <w:jc w:val="right"/>
              <w:rPr>
                <w:rFonts w:ascii="Garamond" w:eastAsia="Times New Roman" w:hAnsi="Garamond" w:cs="Times New Roman"/>
                <w:color w:val="000000"/>
                <w:lang w:eastAsia="zh-CN"/>
              </w:rPr>
            </w:pPr>
          </w:p>
        </w:tc>
        <w:tc>
          <w:tcPr>
            <w:tcW w:w="1769" w:type="dxa"/>
            <w:tcBorders>
              <w:top w:val="nil"/>
              <w:left w:val="nil"/>
              <w:bottom w:val="nil"/>
              <w:right w:val="nil"/>
            </w:tcBorders>
            <w:shd w:val="clear" w:color="auto" w:fill="auto"/>
            <w:noWrap/>
            <w:vAlign w:val="bottom"/>
            <w:hideMark/>
          </w:tcPr>
          <w:p w14:paraId="3629EB43"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Grey's Inn </w:t>
            </w:r>
          </w:p>
        </w:tc>
        <w:tc>
          <w:tcPr>
            <w:tcW w:w="478" w:type="dxa"/>
            <w:tcBorders>
              <w:top w:val="nil"/>
              <w:left w:val="nil"/>
              <w:bottom w:val="nil"/>
              <w:right w:val="nil"/>
            </w:tcBorders>
            <w:shd w:val="clear" w:color="auto" w:fill="auto"/>
            <w:noWrap/>
            <w:vAlign w:val="bottom"/>
            <w:hideMark/>
          </w:tcPr>
          <w:p w14:paraId="01334595"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4</w:t>
            </w:r>
          </w:p>
        </w:tc>
      </w:tr>
      <w:tr w:rsidR="00162224" w:rsidRPr="003037D2" w14:paraId="56ECCAF6" w14:textId="77777777" w:rsidTr="00162224">
        <w:trPr>
          <w:trHeight w:val="280"/>
        </w:trPr>
        <w:tc>
          <w:tcPr>
            <w:tcW w:w="1769" w:type="dxa"/>
            <w:tcBorders>
              <w:top w:val="nil"/>
              <w:left w:val="nil"/>
              <w:bottom w:val="nil"/>
              <w:right w:val="nil"/>
            </w:tcBorders>
            <w:shd w:val="clear" w:color="auto" w:fill="auto"/>
            <w:noWrap/>
            <w:vAlign w:val="bottom"/>
            <w:hideMark/>
          </w:tcPr>
          <w:p w14:paraId="6DCC7E7E" w14:textId="77777777" w:rsidR="00162224" w:rsidRPr="003037D2" w:rsidRDefault="00162224" w:rsidP="00162224">
            <w:pPr>
              <w:jc w:val="right"/>
              <w:rPr>
                <w:rFonts w:ascii="Garamond" w:eastAsia="Times New Roman" w:hAnsi="Garamond" w:cs="Times New Roman"/>
                <w:color w:val="000000"/>
                <w:lang w:eastAsia="zh-CN"/>
              </w:rPr>
            </w:pPr>
          </w:p>
        </w:tc>
        <w:tc>
          <w:tcPr>
            <w:tcW w:w="478" w:type="dxa"/>
            <w:tcBorders>
              <w:top w:val="nil"/>
              <w:left w:val="nil"/>
              <w:bottom w:val="nil"/>
              <w:right w:val="nil"/>
            </w:tcBorders>
            <w:shd w:val="clear" w:color="auto" w:fill="auto"/>
            <w:noWrap/>
            <w:vAlign w:val="bottom"/>
            <w:hideMark/>
          </w:tcPr>
          <w:p w14:paraId="591D8D7D" w14:textId="77777777" w:rsidR="00162224" w:rsidRPr="003037D2" w:rsidRDefault="00162224" w:rsidP="00162224">
            <w:pPr>
              <w:rPr>
                <w:rFonts w:ascii="Garamond" w:eastAsia="Times New Roman" w:hAnsi="Garamond" w:cs="Times New Roman"/>
                <w:sz w:val="20"/>
                <w:szCs w:val="20"/>
                <w:lang w:eastAsia="zh-CN"/>
              </w:rPr>
            </w:pPr>
          </w:p>
        </w:tc>
        <w:tc>
          <w:tcPr>
            <w:tcW w:w="1436" w:type="dxa"/>
            <w:tcBorders>
              <w:top w:val="nil"/>
              <w:left w:val="nil"/>
              <w:bottom w:val="nil"/>
              <w:right w:val="nil"/>
            </w:tcBorders>
            <w:shd w:val="clear" w:color="auto" w:fill="auto"/>
            <w:noWrap/>
            <w:vAlign w:val="bottom"/>
            <w:hideMark/>
          </w:tcPr>
          <w:p w14:paraId="5DC9D13F" w14:textId="77777777" w:rsidR="00162224" w:rsidRPr="003037D2" w:rsidRDefault="00162224" w:rsidP="00162224">
            <w:pPr>
              <w:rPr>
                <w:rFonts w:ascii="Garamond" w:eastAsia="Times New Roman" w:hAnsi="Garamond" w:cs="Times New Roman"/>
                <w:sz w:val="20"/>
                <w:szCs w:val="20"/>
                <w:lang w:eastAsia="zh-CN"/>
              </w:rPr>
            </w:pPr>
          </w:p>
        </w:tc>
        <w:tc>
          <w:tcPr>
            <w:tcW w:w="1769" w:type="dxa"/>
            <w:tcBorders>
              <w:top w:val="nil"/>
              <w:left w:val="nil"/>
              <w:bottom w:val="nil"/>
              <w:right w:val="nil"/>
            </w:tcBorders>
            <w:shd w:val="clear" w:color="auto" w:fill="auto"/>
            <w:noWrap/>
            <w:vAlign w:val="bottom"/>
            <w:hideMark/>
          </w:tcPr>
          <w:p w14:paraId="226D39C0"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House of Commons </w:t>
            </w:r>
          </w:p>
        </w:tc>
        <w:tc>
          <w:tcPr>
            <w:tcW w:w="478" w:type="dxa"/>
            <w:tcBorders>
              <w:top w:val="nil"/>
              <w:left w:val="nil"/>
              <w:bottom w:val="nil"/>
              <w:right w:val="nil"/>
            </w:tcBorders>
            <w:shd w:val="clear" w:color="auto" w:fill="auto"/>
            <w:noWrap/>
            <w:vAlign w:val="bottom"/>
            <w:hideMark/>
          </w:tcPr>
          <w:p w14:paraId="534D48C0"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31</w:t>
            </w:r>
          </w:p>
        </w:tc>
      </w:tr>
      <w:tr w:rsidR="00162224" w:rsidRPr="003037D2" w14:paraId="3335FD05" w14:textId="77777777" w:rsidTr="00162224">
        <w:trPr>
          <w:trHeight w:val="294"/>
        </w:trPr>
        <w:tc>
          <w:tcPr>
            <w:tcW w:w="1769" w:type="dxa"/>
            <w:tcBorders>
              <w:top w:val="single" w:sz="4" w:space="0" w:color="4472C4"/>
              <w:left w:val="nil"/>
              <w:bottom w:val="double" w:sz="6" w:space="0" w:color="4472C4"/>
              <w:right w:val="nil"/>
            </w:tcBorders>
            <w:shd w:val="clear" w:color="000000" w:fill="D9E1F2"/>
            <w:noWrap/>
            <w:vAlign w:val="bottom"/>
            <w:hideMark/>
          </w:tcPr>
          <w:p w14:paraId="553317B5" w14:textId="77777777" w:rsidR="00162224" w:rsidRPr="003037D2" w:rsidRDefault="00162224" w:rsidP="00162224">
            <w:pPr>
              <w:rPr>
                <w:rFonts w:ascii="Garamond" w:eastAsia="Times New Roman" w:hAnsi="Garamond" w:cs="Times New Roman"/>
                <w:b/>
                <w:bCs/>
                <w:color w:val="000000"/>
                <w:lang w:eastAsia="zh-CN"/>
              </w:rPr>
            </w:pPr>
            <w:r w:rsidRPr="003037D2">
              <w:rPr>
                <w:rFonts w:ascii="Garamond" w:eastAsia="Times New Roman" w:hAnsi="Garamond" w:cs="Times New Roman"/>
                <w:b/>
                <w:bCs/>
                <w:color w:val="000000"/>
                <w:lang w:eastAsia="zh-CN"/>
              </w:rPr>
              <w:t xml:space="preserve">Court </w:t>
            </w:r>
          </w:p>
        </w:tc>
        <w:tc>
          <w:tcPr>
            <w:tcW w:w="478" w:type="dxa"/>
            <w:tcBorders>
              <w:top w:val="single" w:sz="4" w:space="0" w:color="4472C4"/>
              <w:left w:val="nil"/>
              <w:bottom w:val="double" w:sz="6" w:space="0" w:color="4472C4"/>
              <w:right w:val="nil"/>
            </w:tcBorders>
            <w:shd w:val="clear" w:color="000000" w:fill="D9E1F2"/>
            <w:noWrap/>
            <w:vAlign w:val="bottom"/>
            <w:hideMark/>
          </w:tcPr>
          <w:p w14:paraId="24215A84" w14:textId="77777777" w:rsidR="00162224" w:rsidRPr="003037D2" w:rsidRDefault="00162224" w:rsidP="00162224">
            <w:pPr>
              <w:jc w:val="right"/>
              <w:rPr>
                <w:rFonts w:ascii="Garamond" w:eastAsia="Times New Roman" w:hAnsi="Garamond" w:cs="Times New Roman"/>
                <w:b/>
                <w:bCs/>
                <w:color w:val="000000"/>
                <w:lang w:eastAsia="zh-CN"/>
              </w:rPr>
            </w:pPr>
            <w:r w:rsidRPr="003037D2">
              <w:rPr>
                <w:rFonts w:ascii="Garamond" w:eastAsia="Times New Roman" w:hAnsi="Garamond" w:cs="Times New Roman"/>
                <w:b/>
                <w:bCs/>
                <w:color w:val="000000"/>
                <w:lang w:eastAsia="zh-CN"/>
              </w:rPr>
              <w:t>80</w:t>
            </w:r>
          </w:p>
        </w:tc>
        <w:tc>
          <w:tcPr>
            <w:tcW w:w="1436" w:type="dxa"/>
            <w:tcBorders>
              <w:top w:val="nil"/>
              <w:left w:val="nil"/>
              <w:bottom w:val="nil"/>
              <w:right w:val="nil"/>
            </w:tcBorders>
            <w:shd w:val="clear" w:color="auto" w:fill="auto"/>
            <w:noWrap/>
            <w:vAlign w:val="bottom"/>
            <w:hideMark/>
          </w:tcPr>
          <w:p w14:paraId="2E9A32AD" w14:textId="77777777" w:rsidR="00162224" w:rsidRPr="003037D2" w:rsidRDefault="00162224" w:rsidP="00162224">
            <w:pPr>
              <w:jc w:val="right"/>
              <w:rPr>
                <w:rFonts w:ascii="Garamond" w:eastAsia="Times New Roman" w:hAnsi="Garamond" w:cs="Times New Roman"/>
                <w:b/>
                <w:bCs/>
                <w:color w:val="000000"/>
                <w:lang w:eastAsia="zh-CN"/>
              </w:rPr>
            </w:pPr>
          </w:p>
        </w:tc>
        <w:tc>
          <w:tcPr>
            <w:tcW w:w="1769" w:type="dxa"/>
            <w:tcBorders>
              <w:top w:val="nil"/>
              <w:left w:val="nil"/>
              <w:bottom w:val="nil"/>
              <w:right w:val="nil"/>
            </w:tcBorders>
            <w:shd w:val="clear" w:color="auto" w:fill="auto"/>
            <w:noWrap/>
            <w:vAlign w:val="bottom"/>
            <w:hideMark/>
          </w:tcPr>
          <w:p w14:paraId="6C96DD94"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House of Parliament </w:t>
            </w:r>
          </w:p>
        </w:tc>
        <w:tc>
          <w:tcPr>
            <w:tcW w:w="478" w:type="dxa"/>
            <w:tcBorders>
              <w:top w:val="nil"/>
              <w:left w:val="nil"/>
              <w:bottom w:val="nil"/>
              <w:right w:val="nil"/>
            </w:tcBorders>
            <w:shd w:val="clear" w:color="auto" w:fill="auto"/>
            <w:noWrap/>
            <w:vAlign w:val="bottom"/>
            <w:hideMark/>
          </w:tcPr>
          <w:p w14:paraId="72BF6296"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9</w:t>
            </w:r>
          </w:p>
        </w:tc>
      </w:tr>
      <w:tr w:rsidR="00162224" w:rsidRPr="003037D2" w14:paraId="102EBFBB" w14:textId="77777777" w:rsidTr="00162224">
        <w:trPr>
          <w:trHeight w:val="294"/>
        </w:trPr>
        <w:tc>
          <w:tcPr>
            <w:tcW w:w="1769" w:type="dxa"/>
            <w:tcBorders>
              <w:top w:val="nil"/>
              <w:left w:val="nil"/>
              <w:bottom w:val="nil"/>
              <w:right w:val="nil"/>
            </w:tcBorders>
            <w:shd w:val="clear" w:color="000000" w:fill="D9E1F2"/>
            <w:noWrap/>
            <w:vAlign w:val="bottom"/>
            <w:hideMark/>
          </w:tcPr>
          <w:p w14:paraId="39386B47"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unspecified </w:t>
            </w:r>
          </w:p>
        </w:tc>
        <w:tc>
          <w:tcPr>
            <w:tcW w:w="478" w:type="dxa"/>
            <w:tcBorders>
              <w:top w:val="nil"/>
              <w:left w:val="nil"/>
              <w:bottom w:val="nil"/>
              <w:right w:val="nil"/>
            </w:tcBorders>
            <w:shd w:val="clear" w:color="000000" w:fill="D9E1F2"/>
            <w:noWrap/>
            <w:vAlign w:val="bottom"/>
            <w:hideMark/>
          </w:tcPr>
          <w:p w14:paraId="4478610E"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19</w:t>
            </w:r>
          </w:p>
        </w:tc>
        <w:tc>
          <w:tcPr>
            <w:tcW w:w="1436" w:type="dxa"/>
            <w:tcBorders>
              <w:top w:val="nil"/>
              <w:left w:val="nil"/>
              <w:bottom w:val="nil"/>
              <w:right w:val="nil"/>
            </w:tcBorders>
            <w:shd w:val="clear" w:color="auto" w:fill="auto"/>
            <w:noWrap/>
            <w:vAlign w:val="bottom"/>
            <w:hideMark/>
          </w:tcPr>
          <w:p w14:paraId="59301CE4" w14:textId="77777777" w:rsidR="00162224" w:rsidRPr="003037D2" w:rsidRDefault="00162224" w:rsidP="00162224">
            <w:pPr>
              <w:jc w:val="right"/>
              <w:rPr>
                <w:rFonts w:ascii="Garamond" w:eastAsia="Times New Roman" w:hAnsi="Garamond" w:cs="Times New Roman"/>
                <w:color w:val="000000"/>
                <w:lang w:eastAsia="zh-CN"/>
              </w:rPr>
            </w:pPr>
          </w:p>
        </w:tc>
        <w:tc>
          <w:tcPr>
            <w:tcW w:w="1769" w:type="dxa"/>
            <w:tcBorders>
              <w:top w:val="nil"/>
              <w:left w:val="nil"/>
              <w:bottom w:val="nil"/>
              <w:right w:val="nil"/>
            </w:tcBorders>
            <w:shd w:val="clear" w:color="auto" w:fill="auto"/>
            <w:noWrap/>
            <w:vAlign w:val="bottom"/>
            <w:hideMark/>
          </w:tcPr>
          <w:p w14:paraId="25D1499F"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Lincoln's Inn</w:t>
            </w:r>
          </w:p>
        </w:tc>
        <w:tc>
          <w:tcPr>
            <w:tcW w:w="478" w:type="dxa"/>
            <w:tcBorders>
              <w:top w:val="nil"/>
              <w:left w:val="nil"/>
              <w:bottom w:val="nil"/>
              <w:right w:val="nil"/>
            </w:tcBorders>
            <w:shd w:val="clear" w:color="auto" w:fill="auto"/>
            <w:noWrap/>
            <w:vAlign w:val="bottom"/>
            <w:hideMark/>
          </w:tcPr>
          <w:p w14:paraId="690216BA"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6</w:t>
            </w:r>
          </w:p>
        </w:tc>
      </w:tr>
      <w:tr w:rsidR="00162224" w:rsidRPr="003037D2" w14:paraId="08F492B9" w14:textId="77777777" w:rsidTr="00162224">
        <w:trPr>
          <w:trHeight w:val="280"/>
        </w:trPr>
        <w:tc>
          <w:tcPr>
            <w:tcW w:w="1769" w:type="dxa"/>
            <w:tcBorders>
              <w:top w:val="nil"/>
              <w:left w:val="nil"/>
              <w:bottom w:val="nil"/>
              <w:right w:val="nil"/>
            </w:tcBorders>
            <w:shd w:val="clear" w:color="000000" w:fill="D9E1F2"/>
            <w:noWrap/>
            <w:vAlign w:val="bottom"/>
            <w:hideMark/>
          </w:tcPr>
          <w:p w14:paraId="6C7E1A75"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Castle</w:t>
            </w:r>
          </w:p>
        </w:tc>
        <w:tc>
          <w:tcPr>
            <w:tcW w:w="478" w:type="dxa"/>
            <w:tcBorders>
              <w:top w:val="nil"/>
              <w:left w:val="nil"/>
              <w:bottom w:val="nil"/>
              <w:right w:val="nil"/>
            </w:tcBorders>
            <w:shd w:val="clear" w:color="000000" w:fill="D9E1F2"/>
            <w:noWrap/>
            <w:vAlign w:val="bottom"/>
            <w:hideMark/>
          </w:tcPr>
          <w:p w14:paraId="3CC9FD2E"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2</w:t>
            </w:r>
          </w:p>
        </w:tc>
        <w:tc>
          <w:tcPr>
            <w:tcW w:w="1436" w:type="dxa"/>
            <w:tcBorders>
              <w:top w:val="nil"/>
              <w:left w:val="nil"/>
              <w:bottom w:val="nil"/>
              <w:right w:val="nil"/>
            </w:tcBorders>
            <w:shd w:val="clear" w:color="auto" w:fill="auto"/>
            <w:noWrap/>
            <w:vAlign w:val="bottom"/>
            <w:hideMark/>
          </w:tcPr>
          <w:p w14:paraId="2C029F29" w14:textId="77777777" w:rsidR="00162224" w:rsidRPr="003037D2" w:rsidRDefault="00162224" w:rsidP="00162224">
            <w:pPr>
              <w:jc w:val="right"/>
              <w:rPr>
                <w:rFonts w:ascii="Garamond" w:eastAsia="Times New Roman" w:hAnsi="Garamond" w:cs="Times New Roman"/>
                <w:color w:val="000000"/>
                <w:lang w:eastAsia="zh-CN"/>
              </w:rPr>
            </w:pPr>
          </w:p>
        </w:tc>
        <w:tc>
          <w:tcPr>
            <w:tcW w:w="1769" w:type="dxa"/>
            <w:tcBorders>
              <w:top w:val="nil"/>
              <w:left w:val="nil"/>
              <w:bottom w:val="nil"/>
              <w:right w:val="nil"/>
            </w:tcBorders>
            <w:shd w:val="clear" w:color="auto" w:fill="auto"/>
            <w:noWrap/>
            <w:vAlign w:val="bottom"/>
            <w:hideMark/>
          </w:tcPr>
          <w:p w14:paraId="7BA0AC60"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Old Baily </w:t>
            </w:r>
          </w:p>
        </w:tc>
        <w:tc>
          <w:tcPr>
            <w:tcW w:w="478" w:type="dxa"/>
            <w:tcBorders>
              <w:top w:val="nil"/>
              <w:left w:val="nil"/>
              <w:bottom w:val="nil"/>
              <w:right w:val="nil"/>
            </w:tcBorders>
            <w:shd w:val="clear" w:color="auto" w:fill="auto"/>
            <w:noWrap/>
            <w:vAlign w:val="bottom"/>
            <w:hideMark/>
          </w:tcPr>
          <w:p w14:paraId="5E01DFD3"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1</w:t>
            </w:r>
          </w:p>
        </w:tc>
      </w:tr>
      <w:tr w:rsidR="00162224" w:rsidRPr="003037D2" w14:paraId="282CFB37" w14:textId="77777777" w:rsidTr="00162224">
        <w:trPr>
          <w:trHeight w:val="280"/>
        </w:trPr>
        <w:tc>
          <w:tcPr>
            <w:tcW w:w="1769" w:type="dxa"/>
            <w:tcBorders>
              <w:top w:val="nil"/>
              <w:left w:val="nil"/>
              <w:bottom w:val="nil"/>
              <w:right w:val="nil"/>
            </w:tcBorders>
            <w:shd w:val="clear" w:color="000000" w:fill="D9E1F2"/>
            <w:noWrap/>
            <w:vAlign w:val="bottom"/>
            <w:hideMark/>
          </w:tcPr>
          <w:p w14:paraId="29AD7A5B"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Denmark House </w:t>
            </w:r>
          </w:p>
        </w:tc>
        <w:tc>
          <w:tcPr>
            <w:tcW w:w="478" w:type="dxa"/>
            <w:tcBorders>
              <w:top w:val="nil"/>
              <w:left w:val="nil"/>
              <w:bottom w:val="nil"/>
              <w:right w:val="nil"/>
            </w:tcBorders>
            <w:shd w:val="clear" w:color="000000" w:fill="D9E1F2"/>
            <w:noWrap/>
            <w:vAlign w:val="bottom"/>
            <w:hideMark/>
          </w:tcPr>
          <w:p w14:paraId="7F3BC2E8"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1</w:t>
            </w:r>
          </w:p>
        </w:tc>
        <w:tc>
          <w:tcPr>
            <w:tcW w:w="1436" w:type="dxa"/>
            <w:tcBorders>
              <w:top w:val="nil"/>
              <w:left w:val="nil"/>
              <w:bottom w:val="nil"/>
              <w:right w:val="nil"/>
            </w:tcBorders>
            <w:shd w:val="clear" w:color="auto" w:fill="auto"/>
            <w:noWrap/>
            <w:vAlign w:val="bottom"/>
            <w:hideMark/>
          </w:tcPr>
          <w:p w14:paraId="32B133EB" w14:textId="77777777" w:rsidR="00162224" w:rsidRPr="003037D2" w:rsidRDefault="00162224" w:rsidP="00162224">
            <w:pPr>
              <w:jc w:val="right"/>
              <w:rPr>
                <w:rFonts w:ascii="Garamond" w:eastAsia="Times New Roman" w:hAnsi="Garamond" w:cs="Times New Roman"/>
                <w:color w:val="000000"/>
                <w:lang w:eastAsia="zh-CN"/>
              </w:rPr>
            </w:pPr>
          </w:p>
        </w:tc>
        <w:tc>
          <w:tcPr>
            <w:tcW w:w="1769" w:type="dxa"/>
            <w:tcBorders>
              <w:top w:val="nil"/>
              <w:left w:val="nil"/>
              <w:bottom w:val="nil"/>
              <w:right w:val="nil"/>
            </w:tcBorders>
            <w:shd w:val="clear" w:color="auto" w:fill="auto"/>
            <w:noWrap/>
            <w:vAlign w:val="bottom"/>
            <w:hideMark/>
          </w:tcPr>
          <w:p w14:paraId="53219F1A"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Prison </w:t>
            </w:r>
          </w:p>
        </w:tc>
        <w:tc>
          <w:tcPr>
            <w:tcW w:w="478" w:type="dxa"/>
            <w:tcBorders>
              <w:top w:val="nil"/>
              <w:left w:val="nil"/>
              <w:bottom w:val="nil"/>
              <w:right w:val="nil"/>
            </w:tcBorders>
            <w:shd w:val="clear" w:color="auto" w:fill="auto"/>
            <w:noWrap/>
            <w:vAlign w:val="bottom"/>
            <w:hideMark/>
          </w:tcPr>
          <w:p w14:paraId="4BE19564"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5</w:t>
            </w:r>
          </w:p>
        </w:tc>
      </w:tr>
      <w:tr w:rsidR="00162224" w:rsidRPr="003037D2" w14:paraId="44C1A3C9" w14:textId="77777777" w:rsidTr="00162224">
        <w:trPr>
          <w:trHeight w:val="280"/>
        </w:trPr>
        <w:tc>
          <w:tcPr>
            <w:tcW w:w="1769" w:type="dxa"/>
            <w:tcBorders>
              <w:top w:val="nil"/>
              <w:left w:val="nil"/>
              <w:bottom w:val="nil"/>
              <w:right w:val="nil"/>
            </w:tcBorders>
            <w:shd w:val="clear" w:color="000000" w:fill="D9E1F2"/>
            <w:noWrap/>
            <w:vAlign w:val="bottom"/>
            <w:hideMark/>
          </w:tcPr>
          <w:p w14:paraId="60AE374F"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East Hampstead </w:t>
            </w:r>
          </w:p>
        </w:tc>
        <w:tc>
          <w:tcPr>
            <w:tcW w:w="478" w:type="dxa"/>
            <w:tcBorders>
              <w:top w:val="nil"/>
              <w:left w:val="nil"/>
              <w:bottom w:val="nil"/>
              <w:right w:val="nil"/>
            </w:tcBorders>
            <w:shd w:val="clear" w:color="000000" w:fill="D9E1F2"/>
            <w:noWrap/>
            <w:vAlign w:val="bottom"/>
            <w:hideMark/>
          </w:tcPr>
          <w:p w14:paraId="168CB2BC"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1</w:t>
            </w:r>
          </w:p>
        </w:tc>
        <w:tc>
          <w:tcPr>
            <w:tcW w:w="1436" w:type="dxa"/>
            <w:tcBorders>
              <w:top w:val="nil"/>
              <w:left w:val="nil"/>
              <w:bottom w:val="nil"/>
              <w:right w:val="nil"/>
            </w:tcBorders>
            <w:shd w:val="clear" w:color="auto" w:fill="auto"/>
            <w:noWrap/>
            <w:vAlign w:val="bottom"/>
            <w:hideMark/>
          </w:tcPr>
          <w:p w14:paraId="2EB19264" w14:textId="77777777" w:rsidR="00162224" w:rsidRPr="003037D2" w:rsidRDefault="00162224" w:rsidP="00162224">
            <w:pPr>
              <w:jc w:val="right"/>
              <w:rPr>
                <w:rFonts w:ascii="Garamond" w:eastAsia="Times New Roman" w:hAnsi="Garamond" w:cs="Times New Roman"/>
                <w:color w:val="000000"/>
                <w:lang w:eastAsia="zh-CN"/>
              </w:rPr>
            </w:pPr>
          </w:p>
        </w:tc>
        <w:tc>
          <w:tcPr>
            <w:tcW w:w="1769" w:type="dxa"/>
            <w:tcBorders>
              <w:top w:val="nil"/>
              <w:left w:val="nil"/>
              <w:bottom w:val="nil"/>
              <w:right w:val="nil"/>
            </w:tcBorders>
            <w:shd w:val="clear" w:color="auto" w:fill="auto"/>
            <w:noWrap/>
            <w:vAlign w:val="bottom"/>
            <w:hideMark/>
          </w:tcPr>
          <w:p w14:paraId="6D49D3BA"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Tower of London </w:t>
            </w:r>
          </w:p>
        </w:tc>
        <w:tc>
          <w:tcPr>
            <w:tcW w:w="478" w:type="dxa"/>
            <w:tcBorders>
              <w:top w:val="nil"/>
              <w:left w:val="nil"/>
              <w:bottom w:val="nil"/>
              <w:right w:val="nil"/>
            </w:tcBorders>
            <w:shd w:val="clear" w:color="auto" w:fill="auto"/>
            <w:noWrap/>
            <w:vAlign w:val="bottom"/>
            <w:hideMark/>
          </w:tcPr>
          <w:p w14:paraId="444C78C3"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2</w:t>
            </w:r>
          </w:p>
        </w:tc>
      </w:tr>
      <w:tr w:rsidR="00162224" w:rsidRPr="003037D2" w14:paraId="565B0507" w14:textId="77777777" w:rsidTr="00162224">
        <w:trPr>
          <w:trHeight w:val="280"/>
        </w:trPr>
        <w:tc>
          <w:tcPr>
            <w:tcW w:w="1769" w:type="dxa"/>
            <w:tcBorders>
              <w:top w:val="nil"/>
              <w:left w:val="nil"/>
              <w:bottom w:val="nil"/>
              <w:right w:val="nil"/>
            </w:tcBorders>
            <w:shd w:val="clear" w:color="000000" w:fill="D9E1F2"/>
            <w:noWrap/>
            <w:vAlign w:val="bottom"/>
            <w:hideMark/>
          </w:tcPr>
          <w:p w14:paraId="53B532C8"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Greenwich </w:t>
            </w:r>
          </w:p>
        </w:tc>
        <w:tc>
          <w:tcPr>
            <w:tcW w:w="478" w:type="dxa"/>
            <w:tcBorders>
              <w:top w:val="nil"/>
              <w:left w:val="nil"/>
              <w:bottom w:val="nil"/>
              <w:right w:val="nil"/>
            </w:tcBorders>
            <w:shd w:val="clear" w:color="000000" w:fill="D9E1F2"/>
            <w:noWrap/>
            <w:vAlign w:val="bottom"/>
            <w:hideMark/>
          </w:tcPr>
          <w:p w14:paraId="6969F78C"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4</w:t>
            </w:r>
          </w:p>
        </w:tc>
        <w:tc>
          <w:tcPr>
            <w:tcW w:w="1436" w:type="dxa"/>
            <w:tcBorders>
              <w:top w:val="nil"/>
              <w:left w:val="nil"/>
              <w:bottom w:val="nil"/>
              <w:right w:val="nil"/>
            </w:tcBorders>
            <w:shd w:val="clear" w:color="auto" w:fill="auto"/>
            <w:noWrap/>
            <w:vAlign w:val="bottom"/>
            <w:hideMark/>
          </w:tcPr>
          <w:p w14:paraId="214AAE59" w14:textId="77777777" w:rsidR="00162224" w:rsidRPr="003037D2" w:rsidRDefault="00162224" w:rsidP="00162224">
            <w:pPr>
              <w:jc w:val="right"/>
              <w:rPr>
                <w:rFonts w:ascii="Garamond" w:eastAsia="Times New Roman" w:hAnsi="Garamond" w:cs="Times New Roman"/>
                <w:color w:val="000000"/>
                <w:lang w:eastAsia="zh-CN"/>
              </w:rPr>
            </w:pPr>
          </w:p>
        </w:tc>
        <w:tc>
          <w:tcPr>
            <w:tcW w:w="1769" w:type="dxa"/>
            <w:tcBorders>
              <w:top w:val="nil"/>
              <w:left w:val="nil"/>
              <w:bottom w:val="nil"/>
              <w:right w:val="nil"/>
            </w:tcBorders>
            <w:shd w:val="clear" w:color="auto" w:fill="auto"/>
            <w:noWrap/>
            <w:vAlign w:val="bottom"/>
            <w:hideMark/>
          </w:tcPr>
          <w:p w14:paraId="490F42CE"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Serjeants' Inn</w:t>
            </w:r>
          </w:p>
        </w:tc>
        <w:tc>
          <w:tcPr>
            <w:tcW w:w="478" w:type="dxa"/>
            <w:tcBorders>
              <w:top w:val="nil"/>
              <w:left w:val="nil"/>
              <w:bottom w:val="nil"/>
              <w:right w:val="nil"/>
            </w:tcBorders>
            <w:shd w:val="clear" w:color="auto" w:fill="auto"/>
            <w:noWrap/>
            <w:vAlign w:val="bottom"/>
            <w:hideMark/>
          </w:tcPr>
          <w:p w14:paraId="6982B4B2"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1</w:t>
            </w:r>
          </w:p>
        </w:tc>
      </w:tr>
      <w:tr w:rsidR="00162224" w:rsidRPr="003037D2" w14:paraId="50458577" w14:textId="77777777" w:rsidTr="00162224">
        <w:trPr>
          <w:trHeight w:val="280"/>
        </w:trPr>
        <w:tc>
          <w:tcPr>
            <w:tcW w:w="1769" w:type="dxa"/>
            <w:tcBorders>
              <w:top w:val="nil"/>
              <w:left w:val="nil"/>
              <w:bottom w:val="nil"/>
              <w:right w:val="nil"/>
            </w:tcBorders>
            <w:shd w:val="clear" w:color="000000" w:fill="D9E1F2"/>
            <w:noWrap/>
            <w:vAlign w:val="bottom"/>
            <w:hideMark/>
          </w:tcPr>
          <w:p w14:paraId="7CDCBAC0"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Hampton Court </w:t>
            </w:r>
          </w:p>
        </w:tc>
        <w:tc>
          <w:tcPr>
            <w:tcW w:w="478" w:type="dxa"/>
            <w:tcBorders>
              <w:top w:val="nil"/>
              <w:left w:val="nil"/>
              <w:bottom w:val="nil"/>
              <w:right w:val="nil"/>
            </w:tcBorders>
            <w:shd w:val="clear" w:color="000000" w:fill="D9E1F2"/>
            <w:noWrap/>
            <w:vAlign w:val="bottom"/>
            <w:hideMark/>
          </w:tcPr>
          <w:p w14:paraId="3AF55674"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1</w:t>
            </w:r>
          </w:p>
        </w:tc>
        <w:tc>
          <w:tcPr>
            <w:tcW w:w="1436" w:type="dxa"/>
            <w:tcBorders>
              <w:top w:val="nil"/>
              <w:left w:val="nil"/>
              <w:bottom w:val="nil"/>
              <w:right w:val="nil"/>
            </w:tcBorders>
            <w:shd w:val="clear" w:color="auto" w:fill="auto"/>
            <w:noWrap/>
            <w:vAlign w:val="bottom"/>
            <w:hideMark/>
          </w:tcPr>
          <w:p w14:paraId="71027FF9" w14:textId="77777777" w:rsidR="00162224" w:rsidRPr="003037D2" w:rsidRDefault="00162224" w:rsidP="00162224">
            <w:pPr>
              <w:jc w:val="right"/>
              <w:rPr>
                <w:rFonts w:ascii="Garamond" w:eastAsia="Times New Roman" w:hAnsi="Garamond" w:cs="Times New Roman"/>
                <w:color w:val="000000"/>
                <w:lang w:eastAsia="zh-CN"/>
              </w:rPr>
            </w:pPr>
          </w:p>
        </w:tc>
        <w:tc>
          <w:tcPr>
            <w:tcW w:w="1769" w:type="dxa"/>
            <w:tcBorders>
              <w:top w:val="nil"/>
              <w:left w:val="nil"/>
              <w:bottom w:val="nil"/>
              <w:right w:val="nil"/>
            </w:tcBorders>
            <w:shd w:val="clear" w:color="auto" w:fill="auto"/>
            <w:noWrap/>
            <w:vAlign w:val="bottom"/>
            <w:hideMark/>
          </w:tcPr>
          <w:p w14:paraId="07F45983" w14:textId="77777777" w:rsidR="00162224" w:rsidRPr="003037D2" w:rsidRDefault="00162224" w:rsidP="00162224">
            <w:pPr>
              <w:rPr>
                <w:rFonts w:ascii="Garamond" w:eastAsia="Times New Roman" w:hAnsi="Garamond" w:cs="Times New Roman"/>
                <w:sz w:val="20"/>
                <w:szCs w:val="20"/>
                <w:lang w:eastAsia="zh-CN"/>
              </w:rPr>
            </w:pPr>
          </w:p>
        </w:tc>
        <w:tc>
          <w:tcPr>
            <w:tcW w:w="478" w:type="dxa"/>
            <w:tcBorders>
              <w:top w:val="nil"/>
              <w:left w:val="nil"/>
              <w:bottom w:val="nil"/>
              <w:right w:val="nil"/>
            </w:tcBorders>
            <w:shd w:val="clear" w:color="auto" w:fill="auto"/>
            <w:noWrap/>
            <w:vAlign w:val="bottom"/>
            <w:hideMark/>
          </w:tcPr>
          <w:p w14:paraId="441AB95A" w14:textId="77777777" w:rsidR="00162224" w:rsidRPr="003037D2" w:rsidRDefault="00162224" w:rsidP="00162224">
            <w:pPr>
              <w:rPr>
                <w:rFonts w:ascii="Garamond" w:eastAsia="Times New Roman" w:hAnsi="Garamond" w:cs="Times New Roman"/>
                <w:sz w:val="20"/>
                <w:szCs w:val="20"/>
                <w:lang w:eastAsia="zh-CN"/>
              </w:rPr>
            </w:pPr>
          </w:p>
        </w:tc>
      </w:tr>
      <w:tr w:rsidR="00162224" w:rsidRPr="003037D2" w14:paraId="3C992C1D" w14:textId="77777777" w:rsidTr="00162224">
        <w:trPr>
          <w:trHeight w:val="294"/>
        </w:trPr>
        <w:tc>
          <w:tcPr>
            <w:tcW w:w="1769" w:type="dxa"/>
            <w:tcBorders>
              <w:top w:val="nil"/>
              <w:left w:val="nil"/>
              <w:bottom w:val="nil"/>
              <w:right w:val="nil"/>
            </w:tcBorders>
            <w:shd w:val="clear" w:color="000000" w:fill="D9E1F2"/>
            <w:noWrap/>
            <w:vAlign w:val="bottom"/>
            <w:hideMark/>
          </w:tcPr>
          <w:p w14:paraId="161E02EB"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Royston </w:t>
            </w:r>
          </w:p>
        </w:tc>
        <w:tc>
          <w:tcPr>
            <w:tcW w:w="478" w:type="dxa"/>
            <w:tcBorders>
              <w:top w:val="nil"/>
              <w:left w:val="nil"/>
              <w:bottom w:val="nil"/>
              <w:right w:val="nil"/>
            </w:tcBorders>
            <w:shd w:val="clear" w:color="000000" w:fill="D9E1F2"/>
            <w:noWrap/>
            <w:vAlign w:val="bottom"/>
            <w:hideMark/>
          </w:tcPr>
          <w:p w14:paraId="1862BF4D"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1</w:t>
            </w:r>
          </w:p>
        </w:tc>
        <w:tc>
          <w:tcPr>
            <w:tcW w:w="1436" w:type="dxa"/>
            <w:tcBorders>
              <w:top w:val="nil"/>
              <w:left w:val="nil"/>
              <w:bottom w:val="nil"/>
              <w:right w:val="nil"/>
            </w:tcBorders>
            <w:shd w:val="clear" w:color="auto" w:fill="auto"/>
            <w:noWrap/>
            <w:vAlign w:val="bottom"/>
            <w:hideMark/>
          </w:tcPr>
          <w:p w14:paraId="1F519CDB" w14:textId="77777777" w:rsidR="00162224" w:rsidRPr="003037D2" w:rsidRDefault="00162224" w:rsidP="00162224">
            <w:pPr>
              <w:jc w:val="right"/>
              <w:rPr>
                <w:rFonts w:ascii="Garamond" w:eastAsia="Times New Roman" w:hAnsi="Garamond" w:cs="Times New Roman"/>
                <w:color w:val="000000"/>
                <w:lang w:eastAsia="zh-CN"/>
              </w:rPr>
            </w:pPr>
          </w:p>
        </w:tc>
        <w:tc>
          <w:tcPr>
            <w:tcW w:w="1769" w:type="dxa"/>
            <w:tcBorders>
              <w:top w:val="single" w:sz="4" w:space="0" w:color="4472C4"/>
              <w:left w:val="nil"/>
              <w:bottom w:val="double" w:sz="6" w:space="0" w:color="4472C4"/>
              <w:right w:val="nil"/>
            </w:tcBorders>
            <w:shd w:val="clear" w:color="000000" w:fill="D9E1F2"/>
            <w:noWrap/>
            <w:vAlign w:val="bottom"/>
            <w:hideMark/>
          </w:tcPr>
          <w:p w14:paraId="18FB33A9" w14:textId="77777777" w:rsidR="00162224" w:rsidRPr="003037D2" w:rsidRDefault="00162224" w:rsidP="00162224">
            <w:pPr>
              <w:rPr>
                <w:rFonts w:ascii="Garamond" w:eastAsia="Times New Roman" w:hAnsi="Garamond" w:cs="Times New Roman"/>
                <w:b/>
                <w:bCs/>
                <w:color w:val="000000"/>
                <w:lang w:eastAsia="zh-CN"/>
              </w:rPr>
            </w:pPr>
            <w:r w:rsidRPr="003037D2">
              <w:rPr>
                <w:rFonts w:ascii="Garamond" w:eastAsia="Times New Roman" w:hAnsi="Garamond" w:cs="Times New Roman"/>
                <w:b/>
                <w:bCs/>
                <w:color w:val="000000"/>
                <w:lang w:eastAsia="zh-CN"/>
              </w:rPr>
              <w:t xml:space="preserve">Civic </w:t>
            </w:r>
          </w:p>
        </w:tc>
        <w:tc>
          <w:tcPr>
            <w:tcW w:w="478" w:type="dxa"/>
            <w:tcBorders>
              <w:top w:val="single" w:sz="4" w:space="0" w:color="4472C4"/>
              <w:left w:val="nil"/>
              <w:bottom w:val="double" w:sz="6" w:space="0" w:color="4472C4"/>
              <w:right w:val="nil"/>
            </w:tcBorders>
            <w:shd w:val="clear" w:color="000000" w:fill="D9E1F2"/>
            <w:noWrap/>
            <w:vAlign w:val="bottom"/>
            <w:hideMark/>
          </w:tcPr>
          <w:p w14:paraId="77F99369" w14:textId="77777777" w:rsidR="00162224" w:rsidRPr="003037D2" w:rsidRDefault="00162224" w:rsidP="00162224">
            <w:pPr>
              <w:jc w:val="right"/>
              <w:rPr>
                <w:rFonts w:ascii="Garamond" w:eastAsia="Times New Roman" w:hAnsi="Garamond" w:cs="Times New Roman"/>
                <w:b/>
                <w:bCs/>
                <w:color w:val="000000"/>
                <w:lang w:eastAsia="zh-CN"/>
              </w:rPr>
            </w:pPr>
            <w:r w:rsidRPr="003037D2">
              <w:rPr>
                <w:rFonts w:ascii="Garamond" w:eastAsia="Times New Roman" w:hAnsi="Garamond" w:cs="Times New Roman"/>
                <w:b/>
                <w:bCs/>
                <w:color w:val="000000"/>
                <w:lang w:eastAsia="zh-CN"/>
              </w:rPr>
              <w:t>23</w:t>
            </w:r>
          </w:p>
        </w:tc>
      </w:tr>
      <w:tr w:rsidR="00162224" w:rsidRPr="003037D2" w14:paraId="7B81E7C4" w14:textId="77777777" w:rsidTr="00162224">
        <w:trPr>
          <w:trHeight w:val="294"/>
        </w:trPr>
        <w:tc>
          <w:tcPr>
            <w:tcW w:w="1769" w:type="dxa"/>
            <w:tcBorders>
              <w:top w:val="nil"/>
              <w:left w:val="nil"/>
              <w:bottom w:val="nil"/>
              <w:right w:val="nil"/>
            </w:tcBorders>
            <w:shd w:val="clear" w:color="000000" w:fill="D9E1F2"/>
            <w:noWrap/>
            <w:vAlign w:val="bottom"/>
            <w:hideMark/>
          </w:tcPr>
          <w:p w14:paraId="5B3E2FDF"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Theobalds </w:t>
            </w:r>
          </w:p>
        </w:tc>
        <w:tc>
          <w:tcPr>
            <w:tcW w:w="478" w:type="dxa"/>
            <w:tcBorders>
              <w:top w:val="nil"/>
              <w:left w:val="nil"/>
              <w:bottom w:val="nil"/>
              <w:right w:val="nil"/>
            </w:tcBorders>
            <w:shd w:val="clear" w:color="000000" w:fill="D9E1F2"/>
            <w:noWrap/>
            <w:vAlign w:val="bottom"/>
            <w:hideMark/>
          </w:tcPr>
          <w:p w14:paraId="7BBF67F5"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1</w:t>
            </w:r>
          </w:p>
        </w:tc>
        <w:tc>
          <w:tcPr>
            <w:tcW w:w="1436" w:type="dxa"/>
            <w:tcBorders>
              <w:top w:val="nil"/>
              <w:left w:val="nil"/>
              <w:bottom w:val="nil"/>
              <w:right w:val="nil"/>
            </w:tcBorders>
            <w:shd w:val="clear" w:color="auto" w:fill="auto"/>
            <w:noWrap/>
            <w:vAlign w:val="bottom"/>
            <w:hideMark/>
          </w:tcPr>
          <w:p w14:paraId="79041C0F" w14:textId="77777777" w:rsidR="00162224" w:rsidRPr="003037D2" w:rsidRDefault="00162224" w:rsidP="00162224">
            <w:pPr>
              <w:jc w:val="right"/>
              <w:rPr>
                <w:rFonts w:ascii="Garamond" w:eastAsia="Times New Roman" w:hAnsi="Garamond" w:cs="Times New Roman"/>
                <w:color w:val="000000"/>
                <w:lang w:eastAsia="zh-CN"/>
              </w:rPr>
            </w:pPr>
          </w:p>
        </w:tc>
        <w:tc>
          <w:tcPr>
            <w:tcW w:w="1769" w:type="dxa"/>
            <w:tcBorders>
              <w:top w:val="nil"/>
              <w:left w:val="nil"/>
              <w:bottom w:val="nil"/>
              <w:right w:val="nil"/>
            </w:tcBorders>
            <w:shd w:val="clear" w:color="000000" w:fill="D9E1F2"/>
            <w:noWrap/>
            <w:vAlign w:val="bottom"/>
            <w:hideMark/>
          </w:tcPr>
          <w:p w14:paraId="2DB5679B" w14:textId="77777777" w:rsidR="00162224" w:rsidRPr="003037D2" w:rsidRDefault="00162224" w:rsidP="00162224">
            <w:pPr>
              <w:rPr>
                <w:rFonts w:ascii="Garamond" w:eastAsia="Times New Roman" w:hAnsi="Garamond" w:cs="Times New Roman"/>
                <w:color w:val="000000"/>
                <w:lang w:eastAsia="zh-CN"/>
              </w:rPr>
            </w:pPr>
            <w:proofErr w:type="spellStart"/>
            <w:r w:rsidRPr="003037D2">
              <w:rPr>
                <w:rFonts w:ascii="Garamond" w:eastAsia="Times New Roman" w:hAnsi="Garamond" w:cs="Times New Roman"/>
                <w:color w:val="000000"/>
                <w:lang w:eastAsia="zh-CN"/>
              </w:rPr>
              <w:t>Artillary</w:t>
            </w:r>
            <w:proofErr w:type="spellEnd"/>
            <w:r w:rsidRPr="003037D2">
              <w:rPr>
                <w:rFonts w:ascii="Garamond" w:eastAsia="Times New Roman" w:hAnsi="Garamond" w:cs="Times New Roman"/>
                <w:color w:val="000000"/>
                <w:lang w:eastAsia="zh-CN"/>
              </w:rPr>
              <w:t xml:space="preserve"> Company </w:t>
            </w:r>
          </w:p>
        </w:tc>
        <w:tc>
          <w:tcPr>
            <w:tcW w:w="478" w:type="dxa"/>
            <w:tcBorders>
              <w:top w:val="nil"/>
              <w:left w:val="nil"/>
              <w:bottom w:val="nil"/>
              <w:right w:val="nil"/>
            </w:tcBorders>
            <w:shd w:val="clear" w:color="000000" w:fill="D9E1F2"/>
            <w:noWrap/>
            <w:vAlign w:val="bottom"/>
            <w:hideMark/>
          </w:tcPr>
          <w:p w14:paraId="23547E67"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9</w:t>
            </w:r>
          </w:p>
        </w:tc>
      </w:tr>
      <w:tr w:rsidR="00162224" w:rsidRPr="003037D2" w14:paraId="70AC3F71" w14:textId="77777777" w:rsidTr="00162224">
        <w:trPr>
          <w:trHeight w:val="280"/>
        </w:trPr>
        <w:tc>
          <w:tcPr>
            <w:tcW w:w="1769" w:type="dxa"/>
            <w:tcBorders>
              <w:top w:val="nil"/>
              <w:left w:val="nil"/>
              <w:bottom w:val="nil"/>
              <w:right w:val="nil"/>
            </w:tcBorders>
            <w:shd w:val="clear" w:color="000000" w:fill="D9E1F2"/>
            <w:noWrap/>
            <w:vAlign w:val="bottom"/>
            <w:hideMark/>
          </w:tcPr>
          <w:p w14:paraId="41A54CCE" w14:textId="77777777" w:rsidR="00162224" w:rsidRPr="003037D2" w:rsidRDefault="00162224" w:rsidP="00162224">
            <w:pPr>
              <w:rPr>
                <w:rFonts w:ascii="Garamond" w:eastAsia="Times New Roman" w:hAnsi="Garamond" w:cs="Times New Roman"/>
                <w:color w:val="000000"/>
                <w:lang w:eastAsia="zh-CN"/>
              </w:rPr>
            </w:pPr>
            <w:proofErr w:type="spellStart"/>
            <w:r w:rsidRPr="003037D2">
              <w:rPr>
                <w:rFonts w:ascii="Garamond" w:eastAsia="Times New Roman" w:hAnsi="Garamond" w:cs="Times New Roman"/>
                <w:color w:val="000000"/>
                <w:lang w:eastAsia="zh-CN"/>
              </w:rPr>
              <w:t>Wanstead</w:t>
            </w:r>
            <w:proofErr w:type="spellEnd"/>
          </w:p>
        </w:tc>
        <w:tc>
          <w:tcPr>
            <w:tcW w:w="478" w:type="dxa"/>
            <w:tcBorders>
              <w:top w:val="nil"/>
              <w:left w:val="nil"/>
              <w:bottom w:val="nil"/>
              <w:right w:val="nil"/>
            </w:tcBorders>
            <w:shd w:val="clear" w:color="000000" w:fill="D9E1F2"/>
            <w:noWrap/>
            <w:vAlign w:val="bottom"/>
            <w:hideMark/>
          </w:tcPr>
          <w:p w14:paraId="7D804563"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5</w:t>
            </w:r>
          </w:p>
        </w:tc>
        <w:tc>
          <w:tcPr>
            <w:tcW w:w="1436" w:type="dxa"/>
            <w:tcBorders>
              <w:top w:val="nil"/>
              <w:left w:val="nil"/>
              <w:bottom w:val="nil"/>
              <w:right w:val="nil"/>
            </w:tcBorders>
            <w:shd w:val="clear" w:color="auto" w:fill="auto"/>
            <w:noWrap/>
            <w:vAlign w:val="bottom"/>
            <w:hideMark/>
          </w:tcPr>
          <w:p w14:paraId="3CF2DCE7" w14:textId="77777777" w:rsidR="00162224" w:rsidRPr="003037D2" w:rsidRDefault="00162224" w:rsidP="00162224">
            <w:pPr>
              <w:jc w:val="right"/>
              <w:rPr>
                <w:rFonts w:ascii="Garamond" w:eastAsia="Times New Roman" w:hAnsi="Garamond" w:cs="Times New Roman"/>
                <w:color w:val="000000"/>
                <w:lang w:eastAsia="zh-CN"/>
              </w:rPr>
            </w:pPr>
          </w:p>
        </w:tc>
        <w:tc>
          <w:tcPr>
            <w:tcW w:w="1769" w:type="dxa"/>
            <w:tcBorders>
              <w:top w:val="nil"/>
              <w:left w:val="nil"/>
              <w:bottom w:val="nil"/>
              <w:right w:val="nil"/>
            </w:tcBorders>
            <w:shd w:val="clear" w:color="000000" w:fill="D9E1F2"/>
            <w:noWrap/>
            <w:vAlign w:val="bottom"/>
            <w:hideMark/>
          </w:tcPr>
          <w:p w14:paraId="4C116029"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College</w:t>
            </w:r>
          </w:p>
        </w:tc>
        <w:tc>
          <w:tcPr>
            <w:tcW w:w="478" w:type="dxa"/>
            <w:tcBorders>
              <w:top w:val="nil"/>
              <w:left w:val="nil"/>
              <w:bottom w:val="nil"/>
              <w:right w:val="nil"/>
            </w:tcBorders>
            <w:shd w:val="clear" w:color="000000" w:fill="D9E1F2"/>
            <w:noWrap/>
            <w:vAlign w:val="bottom"/>
            <w:hideMark/>
          </w:tcPr>
          <w:p w14:paraId="51A2E15B"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2</w:t>
            </w:r>
          </w:p>
        </w:tc>
      </w:tr>
      <w:tr w:rsidR="00162224" w:rsidRPr="003037D2" w14:paraId="0C2D1B24" w14:textId="77777777" w:rsidTr="00162224">
        <w:trPr>
          <w:trHeight w:val="280"/>
        </w:trPr>
        <w:tc>
          <w:tcPr>
            <w:tcW w:w="1769" w:type="dxa"/>
            <w:tcBorders>
              <w:top w:val="nil"/>
              <w:left w:val="nil"/>
              <w:bottom w:val="nil"/>
              <w:right w:val="nil"/>
            </w:tcBorders>
            <w:shd w:val="clear" w:color="000000" w:fill="D9E1F2"/>
            <w:noWrap/>
            <w:vAlign w:val="bottom"/>
            <w:hideMark/>
          </w:tcPr>
          <w:p w14:paraId="1B0AB4A9"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Westminster</w:t>
            </w:r>
          </w:p>
        </w:tc>
        <w:tc>
          <w:tcPr>
            <w:tcW w:w="478" w:type="dxa"/>
            <w:tcBorders>
              <w:top w:val="nil"/>
              <w:left w:val="nil"/>
              <w:bottom w:val="nil"/>
              <w:right w:val="nil"/>
            </w:tcBorders>
            <w:shd w:val="clear" w:color="000000" w:fill="D9E1F2"/>
            <w:noWrap/>
            <w:vAlign w:val="bottom"/>
            <w:hideMark/>
          </w:tcPr>
          <w:p w14:paraId="04C16C5F"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16</w:t>
            </w:r>
          </w:p>
        </w:tc>
        <w:tc>
          <w:tcPr>
            <w:tcW w:w="1436" w:type="dxa"/>
            <w:tcBorders>
              <w:top w:val="nil"/>
              <w:left w:val="nil"/>
              <w:bottom w:val="nil"/>
              <w:right w:val="nil"/>
            </w:tcBorders>
            <w:shd w:val="clear" w:color="auto" w:fill="auto"/>
            <w:noWrap/>
            <w:vAlign w:val="bottom"/>
            <w:hideMark/>
          </w:tcPr>
          <w:p w14:paraId="0B673C1A" w14:textId="77777777" w:rsidR="00162224" w:rsidRPr="003037D2" w:rsidRDefault="00162224" w:rsidP="00162224">
            <w:pPr>
              <w:jc w:val="right"/>
              <w:rPr>
                <w:rFonts w:ascii="Garamond" w:eastAsia="Times New Roman" w:hAnsi="Garamond" w:cs="Times New Roman"/>
                <w:color w:val="000000"/>
                <w:lang w:eastAsia="zh-CN"/>
              </w:rPr>
            </w:pPr>
          </w:p>
        </w:tc>
        <w:tc>
          <w:tcPr>
            <w:tcW w:w="1769" w:type="dxa"/>
            <w:tcBorders>
              <w:top w:val="nil"/>
              <w:left w:val="nil"/>
              <w:bottom w:val="nil"/>
              <w:right w:val="nil"/>
            </w:tcBorders>
            <w:shd w:val="clear" w:color="000000" w:fill="D9E1F2"/>
            <w:noWrap/>
            <w:vAlign w:val="bottom"/>
            <w:hideMark/>
          </w:tcPr>
          <w:p w14:paraId="12795EC8"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Guildhall </w:t>
            </w:r>
          </w:p>
        </w:tc>
        <w:tc>
          <w:tcPr>
            <w:tcW w:w="478" w:type="dxa"/>
            <w:tcBorders>
              <w:top w:val="nil"/>
              <w:left w:val="nil"/>
              <w:bottom w:val="nil"/>
              <w:right w:val="nil"/>
            </w:tcBorders>
            <w:shd w:val="clear" w:color="000000" w:fill="D9E1F2"/>
            <w:noWrap/>
            <w:vAlign w:val="bottom"/>
            <w:hideMark/>
          </w:tcPr>
          <w:p w14:paraId="5535CE03"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1</w:t>
            </w:r>
          </w:p>
        </w:tc>
      </w:tr>
      <w:tr w:rsidR="00162224" w:rsidRPr="003037D2" w14:paraId="55D7A14B" w14:textId="77777777" w:rsidTr="00162224">
        <w:trPr>
          <w:trHeight w:val="280"/>
        </w:trPr>
        <w:tc>
          <w:tcPr>
            <w:tcW w:w="1769" w:type="dxa"/>
            <w:tcBorders>
              <w:top w:val="nil"/>
              <w:left w:val="nil"/>
              <w:bottom w:val="nil"/>
              <w:right w:val="nil"/>
            </w:tcBorders>
            <w:shd w:val="clear" w:color="000000" w:fill="D9E1F2"/>
            <w:noWrap/>
            <w:vAlign w:val="bottom"/>
            <w:hideMark/>
          </w:tcPr>
          <w:p w14:paraId="3976E395"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Whitehall </w:t>
            </w:r>
          </w:p>
        </w:tc>
        <w:tc>
          <w:tcPr>
            <w:tcW w:w="478" w:type="dxa"/>
            <w:tcBorders>
              <w:top w:val="nil"/>
              <w:left w:val="nil"/>
              <w:bottom w:val="nil"/>
              <w:right w:val="nil"/>
            </w:tcBorders>
            <w:shd w:val="clear" w:color="000000" w:fill="D9E1F2"/>
            <w:noWrap/>
            <w:vAlign w:val="bottom"/>
            <w:hideMark/>
          </w:tcPr>
          <w:p w14:paraId="2105AB1D"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23</w:t>
            </w:r>
          </w:p>
        </w:tc>
        <w:tc>
          <w:tcPr>
            <w:tcW w:w="1436" w:type="dxa"/>
            <w:tcBorders>
              <w:top w:val="nil"/>
              <w:left w:val="nil"/>
              <w:bottom w:val="nil"/>
              <w:right w:val="nil"/>
            </w:tcBorders>
            <w:shd w:val="clear" w:color="auto" w:fill="auto"/>
            <w:noWrap/>
            <w:vAlign w:val="bottom"/>
            <w:hideMark/>
          </w:tcPr>
          <w:p w14:paraId="71824528" w14:textId="77777777" w:rsidR="00162224" w:rsidRPr="003037D2" w:rsidRDefault="00162224" w:rsidP="00162224">
            <w:pPr>
              <w:jc w:val="right"/>
              <w:rPr>
                <w:rFonts w:ascii="Garamond" w:eastAsia="Times New Roman" w:hAnsi="Garamond" w:cs="Times New Roman"/>
                <w:color w:val="000000"/>
                <w:lang w:eastAsia="zh-CN"/>
              </w:rPr>
            </w:pPr>
          </w:p>
        </w:tc>
        <w:tc>
          <w:tcPr>
            <w:tcW w:w="1769" w:type="dxa"/>
            <w:tcBorders>
              <w:top w:val="nil"/>
              <w:left w:val="nil"/>
              <w:bottom w:val="nil"/>
              <w:right w:val="nil"/>
            </w:tcBorders>
            <w:shd w:val="clear" w:color="000000" w:fill="D9E1F2"/>
            <w:noWrap/>
            <w:vAlign w:val="bottom"/>
            <w:hideMark/>
          </w:tcPr>
          <w:p w14:paraId="2DA416A1"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University </w:t>
            </w:r>
          </w:p>
        </w:tc>
        <w:tc>
          <w:tcPr>
            <w:tcW w:w="478" w:type="dxa"/>
            <w:tcBorders>
              <w:top w:val="nil"/>
              <w:left w:val="nil"/>
              <w:bottom w:val="nil"/>
              <w:right w:val="nil"/>
            </w:tcBorders>
            <w:shd w:val="clear" w:color="000000" w:fill="D9E1F2"/>
            <w:noWrap/>
            <w:vAlign w:val="bottom"/>
            <w:hideMark/>
          </w:tcPr>
          <w:p w14:paraId="0B04E526"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5</w:t>
            </w:r>
          </w:p>
        </w:tc>
      </w:tr>
      <w:tr w:rsidR="00162224" w:rsidRPr="003037D2" w14:paraId="584D8C0E" w14:textId="77777777" w:rsidTr="00162224">
        <w:trPr>
          <w:trHeight w:val="280"/>
        </w:trPr>
        <w:tc>
          <w:tcPr>
            <w:tcW w:w="1769" w:type="dxa"/>
            <w:tcBorders>
              <w:top w:val="nil"/>
              <w:left w:val="nil"/>
              <w:bottom w:val="nil"/>
              <w:right w:val="nil"/>
            </w:tcBorders>
            <w:shd w:val="clear" w:color="000000" w:fill="D9E1F2"/>
            <w:noWrap/>
            <w:vAlign w:val="bottom"/>
            <w:hideMark/>
          </w:tcPr>
          <w:p w14:paraId="4C53A6D1" w14:textId="77777777" w:rsidR="00162224" w:rsidRPr="003037D2" w:rsidRDefault="00162224" w:rsidP="00162224">
            <w:pPr>
              <w:rPr>
                <w:rFonts w:ascii="Garamond" w:eastAsia="Times New Roman" w:hAnsi="Garamond" w:cs="Times New Roman"/>
                <w:color w:val="000000"/>
                <w:lang w:eastAsia="zh-CN"/>
              </w:rPr>
            </w:pPr>
            <w:proofErr w:type="spellStart"/>
            <w:r w:rsidRPr="003037D2">
              <w:rPr>
                <w:rFonts w:ascii="Garamond" w:eastAsia="Times New Roman" w:hAnsi="Garamond" w:cs="Times New Roman"/>
                <w:color w:val="000000"/>
                <w:lang w:eastAsia="zh-CN"/>
              </w:rPr>
              <w:t>Woodstocke</w:t>
            </w:r>
            <w:proofErr w:type="spellEnd"/>
            <w:r w:rsidRPr="003037D2">
              <w:rPr>
                <w:rFonts w:ascii="Garamond" w:eastAsia="Times New Roman" w:hAnsi="Garamond" w:cs="Times New Roman"/>
                <w:color w:val="000000"/>
                <w:lang w:eastAsia="zh-CN"/>
              </w:rPr>
              <w:t xml:space="preserve"> </w:t>
            </w:r>
          </w:p>
        </w:tc>
        <w:tc>
          <w:tcPr>
            <w:tcW w:w="478" w:type="dxa"/>
            <w:tcBorders>
              <w:top w:val="nil"/>
              <w:left w:val="nil"/>
              <w:bottom w:val="nil"/>
              <w:right w:val="nil"/>
            </w:tcBorders>
            <w:shd w:val="clear" w:color="000000" w:fill="D9E1F2"/>
            <w:noWrap/>
            <w:vAlign w:val="bottom"/>
            <w:hideMark/>
          </w:tcPr>
          <w:p w14:paraId="40338155"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1</w:t>
            </w:r>
          </w:p>
        </w:tc>
        <w:tc>
          <w:tcPr>
            <w:tcW w:w="1436" w:type="dxa"/>
            <w:tcBorders>
              <w:top w:val="nil"/>
              <w:left w:val="nil"/>
              <w:bottom w:val="nil"/>
              <w:right w:val="nil"/>
            </w:tcBorders>
            <w:shd w:val="clear" w:color="auto" w:fill="auto"/>
            <w:noWrap/>
            <w:vAlign w:val="bottom"/>
            <w:hideMark/>
          </w:tcPr>
          <w:p w14:paraId="12F578D1" w14:textId="77777777" w:rsidR="00162224" w:rsidRPr="003037D2" w:rsidRDefault="00162224" w:rsidP="00162224">
            <w:pPr>
              <w:jc w:val="right"/>
              <w:rPr>
                <w:rFonts w:ascii="Garamond" w:eastAsia="Times New Roman" w:hAnsi="Garamond" w:cs="Times New Roman"/>
                <w:color w:val="000000"/>
                <w:lang w:eastAsia="zh-CN"/>
              </w:rPr>
            </w:pPr>
          </w:p>
        </w:tc>
        <w:tc>
          <w:tcPr>
            <w:tcW w:w="1769" w:type="dxa"/>
            <w:tcBorders>
              <w:top w:val="nil"/>
              <w:left w:val="nil"/>
              <w:bottom w:val="nil"/>
              <w:right w:val="nil"/>
            </w:tcBorders>
            <w:shd w:val="clear" w:color="000000" w:fill="D9E1F2"/>
            <w:noWrap/>
            <w:vAlign w:val="bottom"/>
            <w:hideMark/>
          </w:tcPr>
          <w:p w14:paraId="6E28A2B8"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Virginia Company </w:t>
            </w:r>
          </w:p>
        </w:tc>
        <w:tc>
          <w:tcPr>
            <w:tcW w:w="478" w:type="dxa"/>
            <w:tcBorders>
              <w:top w:val="nil"/>
              <w:left w:val="nil"/>
              <w:bottom w:val="nil"/>
              <w:right w:val="nil"/>
            </w:tcBorders>
            <w:shd w:val="clear" w:color="000000" w:fill="D9E1F2"/>
            <w:noWrap/>
            <w:vAlign w:val="bottom"/>
            <w:hideMark/>
          </w:tcPr>
          <w:p w14:paraId="27F760E9"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1</w:t>
            </w:r>
          </w:p>
        </w:tc>
      </w:tr>
      <w:tr w:rsidR="00162224" w:rsidRPr="003037D2" w14:paraId="690C2600" w14:textId="77777777" w:rsidTr="00162224">
        <w:trPr>
          <w:trHeight w:val="280"/>
        </w:trPr>
        <w:tc>
          <w:tcPr>
            <w:tcW w:w="1769" w:type="dxa"/>
            <w:tcBorders>
              <w:top w:val="nil"/>
              <w:left w:val="nil"/>
              <w:bottom w:val="nil"/>
              <w:right w:val="nil"/>
            </w:tcBorders>
            <w:shd w:val="clear" w:color="000000" w:fill="D9E1F2"/>
            <w:noWrap/>
            <w:vAlign w:val="bottom"/>
            <w:hideMark/>
          </w:tcPr>
          <w:p w14:paraId="3202E4E1"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"Before the king" </w:t>
            </w:r>
          </w:p>
        </w:tc>
        <w:tc>
          <w:tcPr>
            <w:tcW w:w="478" w:type="dxa"/>
            <w:tcBorders>
              <w:top w:val="nil"/>
              <w:left w:val="nil"/>
              <w:bottom w:val="nil"/>
              <w:right w:val="nil"/>
            </w:tcBorders>
            <w:shd w:val="clear" w:color="000000" w:fill="D9E1F2"/>
            <w:noWrap/>
            <w:vAlign w:val="bottom"/>
            <w:hideMark/>
          </w:tcPr>
          <w:p w14:paraId="341365E1"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5</w:t>
            </w:r>
          </w:p>
        </w:tc>
        <w:tc>
          <w:tcPr>
            <w:tcW w:w="1436" w:type="dxa"/>
            <w:tcBorders>
              <w:top w:val="nil"/>
              <w:left w:val="nil"/>
              <w:bottom w:val="nil"/>
              <w:right w:val="nil"/>
            </w:tcBorders>
            <w:shd w:val="clear" w:color="auto" w:fill="auto"/>
            <w:noWrap/>
            <w:vAlign w:val="bottom"/>
            <w:hideMark/>
          </w:tcPr>
          <w:p w14:paraId="67382FEB" w14:textId="77777777" w:rsidR="00162224" w:rsidRPr="003037D2" w:rsidRDefault="00162224" w:rsidP="00162224">
            <w:pPr>
              <w:jc w:val="right"/>
              <w:rPr>
                <w:rFonts w:ascii="Garamond" w:eastAsia="Times New Roman" w:hAnsi="Garamond" w:cs="Times New Roman"/>
                <w:color w:val="000000"/>
                <w:lang w:eastAsia="zh-CN"/>
              </w:rPr>
            </w:pPr>
          </w:p>
        </w:tc>
        <w:tc>
          <w:tcPr>
            <w:tcW w:w="1769" w:type="dxa"/>
            <w:tcBorders>
              <w:top w:val="nil"/>
              <w:left w:val="nil"/>
              <w:bottom w:val="nil"/>
              <w:right w:val="nil"/>
            </w:tcBorders>
            <w:shd w:val="clear" w:color="000000" w:fill="D9E1F2"/>
            <w:noWrap/>
            <w:vAlign w:val="bottom"/>
            <w:hideMark/>
          </w:tcPr>
          <w:p w14:paraId="719339A3"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Mercer's Chapel </w:t>
            </w:r>
          </w:p>
        </w:tc>
        <w:tc>
          <w:tcPr>
            <w:tcW w:w="478" w:type="dxa"/>
            <w:tcBorders>
              <w:top w:val="nil"/>
              <w:left w:val="nil"/>
              <w:bottom w:val="nil"/>
              <w:right w:val="nil"/>
            </w:tcBorders>
            <w:shd w:val="clear" w:color="000000" w:fill="D9E1F2"/>
            <w:noWrap/>
            <w:vAlign w:val="bottom"/>
            <w:hideMark/>
          </w:tcPr>
          <w:p w14:paraId="3817184D"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3</w:t>
            </w:r>
          </w:p>
        </w:tc>
      </w:tr>
      <w:tr w:rsidR="00162224" w:rsidRPr="003037D2" w14:paraId="5AB0D490" w14:textId="77777777" w:rsidTr="00162224">
        <w:trPr>
          <w:trHeight w:val="280"/>
        </w:trPr>
        <w:tc>
          <w:tcPr>
            <w:tcW w:w="1769" w:type="dxa"/>
            <w:tcBorders>
              <w:top w:val="nil"/>
              <w:left w:val="nil"/>
              <w:bottom w:val="nil"/>
              <w:right w:val="nil"/>
            </w:tcBorders>
            <w:shd w:val="clear" w:color="auto" w:fill="auto"/>
            <w:noWrap/>
            <w:vAlign w:val="bottom"/>
            <w:hideMark/>
          </w:tcPr>
          <w:p w14:paraId="121ABAA6" w14:textId="77777777" w:rsidR="00162224" w:rsidRPr="003037D2" w:rsidRDefault="00162224" w:rsidP="00162224">
            <w:pPr>
              <w:jc w:val="right"/>
              <w:rPr>
                <w:rFonts w:ascii="Garamond" w:eastAsia="Times New Roman" w:hAnsi="Garamond" w:cs="Times New Roman"/>
                <w:color w:val="000000"/>
                <w:lang w:eastAsia="zh-CN"/>
              </w:rPr>
            </w:pPr>
          </w:p>
        </w:tc>
        <w:tc>
          <w:tcPr>
            <w:tcW w:w="478" w:type="dxa"/>
            <w:tcBorders>
              <w:top w:val="nil"/>
              <w:left w:val="nil"/>
              <w:bottom w:val="nil"/>
              <w:right w:val="nil"/>
            </w:tcBorders>
            <w:shd w:val="clear" w:color="auto" w:fill="auto"/>
            <w:noWrap/>
            <w:vAlign w:val="bottom"/>
            <w:hideMark/>
          </w:tcPr>
          <w:p w14:paraId="26773452" w14:textId="77777777" w:rsidR="00162224" w:rsidRPr="003037D2" w:rsidRDefault="00162224" w:rsidP="00162224">
            <w:pPr>
              <w:rPr>
                <w:rFonts w:ascii="Garamond" w:eastAsia="Times New Roman" w:hAnsi="Garamond" w:cs="Times New Roman"/>
                <w:sz w:val="20"/>
                <w:szCs w:val="20"/>
                <w:lang w:eastAsia="zh-CN"/>
              </w:rPr>
            </w:pPr>
          </w:p>
        </w:tc>
        <w:tc>
          <w:tcPr>
            <w:tcW w:w="1436" w:type="dxa"/>
            <w:tcBorders>
              <w:top w:val="nil"/>
              <w:left w:val="nil"/>
              <w:bottom w:val="nil"/>
              <w:right w:val="nil"/>
            </w:tcBorders>
            <w:shd w:val="clear" w:color="auto" w:fill="auto"/>
            <w:noWrap/>
            <w:vAlign w:val="bottom"/>
            <w:hideMark/>
          </w:tcPr>
          <w:p w14:paraId="461EE23D" w14:textId="77777777" w:rsidR="00162224" w:rsidRPr="003037D2" w:rsidRDefault="00162224" w:rsidP="00162224">
            <w:pPr>
              <w:rPr>
                <w:rFonts w:ascii="Garamond" w:eastAsia="Times New Roman" w:hAnsi="Garamond" w:cs="Times New Roman"/>
                <w:sz w:val="20"/>
                <w:szCs w:val="20"/>
                <w:lang w:eastAsia="zh-CN"/>
              </w:rPr>
            </w:pPr>
          </w:p>
        </w:tc>
        <w:tc>
          <w:tcPr>
            <w:tcW w:w="1769" w:type="dxa"/>
            <w:tcBorders>
              <w:top w:val="nil"/>
              <w:left w:val="nil"/>
              <w:bottom w:val="nil"/>
              <w:right w:val="nil"/>
            </w:tcBorders>
            <w:shd w:val="clear" w:color="000000" w:fill="D9E1F2"/>
            <w:noWrap/>
            <w:vAlign w:val="bottom"/>
            <w:hideMark/>
          </w:tcPr>
          <w:p w14:paraId="29DA1DB2"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 xml:space="preserve">Synod </w:t>
            </w:r>
          </w:p>
        </w:tc>
        <w:tc>
          <w:tcPr>
            <w:tcW w:w="478" w:type="dxa"/>
            <w:tcBorders>
              <w:top w:val="nil"/>
              <w:left w:val="nil"/>
              <w:bottom w:val="nil"/>
              <w:right w:val="nil"/>
            </w:tcBorders>
            <w:shd w:val="clear" w:color="000000" w:fill="D9E1F2"/>
            <w:noWrap/>
            <w:vAlign w:val="bottom"/>
            <w:hideMark/>
          </w:tcPr>
          <w:p w14:paraId="2FB1FFD8"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1</w:t>
            </w:r>
          </w:p>
        </w:tc>
      </w:tr>
      <w:tr w:rsidR="00162224" w:rsidRPr="003037D2" w14:paraId="5B7A8D6E" w14:textId="77777777" w:rsidTr="00162224">
        <w:trPr>
          <w:trHeight w:val="280"/>
        </w:trPr>
        <w:tc>
          <w:tcPr>
            <w:tcW w:w="1769" w:type="dxa"/>
            <w:tcBorders>
              <w:top w:val="nil"/>
              <w:left w:val="nil"/>
              <w:bottom w:val="nil"/>
              <w:right w:val="nil"/>
            </w:tcBorders>
            <w:shd w:val="clear" w:color="auto" w:fill="auto"/>
            <w:noWrap/>
            <w:vAlign w:val="bottom"/>
            <w:hideMark/>
          </w:tcPr>
          <w:p w14:paraId="4CD78303" w14:textId="77777777" w:rsidR="00162224" w:rsidRPr="003037D2" w:rsidRDefault="00162224" w:rsidP="00162224">
            <w:pPr>
              <w:jc w:val="right"/>
              <w:rPr>
                <w:rFonts w:ascii="Garamond" w:eastAsia="Times New Roman" w:hAnsi="Garamond" w:cs="Times New Roman"/>
                <w:color w:val="000000"/>
                <w:lang w:eastAsia="zh-CN"/>
              </w:rPr>
            </w:pPr>
          </w:p>
        </w:tc>
        <w:tc>
          <w:tcPr>
            <w:tcW w:w="478" w:type="dxa"/>
            <w:tcBorders>
              <w:top w:val="nil"/>
              <w:left w:val="nil"/>
              <w:bottom w:val="nil"/>
              <w:right w:val="nil"/>
            </w:tcBorders>
            <w:shd w:val="clear" w:color="auto" w:fill="auto"/>
            <w:noWrap/>
            <w:vAlign w:val="bottom"/>
            <w:hideMark/>
          </w:tcPr>
          <w:p w14:paraId="02C9D6BF" w14:textId="77777777" w:rsidR="00162224" w:rsidRPr="003037D2" w:rsidRDefault="00162224" w:rsidP="00162224">
            <w:pPr>
              <w:rPr>
                <w:rFonts w:ascii="Garamond" w:eastAsia="Times New Roman" w:hAnsi="Garamond" w:cs="Times New Roman"/>
                <w:sz w:val="20"/>
                <w:szCs w:val="20"/>
                <w:lang w:eastAsia="zh-CN"/>
              </w:rPr>
            </w:pPr>
          </w:p>
        </w:tc>
        <w:tc>
          <w:tcPr>
            <w:tcW w:w="1436" w:type="dxa"/>
            <w:tcBorders>
              <w:top w:val="nil"/>
              <w:left w:val="nil"/>
              <w:bottom w:val="nil"/>
              <w:right w:val="nil"/>
            </w:tcBorders>
            <w:shd w:val="clear" w:color="auto" w:fill="auto"/>
            <w:noWrap/>
            <w:vAlign w:val="bottom"/>
            <w:hideMark/>
          </w:tcPr>
          <w:p w14:paraId="144009E6" w14:textId="77777777" w:rsidR="00162224" w:rsidRPr="003037D2" w:rsidRDefault="00162224" w:rsidP="00162224">
            <w:pPr>
              <w:rPr>
                <w:rFonts w:ascii="Garamond" w:eastAsia="Times New Roman" w:hAnsi="Garamond" w:cs="Times New Roman"/>
                <w:sz w:val="20"/>
                <w:szCs w:val="20"/>
                <w:lang w:eastAsia="zh-CN"/>
              </w:rPr>
            </w:pPr>
          </w:p>
        </w:tc>
        <w:tc>
          <w:tcPr>
            <w:tcW w:w="1769" w:type="dxa"/>
            <w:tcBorders>
              <w:top w:val="nil"/>
              <w:left w:val="nil"/>
              <w:bottom w:val="nil"/>
              <w:right w:val="nil"/>
            </w:tcBorders>
            <w:shd w:val="clear" w:color="000000" w:fill="D9E1F2"/>
            <w:noWrap/>
            <w:vAlign w:val="bottom"/>
            <w:hideMark/>
          </w:tcPr>
          <w:p w14:paraId="77C86BFC" w14:textId="77777777" w:rsidR="00162224" w:rsidRPr="003037D2" w:rsidRDefault="00162224" w:rsidP="00162224">
            <w:pPr>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Ely House</w:t>
            </w:r>
          </w:p>
        </w:tc>
        <w:tc>
          <w:tcPr>
            <w:tcW w:w="478" w:type="dxa"/>
            <w:tcBorders>
              <w:top w:val="nil"/>
              <w:left w:val="nil"/>
              <w:bottom w:val="nil"/>
              <w:right w:val="nil"/>
            </w:tcBorders>
            <w:shd w:val="clear" w:color="000000" w:fill="D9E1F2"/>
            <w:noWrap/>
            <w:vAlign w:val="bottom"/>
            <w:hideMark/>
          </w:tcPr>
          <w:p w14:paraId="5EE39290" w14:textId="77777777" w:rsidR="00162224" w:rsidRPr="003037D2" w:rsidRDefault="00162224" w:rsidP="00162224">
            <w:pPr>
              <w:jc w:val="right"/>
              <w:rPr>
                <w:rFonts w:ascii="Garamond" w:eastAsia="Times New Roman" w:hAnsi="Garamond" w:cs="Times New Roman"/>
                <w:color w:val="000000"/>
                <w:lang w:eastAsia="zh-CN"/>
              </w:rPr>
            </w:pPr>
            <w:r w:rsidRPr="003037D2">
              <w:rPr>
                <w:rFonts w:ascii="Garamond" w:eastAsia="Times New Roman" w:hAnsi="Garamond" w:cs="Times New Roman"/>
                <w:color w:val="000000"/>
                <w:lang w:eastAsia="zh-CN"/>
              </w:rPr>
              <w:t>1</w:t>
            </w:r>
          </w:p>
        </w:tc>
      </w:tr>
    </w:tbl>
    <w:p w14:paraId="07909D1D" w14:textId="77777777" w:rsidR="00162224" w:rsidRPr="003037D2" w:rsidRDefault="00162224" w:rsidP="00162224">
      <w:pPr>
        <w:keepNext/>
        <w:spacing w:line="360" w:lineRule="auto"/>
        <w:rPr>
          <w:rFonts w:ascii="Garamond" w:hAnsi="Garamond"/>
        </w:rPr>
      </w:pPr>
    </w:p>
    <w:p w14:paraId="523E05F2" w14:textId="2731CB74" w:rsidR="00162224" w:rsidRPr="00667CD5" w:rsidRDefault="00162224" w:rsidP="00667CD5">
      <w:pPr>
        <w:pStyle w:val="Caption"/>
        <w:spacing w:line="360" w:lineRule="auto"/>
        <w:rPr>
          <w:rFonts w:ascii="Garamond" w:hAnsi="Garamond"/>
          <w:color w:val="auto"/>
          <w:sz w:val="24"/>
          <w:szCs w:val="24"/>
        </w:rPr>
        <w:sectPr w:rsidR="00162224" w:rsidRPr="00667CD5" w:rsidSect="00162224">
          <w:footnotePr>
            <w:numRestart w:val="eachSect"/>
          </w:footnotePr>
          <w:pgSz w:w="11906" w:h="16838"/>
          <w:pgMar w:top="1440" w:right="1440" w:bottom="1440" w:left="1440" w:header="709" w:footer="709" w:gutter="851"/>
          <w:cols w:space="708"/>
          <w:docGrid w:linePitch="360"/>
        </w:sectPr>
      </w:pPr>
      <w:bookmarkStart w:id="235" w:name="_Ref513917031"/>
      <w:bookmarkStart w:id="236" w:name="_Toc3973279"/>
      <w:r w:rsidRPr="003037D2">
        <w:rPr>
          <w:rFonts w:ascii="Garamond" w:hAnsi="Garamond"/>
          <w:color w:val="auto"/>
          <w:sz w:val="24"/>
          <w:szCs w:val="24"/>
        </w:rPr>
        <w:t xml:space="preserve">Figure </w:t>
      </w:r>
      <w:r w:rsidRPr="003037D2">
        <w:rPr>
          <w:rFonts w:ascii="Garamond" w:hAnsi="Garamond"/>
          <w:noProof/>
          <w:color w:val="auto"/>
          <w:sz w:val="24"/>
          <w:szCs w:val="24"/>
        </w:rPr>
        <w:fldChar w:fldCharType="begin"/>
      </w:r>
      <w:r w:rsidRPr="003037D2">
        <w:rPr>
          <w:rFonts w:ascii="Garamond" w:hAnsi="Garamond"/>
          <w:noProof/>
          <w:color w:val="auto"/>
          <w:sz w:val="24"/>
          <w:szCs w:val="24"/>
        </w:rPr>
        <w:instrText xml:space="preserve"> SEQ Figure \* ARABIC </w:instrText>
      </w:r>
      <w:r w:rsidRPr="003037D2">
        <w:rPr>
          <w:rFonts w:ascii="Garamond" w:hAnsi="Garamond"/>
          <w:noProof/>
          <w:color w:val="auto"/>
          <w:sz w:val="24"/>
          <w:szCs w:val="24"/>
        </w:rPr>
        <w:fldChar w:fldCharType="separate"/>
      </w:r>
      <w:r w:rsidR="001117A3" w:rsidRPr="003037D2">
        <w:rPr>
          <w:rFonts w:ascii="Garamond" w:hAnsi="Garamond"/>
          <w:noProof/>
          <w:color w:val="auto"/>
          <w:sz w:val="24"/>
          <w:szCs w:val="24"/>
        </w:rPr>
        <w:t>63</w:t>
      </w:r>
      <w:r w:rsidRPr="003037D2">
        <w:rPr>
          <w:rFonts w:ascii="Garamond" w:hAnsi="Garamond"/>
          <w:noProof/>
          <w:color w:val="auto"/>
          <w:sz w:val="24"/>
          <w:szCs w:val="24"/>
        </w:rPr>
        <w:fldChar w:fldCharType="end"/>
      </w:r>
      <w:bookmarkEnd w:id="235"/>
      <w:r w:rsidRPr="003037D2">
        <w:rPr>
          <w:rFonts w:ascii="Garamond" w:hAnsi="Garamond"/>
          <w:color w:val="auto"/>
          <w:sz w:val="24"/>
          <w:szCs w:val="24"/>
        </w:rPr>
        <w:t xml:space="preserve"> Place of preaching specified on sermon title pages</w:t>
      </w:r>
      <w:bookmarkEnd w:id="236"/>
      <w:r w:rsidR="00667CD5">
        <w:rPr>
          <w:rFonts w:ascii="Garamond" w:hAnsi="Garamond"/>
          <w:color w:val="auto"/>
          <w:sz w:val="24"/>
          <w:szCs w:val="24"/>
        </w:rPr>
        <w:t xml:space="preserve">, full figures, 1620-1642 </w:t>
      </w:r>
    </w:p>
    <w:p w14:paraId="30770455" w14:textId="77777777" w:rsidR="00162224" w:rsidRPr="003037D2" w:rsidRDefault="00162224" w:rsidP="00162224">
      <w:pPr>
        <w:spacing w:line="360" w:lineRule="auto"/>
        <w:rPr>
          <w:rFonts w:ascii="Garamond" w:hAnsi="Garamond"/>
        </w:rPr>
      </w:pPr>
    </w:p>
    <w:p w14:paraId="60EE0E8A" w14:textId="77777777" w:rsidR="00162224" w:rsidRPr="003037D2" w:rsidRDefault="00162224" w:rsidP="00162224">
      <w:pPr>
        <w:keepNext/>
        <w:spacing w:line="360" w:lineRule="auto"/>
        <w:jc w:val="center"/>
        <w:rPr>
          <w:rFonts w:ascii="Garamond" w:hAnsi="Garamond"/>
          <w:i/>
        </w:rPr>
      </w:pPr>
      <w:r w:rsidRPr="003037D2">
        <w:rPr>
          <w:rFonts w:ascii="Garamond" w:hAnsi="Garamond"/>
          <w:i/>
          <w:noProof/>
          <w:lang w:val="en-GB" w:eastAsia="zh-CN"/>
        </w:rPr>
        <w:drawing>
          <wp:inline distT="0" distB="0" distL="0" distR="0" wp14:anchorId="3E0F1B33" wp14:editId="64934CD7">
            <wp:extent cx="3286677" cy="5492750"/>
            <wp:effectExtent l="57150" t="38100" r="66675" b="698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hqprint">
                      <a:extLst>
                        <a:ext uri="{28A0092B-C50C-407E-A947-70E740481C1C}">
                          <a14:useLocalDpi xmlns:a14="http://schemas.microsoft.com/office/drawing/2010/main" val="0"/>
                        </a:ext>
                      </a:extLst>
                    </a:blip>
                    <a:srcRect/>
                    <a:stretch>
                      <a:fillRect/>
                    </a:stretch>
                  </pic:blipFill>
                  <pic:spPr bwMode="auto">
                    <a:xfrm>
                      <a:off x="0" y="0"/>
                      <a:ext cx="3292076" cy="5501773"/>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pic:spPr>
                </pic:pic>
              </a:graphicData>
            </a:graphic>
          </wp:inline>
        </w:drawing>
      </w:r>
    </w:p>
    <w:p w14:paraId="27B09FEC" w14:textId="1A0FAC60" w:rsidR="00162224" w:rsidRPr="003037D2" w:rsidRDefault="00162224" w:rsidP="00162224">
      <w:pPr>
        <w:pStyle w:val="Caption"/>
        <w:spacing w:line="360" w:lineRule="auto"/>
        <w:jc w:val="center"/>
        <w:rPr>
          <w:rFonts w:ascii="Garamond" w:hAnsi="Garamond"/>
          <w:iCs w:val="0"/>
          <w:color w:val="auto"/>
          <w:sz w:val="24"/>
          <w:szCs w:val="24"/>
        </w:rPr>
      </w:pPr>
      <w:bookmarkStart w:id="237" w:name="_Ref528226994"/>
      <w:bookmarkStart w:id="238" w:name="_Toc3973280"/>
      <w:r w:rsidRPr="003037D2">
        <w:rPr>
          <w:rFonts w:ascii="Garamond" w:hAnsi="Garamond"/>
          <w:iCs w:val="0"/>
          <w:color w:val="auto"/>
          <w:sz w:val="24"/>
          <w:szCs w:val="24"/>
        </w:rPr>
        <w:t xml:space="preserve">Figure </w:t>
      </w:r>
      <w:r w:rsidRPr="003037D2">
        <w:rPr>
          <w:rFonts w:ascii="Garamond" w:hAnsi="Garamond"/>
          <w:iCs w:val="0"/>
          <w:noProof/>
          <w:color w:val="auto"/>
          <w:sz w:val="24"/>
          <w:szCs w:val="24"/>
        </w:rPr>
        <w:fldChar w:fldCharType="begin"/>
      </w:r>
      <w:r w:rsidRPr="003037D2">
        <w:rPr>
          <w:rFonts w:ascii="Garamond" w:hAnsi="Garamond"/>
          <w:iCs w:val="0"/>
          <w:noProof/>
          <w:color w:val="auto"/>
          <w:sz w:val="24"/>
          <w:szCs w:val="24"/>
        </w:rPr>
        <w:instrText xml:space="preserve"> SEQ Figure \* ARABIC </w:instrText>
      </w:r>
      <w:r w:rsidRPr="003037D2">
        <w:rPr>
          <w:rFonts w:ascii="Garamond" w:hAnsi="Garamond"/>
          <w:iCs w:val="0"/>
          <w:noProof/>
          <w:color w:val="auto"/>
          <w:sz w:val="24"/>
          <w:szCs w:val="24"/>
        </w:rPr>
        <w:fldChar w:fldCharType="separate"/>
      </w:r>
      <w:r w:rsidR="001117A3" w:rsidRPr="003037D2">
        <w:rPr>
          <w:rFonts w:ascii="Garamond" w:hAnsi="Garamond"/>
          <w:iCs w:val="0"/>
          <w:noProof/>
          <w:color w:val="auto"/>
          <w:sz w:val="24"/>
          <w:szCs w:val="24"/>
        </w:rPr>
        <w:t>64</w:t>
      </w:r>
      <w:r w:rsidRPr="003037D2">
        <w:rPr>
          <w:rFonts w:ascii="Garamond" w:hAnsi="Garamond"/>
          <w:iCs w:val="0"/>
          <w:noProof/>
          <w:color w:val="auto"/>
          <w:sz w:val="24"/>
          <w:szCs w:val="24"/>
        </w:rPr>
        <w:fldChar w:fldCharType="end"/>
      </w:r>
      <w:r w:rsidRPr="003037D2">
        <w:rPr>
          <w:rFonts w:ascii="Garamond" w:hAnsi="Garamond"/>
          <w:iCs w:val="0"/>
          <w:color w:val="auto"/>
          <w:sz w:val="24"/>
          <w:szCs w:val="24"/>
        </w:rPr>
        <w:t xml:space="preserve"> A Table of the equation of days (London: 1684)</w:t>
      </w:r>
      <w:bookmarkEnd w:id="237"/>
      <w:r w:rsidRPr="003037D2">
        <w:rPr>
          <w:rFonts w:ascii="Garamond" w:hAnsi="Garamond"/>
          <w:iCs w:val="0"/>
          <w:color w:val="auto"/>
          <w:sz w:val="24"/>
          <w:szCs w:val="24"/>
        </w:rPr>
        <w:t xml:space="preserve"> (Early English Books Online)</w:t>
      </w:r>
      <w:bookmarkEnd w:id="238"/>
      <w:r w:rsidRPr="003037D2">
        <w:rPr>
          <w:rFonts w:ascii="Garamond" w:hAnsi="Garamond"/>
          <w:iCs w:val="0"/>
          <w:color w:val="auto"/>
          <w:sz w:val="24"/>
          <w:szCs w:val="24"/>
        </w:rPr>
        <w:t xml:space="preserve"> </w:t>
      </w:r>
    </w:p>
    <w:p w14:paraId="3DF3E7C4" w14:textId="77777777" w:rsidR="00162224" w:rsidRPr="003037D2" w:rsidRDefault="00162224" w:rsidP="00162224">
      <w:pPr>
        <w:rPr>
          <w:rFonts w:ascii="Garamond" w:hAnsi="Garamond"/>
          <w:lang w:eastAsia="zh-CN"/>
        </w:rPr>
      </w:pPr>
    </w:p>
    <w:p w14:paraId="510F2B89" w14:textId="77777777" w:rsidR="00162224" w:rsidRPr="003037D2" w:rsidRDefault="00162224" w:rsidP="00162224">
      <w:pPr>
        <w:rPr>
          <w:rFonts w:ascii="Garamond" w:hAnsi="Garamond"/>
          <w:lang w:eastAsia="zh-CN"/>
        </w:rPr>
      </w:pPr>
    </w:p>
    <w:p w14:paraId="4E05FEBC" w14:textId="77777777" w:rsidR="00162224" w:rsidRPr="003037D2" w:rsidRDefault="00162224" w:rsidP="00162224">
      <w:pPr>
        <w:rPr>
          <w:rFonts w:ascii="Garamond" w:hAnsi="Garamond"/>
          <w:lang w:eastAsia="zh-CN"/>
        </w:rPr>
      </w:pPr>
    </w:p>
    <w:p w14:paraId="570A5593" w14:textId="77777777" w:rsidR="00162224" w:rsidRPr="003037D2" w:rsidRDefault="00162224" w:rsidP="00162224">
      <w:pPr>
        <w:rPr>
          <w:rFonts w:ascii="Garamond" w:hAnsi="Garamond"/>
          <w:lang w:eastAsia="zh-CN"/>
        </w:rPr>
      </w:pPr>
    </w:p>
    <w:p w14:paraId="0AE54995" w14:textId="3921FE1B" w:rsidR="00162224" w:rsidRPr="003037D2" w:rsidRDefault="00162224" w:rsidP="00162224">
      <w:pPr>
        <w:rPr>
          <w:rFonts w:ascii="Garamond" w:hAnsi="Garamond"/>
          <w:lang w:eastAsia="zh-CN"/>
        </w:rPr>
      </w:pPr>
    </w:p>
    <w:p w14:paraId="681E1B63" w14:textId="76308603" w:rsidR="00A721D6" w:rsidRPr="003037D2" w:rsidRDefault="00A721D6" w:rsidP="00162224">
      <w:pPr>
        <w:rPr>
          <w:rFonts w:ascii="Garamond" w:hAnsi="Garamond"/>
          <w:lang w:eastAsia="zh-CN"/>
        </w:rPr>
      </w:pPr>
    </w:p>
    <w:p w14:paraId="3E92294F" w14:textId="5FD354D9" w:rsidR="00A721D6" w:rsidRPr="003037D2" w:rsidRDefault="00A721D6" w:rsidP="00162224">
      <w:pPr>
        <w:rPr>
          <w:rFonts w:ascii="Garamond" w:hAnsi="Garamond"/>
          <w:lang w:eastAsia="zh-CN"/>
        </w:rPr>
      </w:pPr>
    </w:p>
    <w:p w14:paraId="496AEDC3" w14:textId="77777777" w:rsidR="00A721D6" w:rsidRPr="003037D2" w:rsidRDefault="00A721D6" w:rsidP="00162224">
      <w:pPr>
        <w:rPr>
          <w:rFonts w:ascii="Garamond" w:hAnsi="Garamond"/>
          <w:lang w:eastAsia="zh-CN"/>
        </w:rPr>
      </w:pPr>
    </w:p>
    <w:p w14:paraId="6B482623" w14:textId="31E1181F" w:rsidR="00A721D6" w:rsidRPr="003037D2" w:rsidRDefault="00A721D6" w:rsidP="00162224">
      <w:pPr>
        <w:rPr>
          <w:rFonts w:ascii="Garamond" w:hAnsi="Garamond"/>
          <w:lang w:eastAsia="zh-CN"/>
        </w:rPr>
      </w:pPr>
    </w:p>
    <w:p w14:paraId="23673A1A" w14:textId="7D5A3F13" w:rsidR="00A721D6" w:rsidRDefault="00A721D6" w:rsidP="00162224">
      <w:pPr>
        <w:rPr>
          <w:rFonts w:ascii="Garamond" w:hAnsi="Garamond"/>
          <w:lang w:eastAsia="zh-CN"/>
        </w:rPr>
      </w:pPr>
    </w:p>
    <w:p w14:paraId="0A32C0C1" w14:textId="77777777" w:rsidR="00667CD5" w:rsidRPr="003037D2" w:rsidRDefault="00667CD5" w:rsidP="00162224">
      <w:pPr>
        <w:rPr>
          <w:rFonts w:ascii="Garamond" w:hAnsi="Garamond"/>
          <w:lang w:eastAsia="zh-CN"/>
        </w:rPr>
      </w:pPr>
    </w:p>
    <w:p w14:paraId="6793F5C3" w14:textId="50DC1B4F" w:rsidR="00A721D6" w:rsidRPr="003037D2" w:rsidRDefault="00A721D6" w:rsidP="00162224">
      <w:pPr>
        <w:rPr>
          <w:rFonts w:ascii="Garamond" w:hAnsi="Garamond"/>
          <w:lang w:eastAsia="zh-CN"/>
        </w:rPr>
      </w:pPr>
    </w:p>
    <w:p w14:paraId="27108203" w14:textId="77777777" w:rsidR="00A721D6" w:rsidRPr="003037D2" w:rsidRDefault="00A721D6" w:rsidP="00162224">
      <w:pPr>
        <w:rPr>
          <w:rFonts w:ascii="Garamond" w:hAnsi="Garamond"/>
          <w:lang w:eastAsia="zh-CN"/>
        </w:rPr>
      </w:pPr>
    </w:p>
    <w:p w14:paraId="1FBEABA8" w14:textId="77777777" w:rsidR="00A721D6" w:rsidRPr="003037D2" w:rsidRDefault="00A721D6" w:rsidP="00A721D6">
      <w:pPr>
        <w:rPr>
          <w:rFonts w:ascii="Garamond" w:hAnsi="Garamond"/>
          <w:lang w:eastAsia="zh-CN"/>
        </w:rPr>
      </w:pPr>
    </w:p>
    <w:p w14:paraId="46ED139E" w14:textId="4AEB6DF7" w:rsidR="00162224" w:rsidRPr="003037D2" w:rsidRDefault="00162224" w:rsidP="00A721D6">
      <w:pPr>
        <w:pStyle w:val="Heading1"/>
        <w:spacing w:line="240" w:lineRule="auto"/>
        <w:ind w:left="1361" w:hanging="720"/>
        <w:jc w:val="center"/>
        <w:rPr>
          <w:rFonts w:ascii="Garamond" w:hAnsi="Garamond"/>
          <w:b/>
          <w:color w:val="auto"/>
          <w:sz w:val="22"/>
          <w:szCs w:val="22"/>
        </w:rPr>
      </w:pPr>
      <w:bookmarkStart w:id="239" w:name="_Toc3967200"/>
      <w:r w:rsidRPr="003037D2">
        <w:rPr>
          <w:rFonts w:ascii="Garamond" w:hAnsi="Garamond"/>
          <w:b/>
          <w:color w:val="auto"/>
          <w:sz w:val="22"/>
          <w:szCs w:val="22"/>
        </w:rPr>
        <w:lastRenderedPageBreak/>
        <w:t>Bibliography</w:t>
      </w:r>
      <w:bookmarkEnd w:id="239"/>
    </w:p>
    <w:p w14:paraId="10167B21" w14:textId="77777777" w:rsidR="00162224" w:rsidRPr="003037D2" w:rsidRDefault="00162224" w:rsidP="00A721D6">
      <w:pPr>
        <w:ind w:left="1361" w:hanging="720"/>
        <w:rPr>
          <w:rFonts w:ascii="Garamond" w:hAnsi="Garamond"/>
        </w:rPr>
      </w:pPr>
    </w:p>
    <w:p w14:paraId="497E5596" w14:textId="77777777" w:rsidR="00162224" w:rsidRPr="003037D2" w:rsidRDefault="00162224" w:rsidP="00A721D6">
      <w:pPr>
        <w:pStyle w:val="Heading2"/>
        <w:numPr>
          <w:ilvl w:val="0"/>
          <w:numId w:val="43"/>
        </w:numPr>
        <w:spacing w:line="240" w:lineRule="auto"/>
        <w:ind w:left="1361"/>
        <w:rPr>
          <w:bCs w:val="0"/>
          <w:i w:val="0"/>
          <w:iCs/>
          <w:sz w:val="22"/>
          <w:szCs w:val="22"/>
        </w:rPr>
      </w:pPr>
      <w:bookmarkStart w:id="240" w:name="_Toc3967201"/>
      <w:r w:rsidRPr="003037D2">
        <w:rPr>
          <w:bCs w:val="0"/>
          <w:i w:val="0"/>
          <w:iCs/>
          <w:sz w:val="22"/>
          <w:szCs w:val="22"/>
        </w:rPr>
        <w:t>Primary Materials</w:t>
      </w:r>
      <w:bookmarkEnd w:id="240"/>
      <w:r w:rsidRPr="003037D2">
        <w:rPr>
          <w:bCs w:val="0"/>
          <w:i w:val="0"/>
          <w:iCs/>
          <w:sz w:val="22"/>
          <w:szCs w:val="22"/>
        </w:rPr>
        <w:t xml:space="preserve"> </w:t>
      </w:r>
    </w:p>
    <w:p w14:paraId="0EA648F7" w14:textId="77777777" w:rsidR="00162224" w:rsidRPr="003037D2" w:rsidRDefault="00162224" w:rsidP="00A721D6">
      <w:pPr>
        <w:ind w:left="1361" w:hanging="720"/>
        <w:rPr>
          <w:rFonts w:ascii="Garamond" w:hAnsi="Garamond"/>
          <w:iCs/>
        </w:rPr>
      </w:pPr>
    </w:p>
    <w:p w14:paraId="1C49EDAB" w14:textId="77777777" w:rsidR="00162224" w:rsidRPr="003037D2" w:rsidRDefault="00162224" w:rsidP="00A721D6">
      <w:pPr>
        <w:pStyle w:val="Heading2"/>
        <w:numPr>
          <w:ilvl w:val="0"/>
          <w:numId w:val="44"/>
        </w:numPr>
        <w:spacing w:line="240" w:lineRule="auto"/>
        <w:ind w:left="1361"/>
        <w:rPr>
          <w:bCs w:val="0"/>
          <w:i w:val="0"/>
          <w:iCs/>
          <w:sz w:val="22"/>
          <w:szCs w:val="22"/>
        </w:rPr>
      </w:pPr>
      <w:bookmarkStart w:id="241" w:name="_Toc3967202"/>
      <w:r w:rsidRPr="003037D2">
        <w:rPr>
          <w:bCs w:val="0"/>
          <w:i w:val="0"/>
          <w:iCs/>
          <w:sz w:val="22"/>
          <w:szCs w:val="22"/>
        </w:rPr>
        <w:t>Bibles</w:t>
      </w:r>
      <w:bookmarkEnd w:id="241"/>
      <w:r w:rsidRPr="003037D2">
        <w:rPr>
          <w:bCs w:val="0"/>
          <w:i w:val="0"/>
          <w:iCs/>
          <w:sz w:val="22"/>
          <w:szCs w:val="22"/>
        </w:rPr>
        <w:t xml:space="preserve"> </w:t>
      </w:r>
    </w:p>
    <w:p w14:paraId="5B2F8CF7" w14:textId="77777777" w:rsidR="00162224" w:rsidRPr="003037D2" w:rsidRDefault="00162224" w:rsidP="00A721D6">
      <w:pPr>
        <w:ind w:left="1361" w:hanging="720"/>
        <w:rPr>
          <w:rFonts w:ascii="Garamond" w:hAnsi="Garamond"/>
        </w:rPr>
      </w:pPr>
    </w:p>
    <w:p w14:paraId="4A3FC363" w14:textId="77777777" w:rsidR="00162224" w:rsidRPr="003037D2" w:rsidRDefault="00162224" w:rsidP="00A721D6">
      <w:pPr>
        <w:ind w:left="1361" w:hanging="720"/>
        <w:rPr>
          <w:rFonts w:ascii="Garamond" w:hAnsi="Garamond"/>
          <w:iCs/>
        </w:rPr>
      </w:pPr>
      <w:r w:rsidRPr="003037D2">
        <w:rPr>
          <w:rFonts w:ascii="Garamond" w:hAnsi="Garamond"/>
          <w:i/>
        </w:rPr>
        <w:t xml:space="preserve">The Bible and Holy Scriptures </w:t>
      </w:r>
      <w:proofErr w:type="spellStart"/>
      <w:r w:rsidRPr="003037D2">
        <w:rPr>
          <w:rFonts w:ascii="Garamond" w:hAnsi="Garamond"/>
          <w:i/>
        </w:rPr>
        <w:t>conteyned</w:t>
      </w:r>
      <w:proofErr w:type="spellEnd"/>
      <w:r w:rsidRPr="003037D2">
        <w:rPr>
          <w:rFonts w:ascii="Garamond" w:hAnsi="Garamond"/>
          <w:i/>
        </w:rPr>
        <w:t xml:space="preserve"> in the Olde and </w:t>
      </w:r>
      <w:proofErr w:type="spellStart"/>
      <w:r w:rsidRPr="003037D2">
        <w:rPr>
          <w:rFonts w:ascii="Garamond" w:hAnsi="Garamond"/>
          <w:i/>
        </w:rPr>
        <w:t>Newe</w:t>
      </w:r>
      <w:proofErr w:type="spellEnd"/>
      <w:r w:rsidRPr="003037D2">
        <w:rPr>
          <w:rFonts w:ascii="Garamond" w:hAnsi="Garamond"/>
          <w:i/>
        </w:rPr>
        <w:t xml:space="preserve"> Testament. Translated according to the </w:t>
      </w:r>
      <w:proofErr w:type="spellStart"/>
      <w:r w:rsidRPr="003037D2">
        <w:rPr>
          <w:rFonts w:ascii="Garamond" w:hAnsi="Garamond"/>
          <w:i/>
        </w:rPr>
        <w:t>Ebrue</w:t>
      </w:r>
      <w:proofErr w:type="spellEnd"/>
      <w:r w:rsidRPr="003037D2">
        <w:rPr>
          <w:rFonts w:ascii="Garamond" w:hAnsi="Garamond"/>
          <w:i/>
        </w:rPr>
        <w:t xml:space="preserve"> and </w:t>
      </w:r>
      <w:proofErr w:type="spellStart"/>
      <w:r w:rsidRPr="003037D2">
        <w:rPr>
          <w:rFonts w:ascii="Garamond" w:hAnsi="Garamond"/>
          <w:i/>
        </w:rPr>
        <w:t>Greke</w:t>
      </w:r>
      <w:proofErr w:type="spellEnd"/>
      <w:r w:rsidRPr="003037D2">
        <w:rPr>
          <w:rFonts w:ascii="Garamond" w:hAnsi="Garamond"/>
          <w:i/>
        </w:rPr>
        <w:t xml:space="preserve">, and conferred with the best translations in </w:t>
      </w:r>
      <w:proofErr w:type="spellStart"/>
      <w:r w:rsidRPr="003037D2">
        <w:rPr>
          <w:rFonts w:ascii="Garamond" w:hAnsi="Garamond"/>
          <w:i/>
        </w:rPr>
        <w:t>diuers</w:t>
      </w:r>
      <w:proofErr w:type="spellEnd"/>
      <w:r w:rsidRPr="003037D2">
        <w:rPr>
          <w:rFonts w:ascii="Garamond" w:hAnsi="Garamond"/>
          <w:i/>
        </w:rPr>
        <w:t xml:space="preserve"> </w:t>
      </w:r>
      <w:proofErr w:type="spellStart"/>
      <w:r w:rsidRPr="003037D2">
        <w:rPr>
          <w:rFonts w:ascii="Garamond" w:hAnsi="Garamond"/>
          <w:i/>
        </w:rPr>
        <w:t>languges</w:t>
      </w:r>
      <w:proofErr w:type="spellEnd"/>
      <w:r w:rsidRPr="003037D2">
        <w:rPr>
          <w:rFonts w:ascii="Garamond" w:hAnsi="Garamond"/>
          <w:i/>
        </w:rPr>
        <w:t xml:space="preserve"> </w:t>
      </w:r>
      <w:r w:rsidRPr="003037D2">
        <w:rPr>
          <w:rFonts w:ascii="Garamond" w:hAnsi="Garamond"/>
          <w:iCs/>
        </w:rPr>
        <w:t>(Geneva: 1560) [The Geneva Bible]</w:t>
      </w:r>
    </w:p>
    <w:p w14:paraId="0B3776C6" w14:textId="77777777" w:rsidR="00162224" w:rsidRPr="003037D2" w:rsidRDefault="00162224" w:rsidP="00A721D6">
      <w:pPr>
        <w:ind w:left="1361" w:hanging="720"/>
        <w:rPr>
          <w:rFonts w:ascii="Garamond" w:hAnsi="Garamond"/>
        </w:rPr>
      </w:pPr>
      <w:r w:rsidRPr="003037D2">
        <w:rPr>
          <w:rFonts w:ascii="Garamond" w:hAnsi="Garamond"/>
          <w:i/>
          <w:iCs/>
        </w:rPr>
        <w:t xml:space="preserve">The </w:t>
      </w:r>
      <w:proofErr w:type="spellStart"/>
      <w:r w:rsidRPr="003037D2">
        <w:rPr>
          <w:rFonts w:ascii="Garamond" w:hAnsi="Garamond"/>
          <w:i/>
          <w:iCs/>
        </w:rPr>
        <w:t>Holie</w:t>
      </w:r>
      <w:proofErr w:type="spellEnd"/>
      <w:r w:rsidRPr="003037D2">
        <w:rPr>
          <w:rFonts w:ascii="Garamond" w:hAnsi="Garamond"/>
          <w:i/>
          <w:iCs/>
        </w:rPr>
        <w:t xml:space="preserve"> Bible </w:t>
      </w:r>
      <w:r w:rsidRPr="003037D2">
        <w:rPr>
          <w:rFonts w:ascii="Garamond" w:hAnsi="Garamond"/>
        </w:rPr>
        <w:t>(London: 1568) [</w:t>
      </w:r>
      <w:r w:rsidRPr="002F1250">
        <w:rPr>
          <w:rFonts w:ascii="Garamond" w:hAnsi="Garamond"/>
          <w:i/>
          <w:iCs/>
        </w:rPr>
        <w:t>The Bishops’ Bible</w:t>
      </w:r>
      <w:r w:rsidRPr="003037D2">
        <w:rPr>
          <w:rFonts w:ascii="Garamond" w:hAnsi="Garamond"/>
        </w:rPr>
        <w:t xml:space="preserve">] </w:t>
      </w:r>
    </w:p>
    <w:p w14:paraId="69D43A2E" w14:textId="77777777" w:rsidR="00162224" w:rsidRPr="003037D2" w:rsidRDefault="00162224" w:rsidP="00A721D6">
      <w:pPr>
        <w:ind w:left="1361" w:hanging="720"/>
        <w:rPr>
          <w:rFonts w:ascii="Garamond" w:hAnsi="Garamond"/>
          <w:iCs/>
        </w:rPr>
      </w:pPr>
      <w:r w:rsidRPr="003037D2">
        <w:rPr>
          <w:rFonts w:ascii="Garamond" w:hAnsi="Garamond"/>
          <w:i/>
          <w:iCs/>
        </w:rPr>
        <w:t xml:space="preserve">The Holi Bible </w:t>
      </w:r>
      <w:r w:rsidRPr="003037D2">
        <w:rPr>
          <w:rFonts w:ascii="Garamond" w:hAnsi="Garamond"/>
          <w:iCs/>
        </w:rPr>
        <w:t>(London: 1572) [</w:t>
      </w:r>
      <w:r w:rsidRPr="002F1250">
        <w:rPr>
          <w:rFonts w:ascii="Garamond" w:hAnsi="Garamond"/>
          <w:i/>
        </w:rPr>
        <w:t>The Bishops’ Bible</w:t>
      </w:r>
      <w:r w:rsidRPr="003037D2">
        <w:rPr>
          <w:rFonts w:ascii="Garamond" w:hAnsi="Garamond"/>
          <w:iCs/>
        </w:rPr>
        <w:t xml:space="preserve">] </w:t>
      </w:r>
    </w:p>
    <w:p w14:paraId="0DC8F604" w14:textId="77777777" w:rsidR="00162224" w:rsidRPr="003037D2" w:rsidRDefault="00162224" w:rsidP="00A721D6">
      <w:pPr>
        <w:ind w:left="1361" w:hanging="720"/>
        <w:rPr>
          <w:rFonts w:ascii="Garamond" w:hAnsi="Garamond"/>
          <w:iCs/>
        </w:rPr>
      </w:pPr>
      <w:r w:rsidRPr="003037D2">
        <w:rPr>
          <w:rFonts w:ascii="Garamond" w:hAnsi="Garamond"/>
          <w:i/>
          <w:iCs/>
        </w:rPr>
        <w:t xml:space="preserve">The Holy Bible </w:t>
      </w:r>
      <w:r w:rsidRPr="003037D2">
        <w:rPr>
          <w:rFonts w:ascii="Garamond" w:hAnsi="Garamond"/>
        </w:rPr>
        <w:t>(London: 1602) [</w:t>
      </w:r>
      <w:r w:rsidRPr="002F1250">
        <w:rPr>
          <w:rFonts w:ascii="Garamond" w:hAnsi="Garamond"/>
          <w:i/>
          <w:iCs/>
        </w:rPr>
        <w:t>The Bishops’ Bible</w:t>
      </w:r>
      <w:r w:rsidRPr="003037D2">
        <w:rPr>
          <w:rFonts w:ascii="Garamond" w:hAnsi="Garamond"/>
        </w:rPr>
        <w:t xml:space="preserve">] </w:t>
      </w:r>
    </w:p>
    <w:p w14:paraId="7192C23B" w14:textId="77777777" w:rsidR="00162224" w:rsidRPr="003037D2" w:rsidRDefault="00162224" w:rsidP="00A721D6">
      <w:pPr>
        <w:ind w:left="1361" w:hanging="720"/>
        <w:rPr>
          <w:rFonts w:ascii="Garamond" w:hAnsi="Garamond"/>
        </w:rPr>
      </w:pPr>
      <w:r w:rsidRPr="003037D2">
        <w:rPr>
          <w:rFonts w:ascii="Garamond" w:hAnsi="Garamond"/>
          <w:i/>
          <w:iCs/>
        </w:rPr>
        <w:t xml:space="preserve">The Holy Bible </w:t>
      </w:r>
      <w:r w:rsidRPr="003037D2">
        <w:rPr>
          <w:rFonts w:ascii="Garamond" w:hAnsi="Garamond"/>
        </w:rPr>
        <w:t xml:space="preserve">(London: 1611) [King James Bible] </w:t>
      </w:r>
    </w:p>
    <w:p w14:paraId="263235EA" w14:textId="77777777" w:rsidR="00162224" w:rsidRPr="003037D2" w:rsidRDefault="00162224" w:rsidP="00A721D6">
      <w:pPr>
        <w:ind w:left="1361" w:hanging="720"/>
        <w:rPr>
          <w:rFonts w:ascii="Garamond" w:hAnsi="Garamond"/>
        </w:rPr>
      </w:pPr>
    </w:p>
    <w:p w14:paraId="6F4B1BCF" w14:textId="77777777" w:rsidR="00162224" w:rsidRPr="003037D2" w:rsidRDefault="00162224" w:rsidP="00A721D6">
      <w:pPr>
        <w:pStyle w:val="Heading2"/>
        <w:numPr>
          <w:ilvl w:val="0"/>
          <w:numId w:val="44"/>
        </w:numPr>
        <w:spacing w:line="240" w:lineRule="auto"/>
        <w:ind w:left="1361"/>
        <w:rPr>
          <w:bCs w:val="0"/>
          <w:i w:val="0"/>
          <w:iCs/>
          <w:sz w:val="22"/>
          <w:szCs w:val="22"/>
        </w:rPr>
      </w:pPr>
      <w:bookmarkStart w:id="242" w:name="_Toc3967203"/>
      <w:bookmarkStart w:id="243" w:name="_Hlk532640720"/>
      <w:r w:rsidRPr="003037D2">
        <w:rPr>
          <w:bCs w:val="0"/>
          <w:i w:val="0"/>
          <w:iCs/>
          <w:sz w:val="22"/>
          <w:szCs w:val="22"/>
        </w:rPr>
        <w:t>Books</w:t>
      </w:r>
      <w:bookmarkEnd w:id="242"/>
      <w:r w:rsidRPr="003037D2">
        <w:rPr>
          <w:bCs w:val="0"/>
          <w:i w:val="0"/>
          <w:iCs/>
          <w:sz w:val="22"/>
          <w:szCs w:val="22"/>
        </w:rPr>
        <w:t xml:space="preserve"> </w:t>
      </w:r>
    </w:p>
    <w:bookmarkEnd w:id="243"/>
    <w:p w14:paraId="2F76D12E" w14:textId="77777777" w:rsidR="00162224" w:rsidRPr="003037D2" w:rsidRDefault="00162224" w:rsidP="00A721D6">
      <w:pPr>
        <w:ind w:left="1361" w:hanging="720"/>
        <w:rPr>
          <w:rFonts w:ascii="Garamond" w:hAnsi="Garamond"/>
        </w:rPr>
      </w:pPr>
    </w:p>
    <w:p w14:paraId="7C43AAA6" w14:textId="77777777" w:rsidR="00162224" w:rsidRPr="003037D2" w:rsidRDefault="00162224" w:rsidP="00A721D6">
      <w:pPr>
        <w:ind w:left="1361" w:hanging="720"/>
        <w:rPr>
          <w:rFonts w:ascii="Garamond" w:hAnsi="Garamond"/>
          <w:i/>
          <w:iCs/>
        </w:rPr>
      </w:pPr>
      <w:r w:rsidRPr="003037D2">
        <w:rPr>
          <w:rFonts w:ascii="Garamond" w:hAnsi="Garamond"/>
        </w:rPr>
        <w:t xml:space="preserve">Agricola, Rudolph, ‘Rudolph Agricola’s </w:t>
      </w:r>
      <w:r w:rsidRPr="003037D2">
        <w:rPr>
          <w:rFonts w:ascii="Garamond" w:hAnsi="Garamond"/>
          <w:i/>
          <w:iCs/>
        </w:rPr>
        <w:t xml:space="preserve">De </w:t>
      </w:r>
      <w:proofErr w:type="spellStart"/>
      <w:r w:rsidRPr="003037D2">
        <w:rPr>
          <w:rFonts w:ascii="Garamond" w:hAnsi="Garamond"/>
          <w:i/>
          <w:iCs/>
        </w:rPr>
        <w:t>Inventione</w:t>
      </w:r>
      <w:proofErr w:type="spellEnd"/>
      <w:r w:rsidRPr="003037D2">
        <w:rPr>
          <w:rFonts w:ascii="Garamond" w:hAnsi="Garamond"/>
          <w:i/>
          <w:iCs/>
        </w:rPr>
        <w:t xml:space="preserve"> </w:t>
      </w:r>
      <w:proofErr w:type="spellStart"/>
      <w:r w:rsidRPr="003037D2">
        <w:rPr>
          <w:rFonts w:ascii="Garamond" w:hAnsi="Garamond"/>
          <w:i/>
          <w:iCs/>
        </w:rPr>
        <w:t>Dialectica</w:t>
      </w:r>
      <w:proofErr w:type="spellEnd"/>
      <w:r w:rsidRPr="003037D2">
        <w:rPr>
          <w:rFonts w:ascii="Garamond" w:hAnsi="Garamond"/>
          <w:i/>
          <w:iCs/>
        </w:rPr>
        <w:t xml:space="preserve"> Libri </w:t>
      </w:r>
      <w:proofErr w:type="spellStart"/>
      <w:r w:rsidRPr="003037D2">
        <w:rPr>
          <w:rFonts w:ascii="Garamond" w:hAnsi="Garamond"/>
          <w:i/>
          <w:iCs/>
        </w:rPr>
        <w:t>tres</w:t>
      </w:r>
      <w:proofErr w:type="spellEnd"/>
      <w:r w:rsidRPr="003037D2">
        <w:rPr>
          <w:rFonts w:ascii="Garamond" w:hAnsi="Garamond"/>
        </w:rPr>
        <w:t xml:space="preserve">; A Translation of Selected Chapters’ translated by J. R. McNally in </w:t>
      </w:r>
      <w:r w:rsidRPr="003037D2">
        <w:rPr>
          <w:rFonts w:ascii="Garamond" w:hAnsi="Garamond"/>
          <w:i/>
          <w:iCs/>
        </w:rPr>
        <w:t>Speech Monographs</w:t>
      </w:r>
      <w:r w:rsidRPr="003037D2">
        <w:rPr>
          <w:rFonts w:ascii="Garamond" w:hAnsi="Garamond"/>
        </w:rPr>
        <w:t>, 34.4 (November 1967), pp. 393-421</w:t>
      </w:r>
    </w:p>
    <w:p w14:paraId="4AF69372" w14:textId="77777777" w:rsidR="00162224" w:rsidRPr="003037D2" w:rsidRDefault="00162224" w:rsidP="00A721D6">
      <w:pPr>
        <w:ind w:left="1361" w:hanging="720"/>
        <w:rPr>
          <w:rFonts w:ascii="Garamond" w:hAnsi="Garamond"/>
        </w:rPr>
      </w:pPr>
      <w:proofErr w:type="spellStart"/>
      <w:r w:rsidRPr="003037D2">
        <w:rPr>
          <w:rFonts w:ascii="Garamond" w:hAnsi="Garamond"/>
        </w:rPr>
        <w:t>Allestree</w:t>
      </w:r>
      <w:proofErr w:type="spellEnd"/>
      <w:r w:rsidRPr="003037D2">
        <w:rPr>
          <w:rFonts w:ascii="Garamond" w:hAnsi="Garamond"/>
        </w:rPr>
        <w:t xml:space="preserve">, Richard, </w:t>
      </w:r>
      <w:r w:rsidRPr="003037D2">
        <w:rPr>
          <w:rFonts w:ascii="Garamond" w:hAnsi="Garamond"/>
          <w:i/>
        </w:rPr>
        <w:t xml:space="preserve">A new almanack and prognostication, for the </w:t>
      </w:r>
      <w:proofErr w:type="spellStart"/>
      <w:r w:rsidRPr="003037D2">
        <w:rPr>
          <w:rFonts w:ascii="Garamond" w:hAnsi="Garamond"/>
          <w:i/>
        </w:rPr>
        <w:t>yeere</w:t>
      </w:r>
      <w:proofErr w:type="spellEnd"/>
      <w:r w:rsidRPr="003037D2">
        <w:rPr>
          <w:rFonts w:ascii="Garamond" w:hAnsi="Garamond"/>
          <w:i/>
        </w:rPr>
        <w:t xml:space="preserve"> of our Lord God, 1626. And from the creation</w:t>
      </w:r>
      <w:r w:rsidRPr="003037D2">
        <w:rPr>
          <w:rFonts w:ascii="Garamond" w:hAnsi="Garamond"/>
        </w:rPr>
        <w:t xml:space="preserve"> (London: T. Coates, 1626), 28229, Huntington Library, CA </w:t>
      </w:r>
    </w:p>
    <w:p w14:paraId="7083610A" w14:textId="77777777" w:rsidR="00162224" w:rsidRPr="003037D2" w:rsidRDefault="00162224" w:rsidP="00A721D6">
      <w:pPr>
        <w:ind w:left="1361" w:hanging="720"/>
        <w:rPr>
          <w:rFonts w:ascii="Garamond" w:hAnsi="Garamond"/>
        </w:rPr>
      </w:pPr>
      <w:r w:rsidRPr="003037D2">
        <w:rPr>
          <w:rFonts w:ascii="Garamond" w:hAnsi="Garamond"/>
          <w:i/>
          <w:iCs/>
        </w:rPr>
        <w:t>___</w:t>
      </w:r>
      <w:proofErr w:type="gramStart"/>
      <w:r w:rsidRPr="003037D2">
        <w:rPr>
          <w:rFonts w:ascii="Garamond" w:hAnsi="Garamond"/>
          <w:i/>
          <w:iCs/>
        </w:rPr>
        <w:t>_ ,</w:t>
      </w:r>
      <w:proofErr w:type="gramEnd"/>
      <w:r w:rsidRPr="003037D2">
        <w:rPr>
          <w:rFonts w:ascii="Garamond" w:hAnsi="Garamond"/>
          <w:i/>
          <w:iCs/>
        </w:rPr>
        <w:t xml:space="preserve"> </w:t>
      </w:r>
      <w:r w:rsidRPr="003037D2">
        <w:rPr>
          <w:rFonts w:ascii="Garamond" w:hAnsi="Garamond"/>
          <w:i/>
        </w:rPr>
        <w:t xml:space="preserve"> A new almanack and prognostication, for the </w:t>
      </w:r>
      <w:proofErr w:type="spellStart"/>
      <w:r w:rsidRPr="003037D2">
        <w:rPr>
          <w:rFonts w:ascii="Garamond" w:hAnsi="Garamond"/>
          <w:i/>
        </w:rPr>
        <w:t>yeere</w:t>
      </w:r>
      <w:proofErr w:type="spellEnd"/>
      <w:r w:rsidRPr="003037D2">
        <w:rPr>
          <w:rFonts w:ascii="Garamond" w:hAnsi="Garamond"/>
          <w:i/>
        </w:rPr>
        <w:t xml:space="preserve"> of our Lord God, 1628. And from the creation</w:t>
      </w:r>
      <w:r w:rsidRPr="003037D2">
        <w:rPr>
          <w:rFonts w:ascii="Garamond" w:hAnsi="Garamond"/>
        </w:rPr>
        <w:t xml:space="preserve"> (London: T. Coates, 1628), 429498, Huntington Library, CA </w:t>
      </w:r>
    </w:p>
    <w:p w14:paraId="7B2EBAA9" w14:textId="77777777" w:rsidR="00162224" w:rsidRPr="003037D2" w:rsidRDefault="00162224" w:rsidP="00A721D6">
      <w:pPr>
        <w:ind w:left="1361" w:hanging="720"/>
        <w:rPr>
          <w:rFonts w:ascii="Garamond" w:hAnsi="Garamond"/>
        </w:rPr>
      </w:pPr>
      <w:r w:rsidRPr="003037D2">
        <w:rPr>
          <w:rFonts w:ascii="Garamond" w:hAnsi="Garamond"/>
          <w:i/>
          <w:iCs/>
        </w:rPr>
        <w:t>___</w:t>
      </w:r>
      <w:proofErr w:type="gramStart"/>
      <w:r w:rsidRPr="003037D2">
        <w:rPr>
          <w:rFonts w:ascii="Garamond" w:hAnsi="Garamond"/>
          <w:i/>
          <w:iCs/>
        </w:rPr>
        <w:t>_ ,</w:t>
      </w:r>
      <w:proofErr w:type="gramEnd"/>
      <w:r w:rsidRPr="003037D2">
        <w:rPr>
          <w:rFonts w:ascii="Garamond" w:hAnsi="Garamond"/>
          <w:i/>
          <w:iCs/>
        </w:rPr>
        <w:t xml:space="preserve"> </w:t>
      </w:r>
      <w:r w:rsidRPr="003037D2">
        <w:rPr>
          <w:rFonts w:ascii="Garamond" w:hAnsi="Garamond"/>
          <w:i/>
        </w:rPr>
        <w:t xml:space="preserve"> A new almanack and prognostication, for the </w:t>
      </w:r>
      <w:proofErr w:type="spellStart"/>
      <w:r w:rsidRPr="003037D2">
        <w:rPr>
          <w:rFonts w:ascii="Garamond" w:hAnsi="Garamond"/>
          <w:i/>
        </w:rPr>
        <w:t>yeere</w:t>
      </w:r>
      <w:proofErr w:type="spellEnd"/>
      <w:r w:rsidRPr="003037D2">
        <w:rPr>
          <w:rFonts w:ascii="Garamond" w:hAnsi="Garamond"/>
          <w:i/>
        </w:rPr>
        <w:t xml:space="preserve"> of our Lord God, 1632. And from the creation</w:t>
      </w:r>
      <w:r w:rsidRPr="003037D2">
        <w:rPr>
          <w:rFonts w:ascii="Garamond" w:hAnsi="Garamond"/>
        </w:rPr>
        <w:t xml:space="preserve"> (London: T. Coates, 1632), 28230, Huntington Library, CA</w:t>
      </w:r>
    </w:p>
    <w:p w14:paraId="4ABBD350" w14:textId="627FE192" w:rsidR="00162224" w:rsidRPr="003037D2" w:rsidRDefault="00162224" w:rsidP="00A721D6">
      <w:pPr>
        <w:ind w:left="1361" w:hanging="720"/>
        <w:rPr>
          <w:rFonts w:ascii="Garamond" w:hAnsi="Garamond"/>
        </w:rPr>
      </w:pPr>
      <w:r w:rsidRPr="003037D2">
        <w:rPr>
          <w:rFonts w:ascii="Garamond" w:hAnsi="Garamond"/>
        </w:rPr>
        <w:t xml:space="preserve">Andrewes, Lancelot, </w:t>
      </w:r>
      <w:r w:rsidRPr="003037D2">
        <w:rPr>
          <w:rFonts w:ascii="Garamond" w:hAnsi="Garamond"/>
          <w:i/>
          <w:iCs/>
        </w:rPr>
        <w:t>The Works of Lancelot Andrewes: Sometime Bishop of Winchester</w:t>
      </w:r>
      <w:r w:rsidR="0065623B">
        <w:rPr>
          <w:rFonts w:ascii="Garamond" w:hAnsi="Garamond"/>
          <w:i/>
          <w:iCs/>
        </w:rPr>
        <w:t xml:space="preserve"> </w:t>
      </w:r>
      <w:r w:rsidRPr="003037D2">
        <w:rPr>
          <w:rFonts w:ascii="Garamond" w:hAnsi="Garamond"/>
        </w:rPr>
        <w:t>(New York: AMS Press, 1964)</w:t>
      </w:r>
    </w:p>
    <w:p w14:paraId="22A68FE3" w14:textId="77777777" w:rsidR="00162224" w:rsidRPr="003037D2" w:rsidRDefault="00162224" w:rsidP="00A721D6">
      <w:pPr>
        <w:ind w:left="1361" w:hanging="720"/>
        <w:rPr>
          <w:rFonts w:ascii="Garamond" w:hAnsi="Garamond"/>
          <w:iCs/>
        </w:rPr>
      </w:pPr>
      <w:r w:rsidRPr="003037D2">
        <w:rPr>
          <w:rFonts w:ascii="Garamond" w:hAnsi="Garamond"/>
          <w:i/>
        </w:rPr>
        <w:t xml:space="preserve">The Arraignment, Conviction, and Imprisoning, of Christmas: on St. Thomas day last </w:t>
      </w:r>
      <w:r w:rsidRPr="003037D2">
        <w:rPr>
          <w:rFonts w:ascii="Garamond" w:hAnsi="Garamond"/>
          <w:iCs/>
        </w:rPr>
        <w:t>(London: 1646)</w:t>
      </w:r>
    </w:p>
    <w:p w14:paraId="6AEAB98D" w14:textId="6654A1C9" w:rsidR="00162224" w:rsidRPr="003037D2" w:rsidRDefault="00162224" w:rsidP="00A721D6">
      <w:pPr>
        <w:ind w:left="1361" w:hanging="720"/>
        <w:rPr>
          <w:rFonts w:ascii="Garamond" w:hAnsi="Garamond"/>
        </w:rPr>
      </w:pPr>
      <w:r w:rsidRPr="003037D2">
        <w:rPr>
          <w:rFonts w:ascii="Garamond" w:hAnsi="Garamond"/>
        </w:rPr>
        <w:t xml:space="preserve">Aristotle, </w:t>
      </w:r>
      <w:r w:rsidRPr="003037D2">
        <w:rPr>
          <w:rFonts w:ascii="Garamond" w:hAnsi="Garamond"/>
          <w:i/>
          <w:iCs/>
        </w:rPr>
        <w:t xml:space="preserve">De Anima, </w:t>
      </w:r>
      <w:r w:rsidRPr="003037D2">
        <w:rPr>
          <w:rFonts w:ascii="Garamond" w:hAnsi="Garamond"/>
        </w:rPr>
        <w:t>translated by J.A Smith. (Internet Classics Archive) &lt;</w:t>
      </w:r>
      <w:hyperlink r:id="rId73" w:history="1">
        <w:r w:rsidRPr="003037D2">
          <w:rPr>
            <w:rStyle w:val="Hyperlink"/>
            <w:rFonts w:ascii="Garamond" w:hAnsi="Garamond"/>
          </w:rPr>
          <w:t>http://classics.mit.edu/Aristotle/soul.mb.txt</w:t>
        </w:r>
      </w:hyperlink>
      <w:r w:rsidRPr="003037D2">
        <w:rPr>
          <w:rFonts w:ascii="Garamond" w:hAnsi="Garamond"/>
        </w:rPr>
        <w:t xml:space="preserve">&gt; [accessed 6 </w:t>
      </w:r>
      <w:proofErr w:type="spellStart"/>
      <w:r w:rsidRPr="003037D2">
        <w:rPr>
          <w:rFonts w:ascii="Garamond" w:hAnsi="Garamond"/>
        </w:rPr>
        <w:t>Decembe</w:t>
      </w:r>
      <w:proofErr w:type="spellEnd"/>
      <w:r w:rsidRPr="003037D2">
        <w:rPr>
          <w:rFonts w:ascii="Garamond" w:hAnsi="Garamond"/>
        </w:rPr>
        <w:t xml:space="preserve"> 2018]  </w:t>
      </w:r>
    </w:p>
    <w:p w14:paraId="49DD3801" w14:textId="77777777" w:rsidR="00162224" w:rsidRPr="003037D2" w:rsidRDefault="00162224" w:rsidP="00A721D6">
      <w:pPr>
        <w:ind w:left="1361" w:hanging="720"/>
        <w:rPr>
          <w:rFonts w:ascii="Garamond" w:hAnsi="Garamond"/>
        </w:rPr>
      </w:pPr>
      <w:r w:rsidRPr="003037D2">
        <w:rPr>
          <w:rFonts w:ascii="Garamond" w:hAnsi="Garamond"/>
        </w:rPr>
        <w:t xml:space="preserve">Athanasius, ‘The Letter of Athanasius, Our Holy Father, Archbishop of Alexandria, To Marcellinus on the Interpretation of the Psalms’ in </w:t>
      </w:r>
      <w:r w:rsidRPr="003037D2">
        <w:rPr>
          <w:rFonts w:ascii="Garamond" w:hAnsi="Garamond"/>
          <w:i/>
          <w:iCs/>
        </w:rPr>
        <w:t xml:space="preserve">The Life of Antony And </w:t>
      </w:r>
      <w:proofErr w:type="gramStart"/>
      <w:r w:rsidRPr="003037D2">
        <w:rPr>
          <w:rFonts w:ascii="Garamond" w:hAnsi="Garamond"/>
          <w:i/>
          <w:iCs/>
        </w:rPr>
        <w:t>The</w:t>
      </w:r>
      <w:proofErr w:type="gramEnd"/>
      <w:r w:rsidRPr="003037D2">
        <w:rPr>
          <w:rFonts w:ascii="Garamond" w:hAnsi="Garamond"/>
          <w:i/>
          <w:iCs/>
        </w:rPr>
        <w:t xml:space="preserve"> Letter To Marcellinus, </w:t>
      </w:r>
      <w:r w:rsidRPr="003037D2">
        <w:rPr>
          <w:rFonts w:ascii="Garamond" w:hAnsi="Garamond"/>
        </w:rPr>
        <w:t>translated by Robert C. Gregg (New York, Paulist Press, 1980), pp. 101-129</w:t>
      </w:r>
    </w:p>
    <w:p w14:paraId="46BA59DA" w14:textId="77777777" w:rsidR="00162224" w:rsidRPr="003037D2" w:rsidRDefault="00162224" w:rsidP="00A721D6">
      <w:pPr>
        <w:pStyle w:val="HTMLPreformatted"/>
        <w:ind w:left="1361" w:hanging="720"/>
        <w:rPr>
          <w:rFonts w:ascii="Garamond" w:hAnsi="Garamond"/>
          <w:sz w:val="22"/>
          <w:szCs w:val="22"/>
        </w:rPr>
      </w:pPr>
      <w:r w:rsidRPr="003037D2">
        <w:rPr>
          <w:rFonts w:ascii="Garamond" w:hAnsi="Garamond"/>
          <w:sz w:val="22"/>
          <w:szCs w:val="22"/>
        </w:rPr>
        <w:t xml:space="preserve">Bacon, Francis, </w:t>
      </w:r>
      <w:bookmarkStart w:id="244" w:name="_Hlk532384048"/>
      <w:r w:rsidRPr="003037D2">
        <w:rPr>
          <w:rFonts w:ascii="Garamond" w:hAnsi="Garamond"/>
          <w:i/>
          <w:sz w:val="22"/>
          <w:szCs w:val="22"/>
        </w:rPr>
        <w:t xml:space="preserve">The Works of Francis Bacon, </w:t>
      </w:r>
      <w:r w:rsidRPr="003037D2">
        <w:rPr>
          <w:rFonts w:ascii="Garamond" w:hAnsi="Garamond"/>
          <w:sz w:val="22"/>
          <w:szCs w:val="22"/>
        </w:rPr>
        <w:t xml:space="preserve">ed. by James </w:t>
      </w:r>
      <w:proofErr w:type="spellStart"/>
      <w:r w:rsidRPr="003037D2">
        <w:rPr>
          <w:rFonts w:ascii="Garamond" w:hAnsi="Garamond"/>
          <w:sz w:val="22"/>
          <w:szCs w:val="22"/>
        </w:rPr>
        <w:t>Spedding</w:t>
      </w:r>
      <w:proofErr w:type="spellEnd"/>
      <w:r w:rsidRPr="003037D2">
        <w:rPr>
          <w:rFonts w:ascii="Garamond" w:hAnsi="Garamond"/>
          <w:sz w:val="22"/>
          <w:szCs w:val="22"/>
        </w:rPr>
        <w:t xml:space="preserve">, Robert Leslie Ellis, and Douglas Denon Heath (London: Longmans, Green, Reader, and Dyer, 1868) </w:t>
      </w:r>
    </w:p>
    <w:bookmarkEnd w:id="244"/>
    <w:p w14:paraId="7615D1B7" w14:textId="77777777" w:rsidR="00162224" w:rsidRPr="003037D2" w:rsidRDefault="00162224" w:rsidP="00A721D6">
      <w:pPr>
        <w:pStyle w:val="HTMLPreformatted"/>
        <w:ind w:left="1361" w:hanging="720"/>
        <w:rPr>
          <w:rFonts w:ascii="Garamond" w:hAnsi="Garamond"/>
          <w:sz w:val="22"/>
          <w:szCs w:val="22"/>
        </w:rPr>
      </w:pPr>
    </w:p>
    <w:p w14:paraId="3E1B4B4C" w14:textId="77777777" w:rsidR="00162224" w:rsidRPr="003037D2" w:rsidRDefault="00162224" w:rsidP="00A721D6">
      <w:pPr>
        <w:ind w:left="1361" w:hanging="720"/>
        <w:rPr>
          <w:rFonts w:ascii="Garamond" w:hAnsi="Garamond"/>
        </w:rPr>
      </w:pPr>
      <w:r w:rsidRPr="003037D2">
        <w:rPr>
          <w:rFonts w:ascii="Garamond" w:hAnsi="Garamond"/>
        </w:rPr>
        <w:t xml:space="preserve">Bale, John, </w:t>
      </w:r>
      <w:r w:rsidRPr="003037D2">
        <w:rPr>
          <w:rFonts w:ascii="Garamond" w:hAnsi="Garamond"/>
          <w:i/>
        </w:rPr>
        <w:t xml:space="preserve">Select works of John Bale: Containing the examinations of Lord </w:t>
      </w:r>
      <w:proofErr w:type="spellStart"/>
      <w:r w:rsidRPr="003037D2">
        <w:rPr>
          <w:rFonts w:ascii="Garamond" w:hAnsi="Garamond"/>
          <w:i/>
        </w:rPr>
        <w:t>Cobham</w:t>
      </w:r>
      <w:proofErr w:type="spellEnd"/>
      <w:r w:rsidRPr="003037D2">
        <w:rPr>
          <w:rFonts w:ascii="Garamond" w:hAnsi="Garamond"/>
          <w:i/>
        </w:rPr>
        <w:t xml:space="preserve">, William Thorpe, and Anne </w:t>
      </w:r>
      <w:proofErr w:type="spellStart"/>
      <w:r w:rsidRPr="003037D2">
        <w:rPr>
          <w:rFonts w:ascii="Garamond" w:hAnsi="Garamond"/>
          <w:i/>
        </w:rPr>
        <w:t>Askewe</w:t>
      </w:r>
      <w:proofErr w:type="spellEnd"/>
      <w:r w:rsidRPr="003037D2">
        <w:rPr>
          <w:rFonts w:ascii="Garamond" w:hAnsi="Garamond"/>
          <w:i/>
        </w:rPr>
        <w:t>, and ‘The Image of both Churches’</w:t>
      </w:r>
      <w:r w:rsidRPr="003037D2">
        <w:rPr>
          <w:rFonts w:ascii="Garamond" w:hAnsi="Garamond"/>
        </w:rPr>
        <w:t xml:space="preserve"> (Cambridge: Cambridge University Press, 1849) </w:t>
      </w:r>
    </w:p>
    <w:p w14:paraId="38247927" w14:textId="77777777" w:rsidR="00162224" w:rsidRPr="003037D2" w:rsidRDefault="00162224" w:rsidP="00A721D6">
      <w:pPr>
        <w:ind w:left="1361" w:hanging="720"/>
        <w:rPr>
          <w:rFonts w:ascii="Garamond" w:hAnsi="Garamond"/>
        </w:rPr>
      </w:pPr>
      <w:r w:rsidRPr="003037D2">
        <w:rPr>
          <w:rFonts w:ascii="Garamond" w:hAnsi="Garamond"/>
        </w:rPr>
        <w:t xml:space="preserve">Bernard, Richard, </w:t>
      </w:r>
      <w:proofErr w:type="spellStart"/>
      <w:r w:rsidRPr="003037D2">
        <w:rPr>
          <w:rFonts w:ascii="Garamond" w:hAnsi="Garamond"/>
          <w:i/>
          <w:iCs/>
        </w:rPr>
        <w:t>Davids</w:t>
      </w:r>
      <w:proofErr w:type="spellEnd"/>
      <w:r w:rsidRPr="003037D2">
        <w:rPr>
          <w:rFonts w:ascii="Garamond" w:hAnsi="Garamond"/>
          <w:i/>
          <w:iCs/>
        </w:rPr>
        <w:t xml:space="preserve"> </w:t>
      </w:r>
      <w:proofErr w:type="spellStart"/>
      <w:r w:rsidRPr="003037D2">
        <w:rPr>
          <w:rFonts w:ascii="Garamond" w:hAnsi="Garamond"/>
          <w:i/>
          <w:iCs/>
        </w:rPr>
        <w:t>Musick</w:t>
      </w:r>
      <w:proofErr w:type="spellEnd"/>
      <w:r w:rsidRPr="003037D2">
        <w:rPr>
          <w:rFonts w:ascii="Garamond" w:hAnsi="Garamond"/>
          <w:i/>
          <w:iCs/>
        </w:rPr>
        <w:t xml:space="preserve">: Or </w:t>
      </w:r>
      <w:proofErr w:type="spellStart"/>
      <w:r w:rsidRPr="003037D2">
        <w:rPr>
          <w:rFonts w:ascii="Garamond" w:hAnsi="Garamond"/>
          <w:i/>
          <w:iCs/>
        </w:rPr>
        <w:t>Psalmes</w:t>
      </w:r>
      <w:proofErr w:type="spellEnd"/>
      <w:r w:rsidRPr="003037D2">
        <w:rPr>
          <w:rFonts w:ascii="Garamond" w:hAnsi="Garamond"/>
          <w:i/>
          <w:iCs/>
        </w:rPr>
        <w:t xml:space="preserve"> Of That Royall Prophet, Once </w:t>
      </w:r>
      <w:proofErr w:type="gramStart"/>
      <w:r w:rsidRPr="003037D2">
        <w:rPr>
          <w:rFonts w:ascii="Garamond" w:hAnsi="Garamond"/>
          <w:i/>
          <w:iCs/>
        </w:rPr>
        <w:t>The</w:t>
      </w:r>
      <w:proofErr w:type="gramEnd"/>
      <w:r w:rsidRPr="003037D2">
        <w:rPr>
          <w:rFonts w:ascii="Garamond" w:hAnsi="Garamond"/>
          <w:i/>
          <w:iCs/>
        </w:rPr>
        <w:t xml:space="preserve"> </w:t>
      </w:r>
      <w:proofErr w:type="spellStart"/>
      <w:r w:rsidRPr="003037D2">
        <w:rPr>
          <w:rFonts w:ascii="Garamond" w:hAnsi="Garamond"/>
          <w:i/>
          <w:iCs/>
        </w:rPr>
        <w:t>Sweete</w:t>
      </w:r>
      <w:proofErr w:type="spellEnd"/>
      <w:r w:rsidRPr="003037D2">
        <w:rPr>
          <w:rFonts w:ascii="Garamond" w:hAnsi="Garamond"/>
          <w:i/>
          <w:iCs/>
        </w:rPr>
        <w:t xml:space="preserve"> Singer Of That Israel Unfolded Logically</w:t>
      </w:r>
      <w:r w:rsidRPr="003037D2">
        <w:rPr>
          <w:rFonts w:ascii="Garamond" w:hAnsi="Garamond"/>
        </w:rPr>
        <w:t xml:space="preserve"> (London: 1616)</w:t>
      </w:r>
    </w:p>
    <w:p w14:paraId="6A489F23" w14:textId="77777777" w:rsidR="00162224" w:rsidRPr="003037D2" w:rsidRDefault="00162224" w:rsidP="00A721D6">
      <w:pPr>
        <w:ind w:left="1361" w:hanging="720"/>
        <w:rPr>
          <w:rFonts w:ascii="Garamond" w:hAnsi="Garamond"/>
        </w:rPr>
      </w:pPr>
      <w:r w:rsidRPr="003037D2">
        <w:rPr>
          <w:rFonts w:ascii="Garamond" w:hAnsi="Garamond"/>
          <w:i/>
        </w:rPr>
        <w:t>___</w:t>
      </w:r>
      <w:proofErr w:type="gramStart"/>
      <w:r w:rsidRPr="003037D2">
        <w:rPr>
          <w:rFonts w:ascii="Garamond" w:hAnsi="Garamond"/>
          <w:i/>
        </w:rPr>
        <w:t>_ ,</w:t>
      </w:r>
      <w:proofErr w:type="gramEnd"/>
      <w:r w:rsidRPr="003037D2">
        <w:rPr>
          <w:rFonts w:ascii="Garamond" w:hAnsi="Garamond"/>
          <w:i/>
        </w:rPr>
        <w:t xml:space="preserve"> The Faithful Shepherd much enlarged with The Shepherds Practice in the End </w:t>
      </w:r>
      <w:r w:rsidRPr="003037D2">
        <w:rPr>
          <w:rFonts w:ascii="Garamond" w:hAnsi="Garamond"/>
        </w:rPr>
        <w:t>(London: 1621)</w:t>
      </w:r>
    </w:p>
    <w:p w14:paraId="7F0DF6F9" w14:textId="77777777" w:rsidR="00162224" w:rsidRPr="003037D2" w:rsidRDefault="00162224" w:rsidP="00A721D6">
      <w:pPr>
        <w:ind w:left="1361" w:hanging="720"/>
        <w:rPr>
          <w:rFonts w:ascii="Garamond" w:hAnsi="Garamond"/>
          <w:iCs/>
        </w:rPr>
      </w:pPr>
      <w:r w:rsidRPr="003037D2">
        <w:rPr>
          <w:rFonts w:ascii="Garamond" w:hAnsi="Garamond"/>
          <w:i/>
          <w:iCs/>
        </w:rPr>
        <w:t xml:space="preserve">The Boke of Psalms </w:t>
      </w:r>
      <w:r w:rsidRPr="003037D2">
        <w:rPr>
          <w:rFonts w:ascii="Garamond" w:hAnsi="Garamond"/>
          <w:iCs/>
        </w:rPr>
        <w:t>(Geneva: 1599)</w:t>
      </w:r>
    </w:p>
    <w:p w14:paraId="55C8B8EC" w14:textId="77777777" w:rsidR="00162224" w:rsidRPr="003037D2" w:rsidRDefault="00162224" w:rsidP="00A721D6">
      <w:pPr>
        <w:ind w:left="1361" w:hanging="720"/>
        <w:rPr>
          <w:rFonts w:ascii="Garamond" w:hAnsi="Garamond"/>
        </w:rPr>
      </w:pPr>
      <w:r w:rsidRPr="003037D2">
        <w:rPr>
          <w:rFonts w:ascii="Garamond" w:hAnsi="Garamond"/>
        </w:rPr>
        <w:t xml:space="preserve">Booker, John, </w:t>
      </w:r>
      <w:r w:rsidRPr="003037D2">
        <w:rPr>
          <w:rFonts w:ascii="Garamond" w:hAnsi="Garamond"/>
          <w:i/>
        </w:rPr>
        <w:t xml:space="preserve">A bloody Irish almanack, or, Rebellious and bloody Ireland, discovered in some notes extracted out of an almanack </w:t>
      </w:r>
      <w:r w:rsidRPr="003037D2">
        <w:rPr>
          <w:rFonts w:ascii="Garamond" w:hAnsi="Garamond"/>
        </w:rPr>
        <w:t xml:space="preserve">(London: John Partridge, 1646), 61815, Huntington Library, CA </w:t>
      </w:r>
    </w:p>
    <w:p w14:paraId="106B295A" w14:textId="77777777" w:rsidR="00162224" w:rsidRPr="003037D2" w:rsidRDefault="00162224" w:rsidP="00A721D6">
      <w:pPr>
        <w:ind w:left="1361" w:hanging="720"/>
        <w:rPr>
          <w:rFonts w:ascii="Garamond" w:hAnsi="Garamond"/>
        </w:rPr>
      </w:pPr>
      <w:r w:rsidRPr="003037D2">
        <w:rPr>
          <w:rFonts w:ascii="Garamond" w:hAnsi="Garamond"/>
          <w:i/>
          <w:iCs/>
        </w:rPr>
        <w:lastRenderedPageBreak/>
        <w:t>___</w:t>
      </w:r>
      <w:proofErr w:type="gramStart"/>
      <w:r w:rsidRPr="003037D2">
        <w:rPr>
          <w:rFonts w:ascii="Garamond" w:hAnsi="Garamond"/>
          <w:i/>
          <w:iCs/>
        </w:rPr>
        <w:t>_ ,</w:t>
      </w:r>
      <w:proofErr w:type="gramEnd"/>
      <w:r w:rsidRPr="003037D2">
        <w:rPr>
          <w:rFonts w:ascii="Garamond" w:hAnsi="Garamond"/>
          <w:i/>
          <w:iCs/>
        </w:rPr>
        <w:t xml:space="preserve"> </w:t>
      </w:r>
      <w:r w:rsidRPr="003037D2">
        <w:rPr>
          <w:rFonts w:ascii="Garamond" w:hAnsi="Garamond"/>
          <w:i/>
        </w:rPr>
        <w:t xml:space="preserve"> An old almanack after a new fashion. </w:t>
      </w:r>
      <w:proofErr w:type="spellStart"/>
      <w:r w:rsidRPr="003037D2">
        <w:rPr>
          <w:rFonts w:ascii="Garamond" w:hAnsi="Garamond"/>
          <w:i/>
        </w:rPr>
        <w:t>Coelestiall</w:t>
      </w:r>
      <w:proofErr w:type="spellEnd"/>
      <w:r w:rsidRPr="003037D2">
        <w:rPr>
          <w:rFonts w:ascii="Garamond" w:hAnsi="Garamond"/>
          <w:i/>
        </w:rPr>
        <w:t xml:space="preserve"> calculations </w:t>
      </w:r>
      <w:r w:rsidRPr="003037D2">
        <w:rPr>
          <w:rFonts w:ascii="Garamond" w:hAnsi="Garamond"/>
        </w:rPr>
        <w:t xml:space="preserve">(London: E. Cotes, 1658), 479103, Huntington Library, CA </w:t>
      </w:r>
    </w:p>
    <w:p w14:paraId="7A1E1F95" w14:textId="77777777" w:rsidR="00162224" w:rsidRPr="003037D2" w:rsidRDefault="00162224" w:rsidP="00A721D6">
      <w:pPr>
        <w:ind w:left="1361" w:hanging="720"/>
        <w:rPr>
          <w:rFonts w:ascii="Garamond" w:hAnsi="Garamond"/>
        </w:rPr>
      </w:pPr>
      <w:proofErr w:type="spellStart"/>
      <w:r w:rsidRPr="003037D2">
        <w:rPr>
          <w:rFonts w:ascii="Garamond" w:hAnsi="Garamond"/>
        </w:rPr>
        <w:t>Bretnor</w:t>
      </w:r>
      <w:proofErr w:type="spellEnd"/>
      <w:r w:rsidRPr="003037D2">
        <w:rPr>
          <w:rFonts w:ascii="Garamond" w:hAnsi="Garamond"/>
        </w:rPr>
        <w:t xml:space="preserve">, Thomas, </w:t>
      </w:r>
      <w:r w:rsidRPr="003037D2">
        <w:rPr>
          <w:rFonts w:ascii="Garamond" w:hAnsi="Garamond"/>
          <w:i/>
        </w:rPr>
        <w:t xml:space="preserve">A </w:t>
      </w:r>
      <w:proofErr w:type="spellStart"/>
      <w:r w:rsidRPr="003037D2">
        <w:rPr>
          <w:rFonts w:ascii="Garamond" w:hAnsi="Garamond"/>
          <w:i/>
        </w:rPr>
        <w:t>newe</w:t>
      </w:r>
      <w:proofErr w:type="spellEnd"/>
      <w:r w:rsidRPr="003037D2">
        <w:rPr>
          <w:rFonts w:ascii="Garamond" w:hAnsi="Garamond"/>
          <w:i/>
        </w:rPr>
        <w:t xml:space="preserve"> </w:t>
      </w:r>
      <w:proofErr w:type="spellStart"/>
      <w:r w:rsidRPr="003037D2">
        <w:rPr>
          <w:rFonts w:ascii="Garamond" w:hAnsi="Garamond"/>
          <w:i/>
        </w:rPr>
        <w:t>almanacke</w:t>
      </w:r>
      <w:proofErr w:type="spellEnd"/>
      <w:r w:rsidRPr="003037D2">
        <w:rPr>
          <w:rFonts w:ascii="Garamond" w:hAnsi="Garamond"/>
          <w:i/>
        </w:rPr>
        <w:t xml:space="preserve"> and prognostication, for the </w:t>
      </w:r>
      <w:proofErr w:type="spellStart"/>
      <w:r w:rsidRPr="003037D2">
        <w:rPr>
          <w:rFonts w:ascii="Garamond" w:hAnsi="Garamond"/>
          <w:i/>
        </w:rPr>
        <w:t>yeare</w:t>
      </w:r>
      <w:proofErr w:type="spellEnd"/>
      <w:r w:rsidRPr="003037D2">
        <w:rPr>
          <w:rFonts w:ascii="Garamond" w:hAnsi="Garamond"/>
          <w:i/>
        </w:rPr>
        <w:t xml:space="preserve"> of our Lord God, 1615 </w:t>
      </w:r>
      <w:r w:rsidRPr="003037D2">
        <w:rPr>
          <w:rFonts w:ascii="Garamond" w:hAnsi="Garamond"/>
        </w:rPr>
        <w:t xml:space="preserve">(London: Printed for the Company of Stationers, 1615), 15855:1615, Huntington Library, CA </w:t>
      </w:r>
    </w:p>
    <w:p w14:paraId="70AE98AD" w14:textId="77777777" w:rsidR="00162224" w:rsidRPr="003037D2" w:rsidRDefault="00162224" w:rsidP="00A721D6">
      <w:pPr>
        <w:ind w:left="1361" w:hanging="720"/>
        <w:rPr>
          <w:rFonts w:ascii="Garamond" w:hAnsi="Garamond"/>
        </w:rPr>
      </w:pPr>
      <w:r w:rsidRPr="003037D2">
        <w:rPr>
          <w:rFonts w:ascii="Garamond" w:hAnsi="Garamond"/>
          <w:i/>
          <w:iCs/>
        </w:rPr>
        <w:t>___</w:t>
      </w:r>
      <w:proofErr w:type="gramStart"/>
      <w:r w:rsidRPr="003037D2">
        <w:rPr>
          <w:rFonts w:ascii="Garamond" w:hAnsi="Garamond"/>
          <w:i/>
          <w:iCs/>
        </w:rPr>
        <w:t>_ ,</w:t>
      </w:r>
      <w:proofErr w:type="gramEnd"/>
      <w:r w:rsidRPr="003037D2">
        <w:rPr>
          <w:rFonts w:ascii="Garamond" w:hAnsi="Garamond"/>
          <w:i/>
          <w:iCs/>
        </w:rPr>
        <w:t xml:space="preserve"> </w:t>
      </w:r>
      <w:r w:rsidRPr="003037D2">
        <w:rPr>
          <w:rFonts w:ascii="Garamond" w:hAnsi="Garamond"/>
          <w:i/>
        </w:rPr>
        <w:t xml:space="preserve">A </w:t>
      </w:r>
      <w:proofErr w:type="spellStart"/>
      <w:r w:rsidRPr="003037D2">
        <w:rPr>
          <w:rFonts w:ascii="Garamond" w:hAnsi="Garamond"/>
          <w:i/>
        </w:rPr>
        <w:t>newe</w:t>
      </w:r>
      <w:proofErr w:type="spellEnd"/>
      <w:r w:rsidRPr="003037D2">
        <w:rPr>
          <w:rFonts w:ascii="Garamond" w:hAnsi="Garamond"/>
          <w:i/>
        </w:rPr>
        <w:t xml:space="preserve"> </w:t>
      </w:r>
      <w:proofErr w:type="spellStart"/>
      <w:r w:rsidRPr="003037D2">
        <w:rPr>
          <w:rFonts w:ascii="Garamond" w:hAnsi="Garamond"/>
          <w:i/>
        </w:rPr>
        <w:t>almanacke</w:t>
      </w:r>
      <w:proofErr w:type="spellEnd"/>
      <w:r w:rsidRPr="003037D2">
        <w:rPr>
          <w:rFonts w:ascii="Garamond" w:hAnsi="Garamond"/>
          <w:i/>
        </w:rPr>
        <w:t xml:space="preserve"> and prognostication, for the </w:t>
      </w:r>
      <w:proofErr w:type="spellStart"/>
      <w:r w:rsidRPr="003037D2">
        <w:rPr>
          <w:rFonts w:ascii="Garamond" w:hAnsi="Garamond"/>
          <w:i/>
        </w:rPr>
        <w:t>yeare</w:t>
      </w:r>
      <w:proofErr w:type="spellEnd"/>
      <w:r w:rsidRPr="003037D2">
        <w:rPr>
          <w:rFonts w:ascii="Garamond" w:hAnsi="Garamond"/>
          <w:i/>
        </w:rPr>
        <w:t xml:space="preserve"> of our Lord God, 1616 </w:t>
      </w:r>
      <w:r w:rsidRPr="003037D2">
        <w:rPr>
          <w:rFonts w:ascii="Garamond" w:hAnsi="Garamond"/>
        </w:rPr>
        <w:t xml:space="preserve">(London: Printed for the Company of Stationers, 1616), 46191, Huntington Library, CA </w:t>
      </w:r>
    </w:p>
    <w:p w14:paraId="7524274B" w14:textId="77777777" w:rsidR="00162224" w:rsidRPr="003037D2" w:rsidRDefault="00162224" w:rsidP="00A721D6">
      <w:pPr>
        <w:ind w:left="1361" w:hanging="720"/>
        <w:rPr>
          <w:rFonts w:ascii="Garamond" w:hAnsi="Garamond"/>
        </w:rPr>
      </w:pPr>
      <w:r w:rsidRPr="003037D2">
        <w:rPr>
          <w:rFonts w:ascii="Garamond" w:hAnsi="Garamond"/>
          <w:i/>
          <w:iCs/>
        </w:rPr>
        <w:t>___</w:t>
      </w:r>
      <w:proofErr w:type="gramStart"/>
      <w:r w:rsidRPr="003037D2">
        <w:rPr>
          <w:rFonts w:ascii="Garamond" w:hAnsi="Garamond"/>
          <w:i/>
          <w:iCs/>
        </w:rPr>
        <w:t>_ ,</w:t>
      </w:r>
      <w:proofErr w:type="gramEnd"/>
      <w:r w:rsidRPr="003037D2">
        <w:rPr>
          <w:rFonts w:ascii="Garamond" w:hAnsi="Garamond"/>
          <w:i/>
          <w:iCs/>
        </w:rPr>
        <w:t xml:space="preserve"> </w:t>
      </w:r>
      <w:r w:rsidRPr="003037D2">
        <w:rPr>
          <w:rFonts w:ascii="Garamond" w:hAnsi="Garamond"/>
          <w:i/>
        </w:rPr>
        <w:t xml:space="preserve">A </w:t>
      </w:r>
      <w:proofErr w:type="spellStart"/>
      <w:r w:rsidRPr="003037D2">
        <w:rPr>
          <w:rFonts w:ascii="Garamond" w:hAnsi="Garamond"/>
          <w:i/>
        </w:rPr>
        <w:t>newe</w:t>
      </w:r>
      <w:proofErr w:type="spellEnd"/>
      <w:r w:rsidRPr="003037D2">
        <w:rPr>
          <w:rFonts w:ascii="Garamond" w:hAnsi="Garamond"/>
          <w:i/>
        </w:rPr>
        <w:t xml:space="preserve"> </w:t>
      </w:r>
      <w:proofErr w:type="spellStart"/>
      <w:r w:rsidRPr="003037D2">
        <w:rPr>
          <w:rFonts w:ascii="Garamond" w:hAnsi="Garamond"/>
          <w:i/>
        </w:rPr>
        <w:t>almanacke</w:t>
      </w:r>
      <w:proofErr w:type="spellEnd"/>
      <w:r w:rsidRPr="003037D2">
        <w:rPr>
          <w:rFonts w:ascii="Garamond" w:hAnsi="Garamond"/>
          <w:i/>
        </w:rPr>
        <w:t xml:space="preserve"> and prognostication, for the </w:t>
      </w:r>
      <w:proofErr w:type="spellStart"/>
      <w:r w:rsidRPr="003037D2">
        <w:rPr>
          <w:rFonts w:ascii="Garamond" w:hAnsi="Garamond"/>
          <w:i/>
        </w:rPr>
        <w:t>yeare</w:t>
      </w:r>
      <w:proofErr w:type="spellEnd"/>
      <w:r w:rsidRPr="003037D2">
        <w:rPr>
          <w:rFonts w:ascii="Garamond" w:hAnsi="Garamond"/>
          <w:i/>
        </w:rPr>
        <w:t xml:space="preserve"> of our Lord God, 1617 </w:t>
      </w:r>
      <w:r w:rsidRPr="003037D2">
        <w:rPr>
          <w:rFonts w:ascii="Garamond" w:hAnsi="Garamond"/>
        </w:rPr>
        <w:t>(London: Printed for the Company of Stationers, 1617), 46192, Huntington Library, CA</w:t>
      </w:r>
    </w:p>
    <w:p w14:paraId="07047198" w14:textId="77777777" w:rsidR="00162224" w:rsidRPr="003037D2" w:rsidRDefault="00162224" w:rsidP="00A721D6">
      <w:pPr>
        <w:ind w:left="1361" w:hanging="720"/>
        <w:rPr>
          <w:rFonts w:ascii="Garamond" w:hAnsi="Garamond"/>
        </w:rPr>
      </w:pPr>
      <w:r w:rsidRPr="003037D2">
        <w:rPr>
          <w:rFonts w:ascii="Garamond" w:hAnsi="Garamond"/>
          <w:i/>
          <w:iCs/>
        </w:rPr>
        <w:t>___</w:t>
      </w:r>
      <w:proofErr w:type="gramStart"/>
      <w:r w:rsidRPr="003037D2">
        <w:rPr>
          <w:rFonts w:ascii="Garamond" w:hAnsi="Garamond"/>
          <w:i/>
          <w:iCs/>
        </w:rPr>
        <w:t>_ ,</w:t>
      </w:r>
      <w:proofErr w:type="gramEnd"/>
      <w:r w:rsidRPr="003037D2">
        <w:rPr>
          <w:rFonts w:ascii="Garamond" w:hAnsi="Garamond"/>
          <w:i/>
          <w:iCs/>
        </w:rPr>
        <w:t xml:space="preserve"> </w:t>
      </w:r>
      <w:r w:rsidRPr="003037D2">
        <w:rPr>
          <w:rFonts w:ascii="Garamond" w:hAnsi="Garamond"/>
          <w:i/>
        </w:rPr>
        <w:t xml:space="preserve">A </w:t>
      </w:r>
      <w:proofErr w:type="spellStart"/>
      <w:r w:rsidRPr="003037D2">
        <w:rPr>
          <w:rFonts w:ascii="Garamond" w:hAnsi="Garamond"/>
          <w:i/>
        </w:rPr>
        <w:t>newe</w:t>
      </w:r>
      <w:proofErr w:type="spellEnd"/>
      <w:r w:rsidRPr="003037D2">
        <w:rPr>
          <w:rFonts w:ascii="Garamond" w:hAnsi="Garamond"/>
          <w:i/>
        </w:rPr>
        <w:t xml:space="preserve"> </w:t>
      </w:r>
      <w:proofErr w:type="spellStart"/>
      <w:r w:rsidRPr="003037D2">
        <w:rPr>
          <w:rFonts w:ascii="Garamond" w:hAnsi="Garamond"/>
          <w:i/>
        </w:rPr>
        <w:t>almanacke</w:t>
      </w:r>
      <w:proofErr w:type="spellEnd"/>
      <w:r w:rsidRPr="003037D2">
        <w:rPr>
          <w:rFonts w:ascii="Garamond" w:hAnsi="Garamond"/>
          <w:i/>
        </w:rPr>
        <w:t xml:space="preserve"> and prognostication, for the </w:t>
      </w:r>
      <w:proofErr w:type="spellStart"/>
      <w:r w:rsidRPr="003037D2">
        <w:rPr>
          <w:rFonts w:ascii="Garamond" w:hAnsi="Garamond"/>
          <w:i/>
        </w:rPr>
        <w:t>yeare</w:t>
      </w:r>
      <w:proofErr w:type="spellEnd"/>
      <w:r w:rsidRPr="003037D2">
        <w:rPr>
          <w:rFonts w:ascii="Garamond" w:hAnsi="Garamond"/>
          <w:i/>
        </w:rPr>
        <w:t xml:space="preserve"> of our Lord God, 1618 </w:t>
      </w:r>
      <w:r w:rsidRPr="003037D2">
        <w:rPr>
          <w:rFonts w:ascii="Garamond" w:hAnsi="Garamond"/>
        </w:rPr>
        <w:t>(London: Printed for the Company of Stationers, 1618), 46193, Huntington Library, CA</w:t>
      </w:r>
    </w:p>
    <w:p w14:paraId="508685BF" w14:textId="77777777" w:rsidR="00162224" w:rsidRPr="003037D2" w:rsidRDefault="00162224" w:rsidP="00A721D6">
      <w:pPr>
        <w:ind w:left="1361" w:hanging="720"/>
        <w:rPr>
          <w:rFonts w:ascii="Garamond" w:hAnsi="Garamond"/>
        </w:rPr>
      </w:pPr>
      <w:r w:rsidRPr="003037D2">
        <w:rPr>
          <w:rFonts w:ascii="Garamond" w:hAnsi="Garamond"/>
        </w:rPr>
        <w:t xml:space="preserve">Browne, Daniel, </w:t>
      </w:r>
      <w:r w:rsidRPr="003037D2">
        <w:rPr>
          <w:rFonts w:ascii="Garamond" w:hAnsi="Garamond"/>
          <w:i/>
        </w:rPr>
        <w:t xml:space="preserve">A new </w:t>
      </w:r>
      <w:proofErr w:type="spellStart"/>
      <w:r w:rsidRPr="003037D2">
        <w:rPr>
          <w:rFonts w:ascii="Garamond" w:hAnsi="Garamond"/>
          <w:i/>
        </w:rPr>
        <w:t>almanacke</w:t>
      </w:r>
      <w:proofErr w:type="spellEnd"/>
      <w:r w:rsidRPr="003037D2">
        <w:rPr>
          <w:rFonts w:ascii="Garamond" w:hAnsi="Garamond"/>
          <w:i/>
        </w:rPr>
        <w:t xml:space="preserve"> and prognostication, for the </w:t>
      </w:r>
      <w:proofErr w:type="spellStart"/>
      <w:r w:rsidRPr="003037D2">
        <w:rPr>
          <w:rFonts w:ascii="Garamond" w:hAnsi="Garamond"/>
          <w:i/>
        </w:rPr>
        <w:t>yeare</w:t>
      </w:r>
      <w:proofErr w:type="spellEnd"/>
      <w:r w:rsidRPr="003037D2">
        <w:rPr>
          <w:rFonts w:ascii="Garamond" w:hAnsi="Garamond"/>
          <w:i/>
        </w:rPr>
        <w:t xml:space="preserve"> of our Lord God 1630 </w:t>
      </w:r>
      <w:r w:rsidRPr="003037D2">
        <w:rPr>
          <w:rFonts w:ascii="Garamond" w:hAnsi="Garamond"/>
        </w:rPr>
        <w:t xml:space="preserve">(London: Printed for the Company of Stationers, 1630), 59537, Huntington Library, CA </w:t>
      </w:r>
    </w:p>
    <w:p w14:paraId="53C5CCB3" w14:textId="77777777" w:rsidR="00162224" w:rsidRPr="003037D2" w:rsidRDefault="00162224" w:rsidP="00A721D6">
      <w:pPr>
        <w:ind w:left="1361" w:hanging="720"/>
        <w:rPr>
          <w:rFonts w:ascii="Garamond" w:hAnsi="Garamond"/>
        </w:rPr>
      </w:pPr>
      <w:r w:rsidRPr="003037D2">
        <w:rPr>
          <w:rFonts w:ascii="Garamond" w:hAnsi="Garamond"/>
        </w:rPr>
        <w:t xml:space="preserve">Burton, Richard, </w:t>
      </w:r>
      <w:r w:rsidRPr="003037D2">
        <w:rPr>
          <w:rFonts w:ascii="Garamond" w:hAnsi="Garamond"/>
          <w:i/>
        </w:rPr>
        <w:t xml:space="preserve">The Anatomy of Melancholy </w:t>
      </w:r>
      <w:r w:rsidRPr="003037D2">
        <w:rPr>
          <w:rFonts w:ascii="Garamond" w:hAnsi="Garamond"/>
        </w:rPr>
        <w:t>(Oxford: 1638)</w:t>
      </w:r>
    </w:p>
    <w:p w14:paraId="664AC079" w14:textId="77777777" w:rsidR="00162224" w:rsidRPr="003037D2" w:rsidRDefault="00162224" w:rsidP="00A721D6">
      <w:pPr>
        <w:ind w:left="1361" w:hanging="720"/>
        <w:rPr>
          <w:rFonts w:ascii="Garamond" w:hAnsi="Garamond"/>
        </w:rPr>
      </w:pPr>
      <w:r w:rsidRPr="003037D2">
        <w:rPr>
          <w:rFonts w:ascii="Garamond" w:hAnsi="Garamond"/>
        </w:rPr>
        <w:t xml:space="preserve">Calvin, John, </w:t>
      </w:r>
      <w:r w:rsidRPr="003037D2">
        <w:rPr>
          <w:rFonts w:ascii="Garamond" w:hAnsi="Garamond"/>
          <w:i/>
        </w:rPr>
        <w:t xml:space="preserve">Institutes of the Christian Religion </w:t>
      </w:r>
      <w:r w:rsidRPr="003037D2">
        <w:rPr>
          <w:rFonts w:ascii="Garamond" w:hAnsi="Garamond"/>
        </w:rPr>
        <w:t>(London: Hendrickson, 2007)</w:t>
      </w:r>
    </w:p>
    <w:p w14:paraId="5CC6CCCE" w14:textId="1EEA7E32" w:rsidR="00162224" w:rsidRPr="003037D2" w:rsidRDefault="00162224" w:rsidP="00A721D6">
      <w:pPr>
        <w:ind w:left="1361" w:hanging="720"/>
        <w:rPr>
          <w:rFonts w:ascii="Garamond" w:hAnsi="Garamond"/>
        </w:rPr>
      </w:pPr>
      <w:r w:rsidRPr="003037D2">
        <w:rPr>
          <w:rFonts w:ascii="Garamond" w:hAnsi="Garamond"/>
          <w:i/>
          <w:iCs/>
        </w:rPr>
        <w:t>___</w:t>
      </w:r>
      <w:proofErr w:type="gramStart"/>
      <w:r w:rsidRPr="003037D2">
        <w:rPr>
          <w:rFonts w:ascii="Garamond" w:hAnsi="Garamond"/>
          <w:i/>
          <w:iCs/>
        </w:rPr>
        <w:t>_ ,</w:t>
      </w:r>
      <w:proofErr w:type="gramEnd"/>
      <w:r w:rsidRPr="003037D2">
        <w:rPr>
          <w:rFonts w:ascii="Garamond" w:hAnsi="Garamond"/>
          <w:i/>
          <w:iCs/>
        </w:rPr>
        <w:t xml:space="preserve">  John Calvin: Writings on Pastoral Piety</w:t>
      </w:r>
      <w:r w:rsidR="00814479">
        <w:rPr>
          <w:rFonts w:ascii="Garamond" w:hAnsi="Garamond"/>
          <w:i/>
          <w:iCs/>
        </w:rPr>
        <w:t>,</w:t>
      </w:r>
      <w:r w:rsidRPr="003037D2">
        <w:rPr>
          <w:rFonts w:ascii="Garamond" w:hAnsi="Garamond"/>
          <w:i/>
          <w:iCs/>
        </w:rPr>
        <w:t xml:space="preserve"> </w:t>
      </w:r>
      <w:r w:rsidRPr="003037D2">
        <w:rPr>
          <w:rFonts w:ascii="Garamond" w:hAnsi="Garamond"/>
        </w:rPr>
        <w:t>ed. by Elsie Anne McKee (New York: Paulist Press, 2001)</w:t>
      </w:r>
    </w:p>
    <w:p w14:paraId="51ABD56C" w14:textId="77777777" w:rsidR="00162224" w:rsidRPr="003037D2" w:rsidRDefault="00162224" w:rsidP="00A721D6">
      <w:pPr>
        <w:ind w:left="1361" w:hanging="720"/>
        <w:rPr>
          <w:rFonts w:ascii="Garamond" w:hAnsi="Garamond"/>
          <w:lang w:val="en"/>
        </w:rPr>
      </w:pPr>
      <w:r w:rsidRPr="003037D2">
        <w:rPr>
          <w:rFonts w:ascii="Garamond" w:hAnsi="Garamond"/>
          <w:lang w:val="en"/>
        </w:rPr>
        <w:t xml:space="preserve">Cartwright, Thomas, </w:t>
      </w:r>
      <w:r w:rsidRPr="003037D2">
        <w:rPr>
          <w:rFonts w:ascii="Garamond" w:hAnsi="Garamond"/>
          <w:i/>
          <w:iCs/>
          <w:lang w:val="en"/>
        </w:rPr>
        <w:t xml:space="preserve">A confutation of the </w:t>
      </w:r>
      <w:proofErr w:type="spellStart"/>
      <w:r w:rsidRPr="003037D2">
        <w:rPr>
          <w:rFonts w:ascii="Garamond" w:hAnsi="Garamond"/>
          <w:i/>
          <w:iCs/>
          <w:lang w:val="en"/>
        </w:rPr>
        <w:t>Rhemists</w:t>
      </w:r>
      <w:proofErr w:type="spellEnd"/>
      <w:r w:rsidRPr="003037D2">
        <w:rPr>
          <w:rFonts w:ascii="Garamond" w:hAnsi="Garamond"/>
          <w:i/>
          <w:iCs/>
          <w:lang w:val="en"/>
        </w:rPr>
        <w:t xml:space="preserve"> translation, glosses and annotations on the New Testament </w:t>
      </w:r>
      <w:r w:rsidRPr="003037D2">
        <w:rPr>
          <w:rFonts w:ascii="Garamond" w:hAnsi="Garamond"/>
          <w:lang w:val="en"/>
        </w:rPr>
        <w:t xml:space="preserve">(Leiden: 1618) </w:t>
      </w:r>
    </w:p>
    <w:p w14:paraId="4827813A" w14:textId="77777777" w:rsidR="00162224" w:rsidRPr="003037D2" w:rsidRDefault="00162224" w:rsidP="00A721D6">
      <w:pPr>
        <w:ind w:left="1361" w:hanging="720"/>
        <w:rPr>
          <w:rFonts w:ascii="Garamond" w:hAnsi="Garamond"/>
        </w:rPr>
      </w:pPr>
      <w:r w:rsidRPr="003037D2">
        <w:rPr>
          <w:rFonts w:ascii="Garamond" w:hAnsi="Garamond"/>
        </w:rPr>
        <w:t xml:space="preserve">Coke, Edward, </w:t>
      </w:r>
      <w:r w:rsidRPr="003037D2">
        <w:rPr>
          <w:rFonts w:ascii="Garamond" w:hAnsi="Garamond" w:cstheme="majorBidi"/>
          <w:bCs/>
          <w:i/>
          <w:iCs/>
        </w:rPr>
        <w:t>The first part of the institutes of the Lawes of England</w:t>
      </w:r>
      <w:r w:rsidRPr="003037D2">
        <w:rPr>
          <w:rFonts w:ascii="Garamond" w:hAnsi="Garamond" w:cstheme="majorBidi"/>
          <w:bCs/>
        </w:rPr>
        <w:t xml:space="preserve"> (London: 1628) </w:t>
      </w:r>
    </w:p>
    <w:p w14:paraId="2E95649D" w14:textId="77777777" w:rsidR="00162224" w:rsidRPr="003037D2" w:rsidRDefault="00162224" w:rsidP="00A721D6">
      <w:pPr>
        <w:ind w:left="1361" w:hanging="720"/>
        <w:rPr>
          <w:rFonts w:ascii="Garamond" w:hAnsi="Garamond"/>
        </w:rPr>
      </w:pPr>
      <w:r w:rsidRPr="003037D2">
        <w:rPr>
          <w:rFonts w:ascii="Garamond" w:hAnsi="Garamond"/>
        </w:rPr>
        <w:t xml:space="preserve">Corbett, Richard, </w:t>
      </w:r>
      <w:r w:rsidRPr="003037D2">
        <w:rPr>
          <w:rFonts w:ascii="Garamond" w:hAnsi="Garamond"/>
          <w:i/>
          <w:iCs/>
        </w:rPr>
        <w:t xml:space="preserve">Certain Elegant Poems, written by Dr. Corbet, Bishop of Norwich </w:t>
      </w:r>
      <w:r w:rsidRPr="003037D2">
        <w:rPr>
          <w:rFonts w:ascii="Garamond" w:hAnsi="Garamond"/>
        </w:rPr>
        <w:t xml:space="preserve">(London: 1647) </w:t>
      </w:r>
    </w:p>
    <w:p w14:paraId="3441AD02" w14:textId="5970CE67" w:rsidR="00162224" w:rsidRPr="003037D2" w:rsidRDefault="00162224" w:rsidP="00A721D6">
      <w:pPr>
        <w:ind w:left="1361" w:hanging="720"/>
        <w:rPr>
          <w:rFonts w:ascii="Garamond" w:hAnsi="Garamond"/>
        </w:rPr>
      </w:pPr>
      <w:r w:rsidRPr="003037D2">
        <w:rPr>
          <w:rFonts w:ascii="Garamond" w:hAnsi="Garamond"/>
        </w:rPr>
        <w:t>Cummings, Brian</w:t>
      </w:r>
      <w:r w:rsidR="00814479">
        <w:rPr>
          <w:rFonts w:ascii="Garamond" w:hAnsi="Garamond"/>
        </w:rPr>
        <w:t>,</w:t>
      </w:r>
      <w:r w:rsidRPr="003037D2">
        <w:rPr>
          <w:rFonts w:ascii="Garamond" w:hAnsi="Garamond"/>
        </w:rPr>
        <w:t xml:space="preserve"> ed., </w:t>
      </w:r>
      <w:r w:rsidRPr="003037D2">
        <w:rPr>
          <w:rFonts w:ascii="Garamond" w:hAnsi="Garamond"/>
          <w:i/>
          <w:iCs/>
        </w:rPr>
        <w:t xml:space="preserve">The Book of Common Prayer: The texts of 1549, 1559, and 1662 </w:t>
      </w:r>
      <w:r w:rsidRPr="003037D2">
        <w:rPr>
          <w:rFonts w:ascii="Garamond" w:hAnsi="Garamond"/>
        </w:rPr>
        <w:t xml:space="preserve">(Oxford: Oxford University Press, 2011) </w:t>
      </w:r>
    </w:p>
    <w:p w14:paraId="5696F4A0" w14:textId="77777777" w:rsidR="00162224" w:rsidRPr="003037D2" w:rsidRDefault="00162224" w:rsidP="00A721D6">
      <w:pPr>
        <w:ind w:left="1361" w:hanging="720"/>
        <w:rPr>
          <w:rFonts w:ascii="Garamond" w:hAnsi="Garamond"/>
        </w:rPr>
      </w:pPr>
      <w:r w:rsidRPr="003037D2">
        <w:rPr>
          <w:rFonts w:ascii="Garamond" w:hAnsi="Garamond"/>
        </w:rPr>
        <w:t xml:space="preserve">Danforth, Samuel, </w:t>
      </w:r>
      <w:r w:rsidRPr="003037D2">
        <w:rPr>
          <w:rFonts w:ascii="Garamond" w:hAnsi="Garamond"/>
          <w:i/>
        </w:rPr>
        <w:t>MDCXLVI. An almanack for the year of our Lord 1646</w:t>
      </w:r>
      <w:r w:rsidRPr="003037D2">
        <w:rPr>
          <w:rFonts w:ascii="Garamond" w:hAnsi="Garamond"/>
        </w:rPr>
        <w:t xml:space="preserve"> (Cambridge, MA: Stephen Day, 1647), 14147, Huntington Library, CA </w:t>
      </w:r>
    </w:p>
    <w:p w14:paraId="7833823A" w14:textId="77777777" w:rsidR="00162224" w:rsidRPr="003037D2" w:rsidRDefault="00162224" w:rsidP="00A721D6">
      <w:pPr>
        <w:ind w:left="1361" w:hanging="720"/>
        <w:rPr>
          <w:rFonts w:ascii="Garamond" w:hAnsi="Garamond"/>
        </w:rPr>
      </w:pPr>
      <w:r w:rsidRPr="003037D2">
        <w:rPr>
          <w:rFonts w:ascii="Garamond" w:hAnsi="Garamond"/>
          <w:i/>
          <w:iCs/>
        </w:rPr>
        <w:t xml:space="preserve">____ , </w:t>
      </w:r>
      <w:r w:rsidRPr="003037D2">
        <w:rPr>
          <w:rFonts w:ascii="Garamond" w:hAnsi="Garamond"/>
          <w:i/>
        </w:rPr>
        <w:t>MDCXLVII. An almanack for the year of our Lord 1647</w:t>
      </w:r>
      <w:r w:rsidRPr="003037D2">
        <w:rPr>
          <w:rFonts w:ascii="Garamond" w:hAnsi="Garamond"/>
        </w:rPr>
        <w:t xml:space="preserve"> (Cambridge, MA: Matthew Day, 1647), 606435, Huntington Library, CA </w:t>
      </w:r>
    </w:p>
    <w:p w14:paraId="6B17DEAF" w14:textId="77777777" w:rsidR="00162224" w:rsidRPr="003037D2" w:rsidRDefault="00162224" w:rsidP="00A721D6">
      <w:pPr>
        <w:ind w:left="1361" w:hanging="720"/>
        <w:rPr>
          <w:rFonts w:ascii="Garamond" w:hAnsi="Garamond"/>
        </w:rPr>
      </w:pPr>
      <w:r w:rsidRPr="003037D2">
        <w:rPr>
          <w:rFonts w:ascii="Garamond" w:hAnsi="Garamond"/>
          <w:i/>
          <w:iCs/>
        </w:rPr>
        <w:t xml:space="preserve">____ , </w:t>
      </w:r>
      <w:r w:rsidRPr="003037D2">
        <w:rPr>
          <w:rFonts w:ascii="Garamond" w:hAnsi="Garamond"/>
          <w:i/>
        </w:rPr>
        <w:t xml:space="preserve">MDCXLVIII. An almanack for the year of our Lord 1648 </w:t>
      </w:r>
      <w:r w:rsidRPr="003037D2">
        <w:rPr>
          <w:rFonts w:ascii="Garamond" w:hAnsi="Garamond"/>
        </w:rPr>
        <w:t xml:space="preserve">(Cambridge, MA: Matthew Day, 1648), 606436, Huntington Library, CA </w:t>
      </w:r>
    </w:p>
    <w:p w14:paraId="0DC6C3E8" w14:textId="72A30C93" w:rsidR="00162224" w:rsidRPr="003037D2" w:rsidRDefault="00162224" w:rsidP="00A721D6">
      <w:pPr>
        <w:ind w:left="1361" w:hanging="720"/>
        <w:rPr>
          <w:rFonts w:ascii="Garamond" w:hAnsi="Garamond"/>
          <w:color w:val="000000"/>
          <w:shd w:val="clear" w:color="auto" w:fill="FFFFFF"/>
        </w:rPr>
      </w:pPr>
      <w:r w:rsidRPr="003037D2">
        <w:rPr>
          <w:rFonts w:ascii="Garamond" w:hAnsi="Garamond"/>
        </w:rPr>
        <w:t xml:space="preserve">Day, John, </w:t>
      </w:r>
      <w:r w:rsidRPr="003037D2">
        <w:rPr>
          <w:rFonts w:ascii="Garamond" w:hAnsi="Garamond"/>
          <w:i/>
          <w:iCs/>
          <w:color w:val="000000"/>
          <w:shd w:val="clear" w:color="auto" w:fill="FFFFFF"/>
        </w:rPr>
        <w:t>Day</w:t>
      </w:r>
      <w:r w:rsidR="00814479">
        <w:rPr>
          <w:rFonts w:ascii="Garamond" w:hAnsi="Garamond"/>
          <w:i/>
          <w:iCs/>
          <w:color w:val="000000"/>
          <w:shd w:val="clear" w:color="auto" w:fill="FFFFFF"/>
        </w:rPr>
        <w:t>’s</w:t>
      </w:r>
      <w:r w:rsidRPr="003037D2">
        <w:rPr>
          <w:rFonts w:ascii="Garamond" w:hAnsi="Garamond"/>
          <w:i/>
          <w:iCs/>
          <w:color w:val="000000"/>
          <w:shd w:val="clear" w:color="auto" w:fill="FFFFFF"/>
        </w:rPr>
        <w:t> </w:t>
      </w:r>
      <w:proofErr w:type="spellStart"/>
      <w:r w:rsidRPr="003037D2">
        <w:rPr>
          <w:rFonts w:ascii="Garamond" w:hAnsi="Garamond"/>
          <w:i/>
          <w:iCs/>
        </w:rPr>
        <w:t>dyall</w:t>
      </w:r>
      <w:proofErr w:type="spellEnd"/>
      <w:r w:rsidRPr="003037D2">
        <w:rPr>
          <w:rFonts w:ascii="Garamond" w:hAnsi="Garamond"/>
          <w:i/>
          <w:iCs/>
          <w:color w:val="000000"/>
          <w:shd w:val="clear" w:color="auto" w:fill="FFFFFF"/>
        </w:rPr>
        <w:t>, or, His twelve </w:t>
      </w:r>
      <w:proofErr w:type="spellStart"/>
      <w:r w:rsidRPr="003037D2">
        <w:rPr>
          <w:rFonts w:ascii="Garamond" w:hAnsi="Garamond"/>
          <w:i/>
          <w:iCs/>
        </w:rPr>
        <w:t>howres</w:t>
      </w:r>
      <w:proofErr w:type="spellEnd"/>
      <w:r w:rsidRPr="003037D2">
        <w:rPr>
          <w:rFonts w:ascii="Garamond" w:hAnsi="Garamond"/>
          <w:i/>
          <w:iCs/>
          <w:color w:val="000000"/>
          <w:shd w:val="clear" w:color="auto" w:fill="FFFFFF"/>
        </w:rPr>
        <w:t> </w:t>
      </w:r>
      <w:r w:rsidRPr="003037D2">
        <w:rPr>
          <w:rFonts w:ascii="Garamond" w:hAnsi="Garamond"/>
          <w:color w:val="000000"/>
          <w:shd w:val="clear" w:color="auto" w:fill="FFFFFF"/>
        </w:rPr>
        <w:t xml:space="preserve">(London: 1614) </w:t>
      </w:r>
    </w:p>
    <w:p w14:paraId="1D565727" w14:textId="77777777" w:rsidR="00162224" w:rsidRPr="003037D2" w:rsidRDefault="00162224" w:rsidP="00A721D6">
      <w:pPr>
        <w:ind w:left="1361" w:hanging="720"/>
        <w:rPr>
          <w:rFonts w:ascii="Garamond" w:hAnsi="Garamond"/>
        </w:rPr>
      </w:pPr>
      <w:r w:rsidRPr="003037D2">
        <w:rPr>
          <w:rFonts w:ascii="Garamond" w:hAnsi="Garamond"/>
          <w:i/>
          <w:iCs/>
        </w:rPr>
        <w:t>___</w:t>
      </w:r>
      <w:proofErr w:type="gramStart"/>
      <w:r w:rsidRPr="003037D2">
        <w:rPr>
          <w:rFonts w:ascii="Garamond" w:hAnsi="Garamond"/>
          <w:i/>
          <w:iCs/>
        </w:rPr>
        <w:t>_ ,</w:t>
      </w:r>
      <w:proofErr w:type="gramEnd"/>
      <w:r w:rsidRPr="003037D2">
        <w:rPr>
          <w:rFonts w:ascii="Garamond" w:hAnsi="Garamond"/>
          <w:i/>
          <w:iCs/>
        </w:rPr>
        <w:t xml:space="preserve"> </w:t>
      </w:r>
      <w:r w:rsidRPr="003037D2">
        <w:rPr>
          <w:rFonts w:ascii="Garamond" w:hAnsi="Garamond"/>
          <w:i/>
        </w:rPr>
        <w:t xml:space="preserve">Day’s festivals </w:t>
      </w:r>
      <w:r w:rsidRPr="003037D2">
        <w:rPr>
          <w:rFonts w:ascii="Garamond" w:hAnsi="Garamond"/>
        </w:rPr>
        <w:t xml:space="preserve">(London: 1615) </w:t>
      </w:r>
    </w:p>
    <w:p w14:paraId="145A2BAB" w14:textId="77777777" w:rsidR="00162224" w:rsidRPr="003037D2" w:rsidRDefault="00162224" w:rsidP="00A721D6">
      <w:pPr>
        <w:ind w:left="1361" w:hanging="720"/>
        <w:rPr>
          <w:rFonts w:ascii="Garamond" w:hAnsi="Garamond"/>
        </w:rPr>
      </w:pPr>
      <w:r w:rsidRPr="003037D2">
        <w:rPr>
          <w:rFonts w:ascii="Garamond" w:hAnsi="Garamond"/>
        </w:rPr>
        <w:t xml:space="preserve">Davies, John, ‘The Queen’s Entertainment by the Countess of Derby at Harefield Palace, Middlesex, in July 1602’ in </w:t>
      </w:r>
      <w:r w:rsidRPr="003037D2">
        <w:rPr>
          <w:rFonts w:ascii="Garamond" w:hAnsi="Garamond"/>
          <w:i/>
        </w:rPr>
        <w:t>Queen Elizabeth’s Progresses</w:t>
      </w:r>
      <w:r w:rsidRPr="003037D2">
        <w:rPr>
          <w:rFonts w:ascii="Garamond" w:hAnsi="Garamond"/>
        </w:rPr>
        <w:t xml:space="preserve"> (London: John Nichols and Son, 1821), IV, pp. 4-17</w:t>
      </w:r>
    </w:p>
    <w:p w14:paraId="6249F0F2" w14:textId="5EFD921A" w:rsidR="00162224" w:rsidRPr="003037D2" w:rsidRDefault="00162224" w:rsidP="00A721D6">
      <w:pPr>
        <w:ind w:left="1361" w:hanging="720"/>
        <w:rPr>
          <w:rFonts w:ascii="Garamond" w:hAnsi="Garamond"/>
          <w:iCs/>
        </w:rPr>
      </w:pPr>
      <w:r w:rsidRPr="003037D2">
        <w:rPr>
          <w:rFonts w:ascii="Garamond" w:hAnsi="Garamond"/>
          <w:iCs/>
        </w:rPr>
        <w:t xml:space="preserve">Donne, John, </w:t>
      </w:r>
      <w:r w:rsidRPr="003037D2">
        <w:rPr>
          <w:rFonts w:ascii="Garamond" w:hAnsi="Garamond"/>
          <w:i/>
          <w:iCs/>
        </w:rPr>
        <w:t xml:space="preserve">The Complete English Poems, </w:t>
      </w:r>
      <w:r w:rsidRPr="003037D2">
        <w:rPr>
          <w:rFonts w:ascii="Garamond" w:hAnsi="Garamond"/>
          <w:iCs/>
        </w:rPr>
        <w:t xml:space="preserve">ed. by C.A. </w:t>
      </w:r>
      <w:proofErr w:type="spellStart"/>
      <w:r w:rsidRPr="003037D2">
        <w:rPr>
          <w:rFonts w:ascii="Garamond" w:hAnsi="Garamond"/>
          <w:iCs/>
        </w:rPr>
        <w:t>Patrides</w:t>
      </w:r>
      <w:proofErr w:type="spellEnd"/>
      <w:r w:rsidRPr="003037D2">
        <w:rPr>
          <w:rFonts w:ascii="Garamond" w:hAnsi="Garamond"/>
          <w:iCs/>
        </w:rPr>
        <w:t xml:space="preserve"> (London: Dent, 1985)</w:t>
      </w:r>
    </w:p>
    <w:p w14:paraId="49AD6C19" w14:textId="77777777" w:rsidR="00162224" w:rsidRPr="003037D2" w:rsidRDefault="00162224" w:rsidP="00A721D6">
      <w:pPr>
        <w:ind w:left="1361" w:hanging="720"/>
        <w:rPr>
          <w:rFonts w:ascii="Garamond" w:hAnsi="Garamond"/>
          <w:iCs/>
        </w:rPr>
      </w:pPr>
      <w:bookmarkStart w:id="245" w:name="_Hlk532472879"/>
      <w:r w:rsidRPr="003037D2">
        <w:rPr>
          <w:rFonts w:ascii="Garamond" w:hAnsi="Garamond"/>
          <w:iCs/>
        </w:rPr>
        <w:t>____</w:t>
      </w:r>
      <w:proofErr w:type="gramStart"/>
      <w:r w:rsidRPr="003037D2">
        <w:rPr>
          <w:rFonts w:ascii="Garamond" w:hAnsi="Garamond"/>
          <w:iCs/>
        </w:rPr>
        <w:t>_ ,</w:t>
      </w:r>
      <w:proofErr w:type="gramEnd"/>
      <w:r w:rsidRPr="003037D2">
        <w:rPr>
          <w:rFonts w:ascii="Garamond" w:hAnsi="Garamond"/>
          <w:iCs/>
        </w:rPr>
        <w:t xml:space="preserve"> </w:t>
      </w:r>
      <w:r w:rsidRPr="003037D2">
        <w:rPr>
          <w:rFonts w:ascii="Garamond" w:hAnsi="Garamond"/>
          <w:i/>
          <w:iCs/>
        </w:rPr>
        <w:t>Devotions upon Emergent Occasions,</w:t>
      </w:r>
      <w:r w:rsidRPr="003037D2">
        <w:rPr>
          <w:rFonts w:ascii="Garamond" w:hAnsi="Garamond"/>
          <w:iCs/>
        </w:rPr>
        <w:t xml:space="preserve"> ed. by Anthony Raspa (London: McGill-Queen’s University Press, 1975) </w:t>
      </w:r>
    </w:p>
    <w:bookmarkEnd w:id="245"/>
    <w:p w14:paraId="5EB29C20" w14:textId="77777777" w:rsidR="00162224" w:rsidRPr="003037D2" w:rsidRDefault="00162224" w:rsidP="00A721D6">
      <w:pPr>
        <w:ind w:left="1361" w:hanging="720"/>
        <w:rPr>
          <w:rFonts w:ascii="Garamond" w:hAnsi="Garamond"/>
        </w:rPr>
      </w:pPr>
      <w:r w:rsidRPr="003037D2">
        <w:rPr>
          <w:rFonts w:ascii="Garamond" w:hAnsi="Garamond"/>
          <w:i/>
          <w:iCs/>
        </w:rPr>
        <w:t>____</w:t>
      </w:r>
      <w:proofErr w:type="gramStart"/>
      <w:r w:rsidRPr="003037D2">
        <w:rPr>
          <w:rFonts w:ascii="Garamond" w:hAnsi="Garamond"/>
          <w:i/>
          <w:iCs/>
        </w:rPr>
        <w:t>_ ,</w:t>
      </w:r>
      <w:proofErr w:type="gramEnd"/>
      <w:r w:rsidRPr="003037D2">
        <w:rPr>
          <w:rFonts w:ascii="Garamond" w:hAnsi="Garamond"/>
          <w:i/>
          <w:iCs/>
        </w:rPr>
        <w:t xml:space="preserve"> The Life and Letters of John Donne, </w:t>
      </w:r>
      <w:r w:rsidRPr="003037D2">
        <w:rPr>
          <w:rFonts w:ascii="Garamond" w:hAnsi="Garamond"/>
        </w:rPr>
        <w:t xml:space="preserve">ed. Edmund Gosse (London: </w:t>
      </w:r>
      <w:proofErr w:type="spellStart"/>
      <w:r w:rsidRPr="003037D2">
        <w:rPr>
          <w:rFonts w:ascii="Garamond" w:hAnsi="Garamond"/>
        </w:rPr>
        <w:t>Heinmann</w:t>
      </w:r>
      <w:proofErr w:type="spellEnd"/>
      <w:r w:rsidRPr="003037D2">
        <w:rPr>
          <w:rFonts w:ascii="Garamond" w:hAnsi="Garamond"/>
        </w:rPr>
        <w:t>, 1899)</w:t>
      </w:r>
    </w:p>
    <w:p w14:paraId="051C6A7E" w14:textId="267C8F45" w:rsidR="00162224" w:rsidRPr="003037D2" w:rsidRDefault="00162224" w:rsidP="00A721D6">
      <w:pPr>
        <w:ind w:left="1361" w:hanging="720"/>
        <w:rPr>
          <w:rFonts w:ascii="Garamond" w:hAnsi="Garamond"/>
          <w:iCs/>
        </w:rPr>
      </w:pPr>
      <w:bookmarkStart w:id="246" w:name="_Hlk532148904"/>
      <w:r w:rsidRPr="003037D2">
        <w:rPr>
          <w:rFonts w:ascii="Garamond" w:hAnsi="Garamond"/>
          <w:i/>
          <w:iCs/>
        </w:rPr>
        <w:t>___</w:t>
      </w:r>
      <w:proofErr w:type="gramStart"/>
      <w:r w:rsidRPr="003037D2">
        <w:rPr>
          <w:rFonts w:ascii="Garamond" w:hAnsi="Garamond"/>
          <w:i/>
          <w:iCs/>
        </w:rPr>
        <w:t>_ ,</w:t>
      </w:r>
      <w:proofErr w:type="gramEnd"/>
      <w:r w:rsidRPr="003037D2">
        <w:rPr>
          <w:rFonts w:ascii="Garamond" w:hAnsi="Garamond"/>
          <w:i/>
          <w:iCs/>
        </w:rPr>
        <w:t xml:space="preserve"> </w:t>
      </w:r>
      <w:r w:rsidRPr="003037D2">
        <w:rPr>
          <w:rFonts w:ascii="Garamond" w:hAnsi="Garamond"/>
          <w:i/>
        </w:rPr>
        <w:t>The Sermons of John Donne in 10 volumes</w:t>
      </w:r>
      <w:r w:rsidR="0065623B">
        <w:rPr>
          <w:rFonts w:ascii="Garamond" w:hAnsi="Garamond"/>
          <w:i/>
        </w:rPr>
        <w:t>,</w:t>
      </w:r>
      <w:r w:rsidRPr="003037D2">
        <w:rPr>
          <w:rFonts w:ascii="Garamond" w:hAnsi="Garamond"/>
          <w:i/>
        </w:rPr>
        <w:t xml:space="preserve"> </w:t>
      </w:r>
      <w:r w:rsidRPr="003037D2">
        <w:rPr>
          <w:rFonts w:ascii="Garamond" w:hAnsi="Garamond"/>
          <w:iCs/>
        </w:rPr>
        <w:t xml:space="preserve">ed. by George Potter and Evelyn Simpson (Los Angeles: University of California Press, 1653-62) </w:t>
      </w:r>
    </w:p>
    <w:bookmarkEnd w:id="246"/>
    <w:p w14:paraId="2E2E28B5" w14:textId="77777777" w:rsidR="00162224" w:rsidRPr="003037D2" w:rsidRDefault="00162224" w:rsidP="00A721D6">
      <w:pPr>
        <w:ind w:left="1361" w:hanging="720"/>
        <w:rPr>
          <w:rFonts w:ascii="Garamond" w:hAnsi="Garamond"/>
        </w:rPr>
      </w:pPr>
      <w:r w:rsidRPr="003037D2">
        <w:rPr>
          <w:rFonts w:ascii="Garamond" w:hAnsi="Garamond"/>
        </w:rPr>
        <w:t xml:space="preserve">Dove, Jonathan, </w:t>
      </w:r>
      <w:r w:rsidRPr="003037D2">
        <w:rPr>
          <w:rFonts w:ascii="Garamond" w:hAnsi="Garamond"/>
          <w:i/>
        </w:rPr>
        <w:t xml:space="preserve">An almanack for the </w:t>
      </w:r>
      <w:proofErr w:type="spellStart"/>
      <w:r w:rsidRPr="003037D2">
        <w:rPr>
          <w:rFonts w:ascii="Garamond" w:hAnsi="Garamond"/>
          <w:i/>
        </w:rPr>
        <w:t>yeare</w:t>
      </w:r>
      <w:proofErr w:type="spellEnd"/>
      <w:r w:rsidRPr="003037D2">
        <w:rPr>
          <w:rFonts w:ascii="Garamond" w:hAnsi="Garamond"/>
          <w:i/>
        </w:rPr>
        <w:t xml:space="preserve"> of our Lord God 1636 </w:t>
      </w:r>
      <w:r w:rsidRPr="003037D2">
        <w:rPr>
          <w:rFonts w:ascii="Garamond" w:hAnsi="Garamond"/>
        </w:rPr>
        <w:t xml:space="preserve">(Cambridge: University Printers, 1636), 30925, Huntington Library, CA </w:t>
      </w:r>
    </w:p>
    <w:p w14:paraId="3BDC85CA" w14:textId="77777777" w:rsidR="00162224" w:rsidRPr="003037D2" w:rsidRDefault="00162224" w:rsidP="00A721D6">
      <w:pPr>
        <w:ind w:left="1361" w:hanging="720"/>
        <w:rPr>
          <w:rFonts w:ascii="Garamond" w:hAnsi="Garamond"/>
        </w:rPr>
      </w:pPr>
      <w:r w:rsidRPr="003037D2">
        <w:rPr>
          <w:rFonts w:ascii="Garamond" w:hAnsi="Garamond"/>
          <w:i/>
          <w:iCs/>
        </w:rPr>
        <w:t>___</w:t>
      </w:r>
      <w:proofErr w:type="gramStart"/>
      <w:r w:rsidRPr="003037D2">
        <w:rPr>
          <w:rFonts w:ascii="Garamond" w:hAnsi="Garamond"/>
          <w:i/>
          <w:iCs/>
        </w:rPr>
        <w:t>_ ,</w:t>
      </w:r>
      <w:proofErr w:type="gramEnd"/>
      <w:r w:rsidRPr="003037D2">
        <w:rPr>
          <w:rFonts w:ascii="Garamond" w:hAnsi="Garamond"/>
          <w:i/>
          <w:iCs/>
        </w:rPr>
        <w:t xml:space="preserve"> </w:t>
      </w:r>
      <w:r w:rsidRPr="003037D2">
        <w:rPr>
          <w:rFonts w:ascii="Garamond" w:hAnsi="Garamond"/>
          <w:i/>
        </w:rPr>
        <w:t xml:space="preserve">An almanack for the </w:t>
      </w:r>
      <w:proofErr w:type="spellStart"/>
      <w:r w:rsidRPr="003037D2">
        <w:rPr>
          <w:rFonts w:ascii="Garamond" w:hAnsi="Garamond"/>
          <w:i/>
        </w:rPr>
        <w:t>yeare</w:t>
      </w:r>
      <w:proofErr w:type="spellEnd"/>
      <w:r w:rsidRPr="003037D2">
        <w:rPr>
          <w:rFonts w:ascii="Garamond" w:hAnsi="Garamond"/>
          <w:i/>
        </w:rPr>
        <w:t xml:space="preserve"> of our Lord God, 1640 </w:t>
      </w:r>
      <w:r w:rsidRPr="003037D2">
        <w:rPr>
          <w:rFonts w:ascii="Garamond" w:hAnsi="Garamond"/>
        </w:rPr>
        <w:t>(Cambridge: Thomas Buck, 1640), 30925:1640, Huntington Library, CA</w:t>
      </w:r>
    </w:p>
    <w:p w14:paraId="16056EA7" w14:textId="77777777" w:rsidR="00162224" w:rsidRPr="003037D2" w:rsidRDefault="00162224" w:rsidP="00A721D6">
      <w:pPr>
        <w:ind w:left="1361" w:hanging="720"/>
        <w:rPr>
          <w:rFonts w:ascii="Garamond" w:hAnsi="Garamond"/>
          <w:i/>
          <w:iCs/>
        </w:rPr>
      </w:pPr>
      <w:proofErr w:type="spellStart"/>
      <w:r w:rsidRPr="003037D2">
        <w:rPr>
          <w:rFonts w:ascii="Garamond" w:hAnsi="Garamond"/>
        </w:rPr>
        <w:t>Downame</w:t>
      </w:r>
      <w:proofErr w:type="spellEnd"/>
      <w:r w:rsidRPr="003037D2">
        <w:rPr>
          <w:rFonts w:ascii="Garamond" w:hAnsi="Garamond"/>
        </w:rPr>
        <w:t>, John,</w:t>
      </w:r>
      <w:r w:rsidRPr="003037D2">
        <w:rPr>
          <w:rFonts w:ascii="Garamond" w:hAnsi="Garamond"/>
          <w:i/>
          <w:iCs/>
        </w:rPr>
        <w:t xml:space="preserve"> Guide to </w:t>
      </w:r>
      <w:proofErr w:type="spellStart"/>
      <w:r w:rsidRPr="003037D2">
        <w:rPr>
          <w:rFonts w:ascii="Garamond" w:hAnsi="Garamond"/>
          <w:i/>
          <w:iCs/>
        </w:rPr>
        <w:t>Godlynesse</w:t>
      </w:r>
      <w:proofErr w:type="spellEnd"/>
      <w:r w:rsidRPr="003037D2">
        <w:rPr>
          <w:rFonts w:ascii="Garamond" w:hAnsi="Garamond"/>
          <w:i/>
          <w:iCs/>
        </w:rPr>
        <w:t xml:space="preserve">, or a Treatise of a Christian Life </w:t>
      </w:r>
      <w:r w:rsidRPr="003037D2">
        <w:rPr>
          <w:rFonts w:ascii="Garamond" w:hAnsi="Garamond"/>
        </w:rPr>
        <w:t>(London: 1622)</w:t>
      </w:r>
      <w:r w:rsidRPr="003037D2">
        <w:rPr>
          <w:rFonts w:ascii="Garamond" w:hAnsi="Garamond"/>
          <w:i/>
          <w:iCs/>
        </w:rPr>
        <w:t xml:space="preserve"> </w:t>
      </w:r>
    </w:p>
    <w:p w14:paraId="6972AF18" w14:textId="414EB9A5" w:rsidR="00162224" w:rsidRPr="003037D2" w:rsidRDefault="00162224" w:rsidP="00A721D6">
      <w:pPr>
        <w:ind w:left="1361" w:hanging="720"/>
        <w:rPr>
          <w:rFonts w:ascii="Garamond" w:hAnsi="Garamond"/>
        </w:rPr>
      </w:pPr>
      <w:r w:rsidRPr="003037D2">
        <w:rPr>
          <w:rFonts w:ascii="Garamond" w:hAnsi="Garamond"/>
        </w:rPr>
        <w:lastRenderedPageBreak/>
        <w:t xml:space="preserve">Du </w:t>
      </w:r>
      <w:proofErr w:type="spellStart"/>
      <w:r w:rsidRPr="003037D2">
        <w:rPr>
          <w:rFonts w:ascii="Garamond" w:hAnsi="Garamond"/>
        </w:rPr>
        <w:t>Bartas</w:t>
      </w:r>
      <w:proofErr w:type="spellEnd"/>
      <w:r w:rsidRPr="003037D2">
        <w:rPr>
          <w:rFonts w:ascii="Garamond" w:hAnsi="Garamond"/>
        </w:rPr>
        <w:t xml:space="preserve">, Guillaume </w:t>
      </w:r>
      <w:proofErr w:type="spellStart"/>
      <w:r w:rsidRPr="003037D2">
        <w:rPr>
          <w:rFonts w:ascii="Garamond" w:hAnsi="Garamond"/>
        </w:rPr>
        <w:t>Salluste</w:t>
      </w:r>
      <w:proofErr w:type="spellEnd"/>
      <w:r w:rsidRPr="003037D2">
        <w:rPr>
          <w:rFonts w:ascii="Garamond" w:hAnsi="Garamond"/>
        </w:rPr>
        <w:t xml:space="preserve">, </w:t>
      </w:r>
      <w:r w:rsidRPr="003037D2">
        <w:rPr>
          <w:rFonts w:ascii="Garamond" w:hAnsi="Garamond"/>
          <w:i/>
        </w:rPr>
        <w:t>Divine Weekes and Works,</w:t>
      </w:r>
      <w:r w:rsidRPr="003037D2">
        <w:rPr>
          <w:rFonts w:ascii="Garamond" w:hAnsi="Garamond"/>
        </w:rPr>
        <w:t xml:space="preserve"> translated by William Lisle (London: 1625)</w:t>
      </w:r>
    </w:p>
    <w:p w14:paraId="6FB40EEC" w14:textId="77777777" w:rsidR="00162224" w:rsidRPr="003037D2" w:rsidRDefault="00162224" w:rsidP="00A721D6">
      <w:pPr>
        <w:ind w:left="1361" w:hanging="720"/>
        <w:rPr>
          <w:rFonts w:ascii="Garamond" w:hAnsi="Garamond"/>
        </w:rPr>
      </w:pPr>
      <w:r w:rsidRPr="003037D2">
        <w:rPr>
          <w:rFonts w:ascii="Garamond" w:hAnsi="Garamond"/>
        </w:rPr>
        <w:t xml:space="preserve">Eliot, T.S., </w:t>
      </w:r>
      <w:r w:rsidRPr="003037D2">
        <w:rPr>
          <w:rFonts w:ascii="Garamond" w:hAnsi="Garamond"/>
          <w:i/>
          <w:iCs/>
        </w:rPr>
        <w:t xml:space="preserve">Four Quartets </w:t>
      </w:r>
      <w:r w:rsidRPr="003037D2">
        <w:rPr>
          <w:rFonts w:ascii="Garamond" w:hAnsi="Garamond"/>
        </w:rPr>
        <w:t xml:space="preserve">(New York: Harcourt, 1971) </w:t>
      </w:r>
    </w:p>
    <w:p w14:paraId="69AD6074" w14:textId="77777777" w:rsidR="00162224" w:rsidRPr="003037D2" w:rsidRDefault="00162224" w:rsidP="00A721D6">
      <w:pPr>
        <w:ind w:left="1361" w:hanging="720"/>
        <w:rPr>
          <w:rFonts w:ascii="Garamond" w:hAnsi="Garamond"/>
        </w:rPr>
      </w:pPr>
      <w:proofErr w:type="spellStart"/>
      <w:r w:rsidRPr="003037D2">
        <w:rPr>
          <w:rFonts w:ascii="Garamond" w:hAnsi="Garamond"/>
        </w:rPr>
        <w:t>Fale</w:t>
      </w:r>
      <w:proofErr w:type="spellEnd"/>
      <w:r w:rsidRPr="003037D2">
        <w:rPr>
          <w:rFonts w:ascii="Garamond" w:hAnsi="Garamond"/>
        </w:rPr>
        <w:t xml:space="preserve">, Thomas, </w:t>
      </w:r>
      <w:proofErr w:type="spellStart"/>
      <w:r w:rsidRPr="003037D2">
        <w:rPr>
          <w:rFonts w:ascii="Garamond" w:hAnsi="Garamond"/>
          <w:i/>
          <w:iCs/>
        </w:rPr>
        <w:t>Horologiographia</w:t>
      </w:r>
      <w:proofErr w:type="spellEnd"/>
      <w:r w:rsidRPr="003037D2">
        <w:rPr>
          <w:rFonts w:ascii="Garamond" w:hAnsi="Garamond"/>
          <w:i/>
          <w:iCs/>
        </w:rPr>
        <w:t xml:space="preserve"> </w:t>
      </w:r>
      <w:r w:rsidRPr="003037D2">
        <w:rPr>
          <w:rFonts w:ascii="Garamond" w:hAnsi="Garamond"/>
        </w:rPr>
        <w:t xml:space="preserve">(London: 1593) </w:t>
      </w:r>
    </w:p>
    <w:p w14:paraId="3B5A318F" w14:textId="77777777" w:rsidR="00162224" w:rsidRPr="003037D2" w:rsidRDefault="00162224" w:rsidP="00A721D6">
      <w:pPr>
        <w:ind w:left="1361" w:hanging="720"/>
        <w:rPr>
          <w:rFonts w:ascii="Garamond" w:hAnsi="Garamond"/>
          <w:iCs/>
        </w:rPr>
      </w:pPr>
      <w:r w:rsidRPr="003037D2">
        <w:rPr>
          <w:rFonts w:ascii="Garamond" w:hAnsi="Garamond"/>
          <w:i/>
          <w:iCs/>
        </w:rPr>
        <w:t>The Fathers of the English Church: or, a selection from the writings of the reformers and early Protestant divines, of the Church of England</w:t>
      </w:r>
      <w:r w:rsidRPr="003037D2">
        <w:rPr>
          <w:rFonts w:ascii="Garamond" w:hAnsi="Garamond"/>
          <w:iCs/>
        </w:rPr>
        <w:t xml:space="preserve">, Vol. VIII (London: John </w:t>
      </w:r>
      <w:proofErr w:type="spellStart"/>
      <w:r w:rsidRPr="003037D2">
        <w:rPr>
          <w:rFonts w:ascii="Garamond" w:hAnsi="Garamond"/>
          <w:iCs/>
        </w:rPr>
        <w:t>Hatchard</w:t>
      </w:r>
      <w:proofErr w:type="spellEnd"/>
      <w:r w:rsidRPr="003037D2">
        <w:rPr>
          <w:rFonts w:ascii="Garamond" w:hAnsi="Garamond"/>
          <w:iCs/>
        </w:rPr>
        <w:t>, 1812)</w:t>
      </w:r>
    </w:p>
    <w:p w14:paraId="0E2C189D" w14:textId="77777777" w:rsidR="00162224" w:rsidRPr="003037D2" w:rsidRDefault="00162224" w:rsidP="00A721D6">
      <w:pPr>
        <w:ind w:left="1361" w:hanging="720"/>
        <w:rPr>
          <w:rFonts w:ascii="Garamond" w:hAnsi="Garamond"/>
        </w:rPr>
      </w:pPr>
      <w:proofErr w:type="spellStart"/>
      <w:r w:rsidRPr="003037D2">
        <w:rPr>
          <w:rFonts w:ascii="Garamond" w:hAnsi="Garamond"/>
        </w:rPr>
        <w:t>Favour</w:t>
      </w:r>
      <w:proofErr w:type="spellEnd"/>
      <w:r w:rsidRPr="003037D2">
        <w:rPr>
          <w:rFonts w:ascii="Garamond" w:hAnsi="Garamond"/>
        </w:rPr>
        <w:t xml:space="preserve">, John, </w:t>
      </w:r>
      <w:proofErr w:type="spellStart"/>
      <w:r w:rsidRPr="003037D2">
        <w:rPr>
          <w:rFonts w:ascii="Garamond" w:hAnsi="Garamond"/>
          <w:i/>
          <w:iCs/>
        </w:rPr>
        <w:t>Antiquitie</w:t>
      </w:r>
      <w:proofErr w:type="spellEnd"/>
      <w:r w:rsidRPr="003037D2">
        <w:rPr>
          <w:rFonts w:ascii="Garamond" w:hAnsi="Garamond"/>
          <w:i/>
          <w:iCs/>
        </w:rPr>
        <w:t xml:space="preserve"> Triumphing over </w:t>
      </w:r>
      <w:proofErr w:type="spellStart"/>
      <w:r w:rsidRPr="003037D2">
        <w:rPr>
          <w:rFonts w:ascii="Garamond" w:hAnsi="Garamond"/>
          <w:i/>
          <w:iCs/>
        </w:rPr>
        <w:t>Noveltie</w:t>
      </w:r>
      <w:proofErr w:type="spellEnd"/>
      <w:r w:rsidRPr="003037D2">
        <w:rPr>
          <w:rFonts w:ascii="Garamond" w:hAnsi="Garamond"/>
          <w:i/>
          <w:iCs/>
        </w:rPr>
        <w:t xml:space="preserve"> </w:t>
      </w:r>
      <w:r w:rsidRPr="003037D2">
        <w:rPr>
          <w:rFonts w:ascii="Garamond" w:hAnsi="Garamond"/>
          <w:iCs/>
        </w:rPr>
        <w:t>(</w:t>
      </w:r>
      <w:r w:rsidRPr="003037D2">
        <w:rPr>
          <w:rFonts w:ascii="Garamond" w:hAnsi="Garamond"/>
        </w:rPr>
        <w:t>London: 1619)</w:t>
      </w:r>
    </w:p>
    <w:p w14:paraId="4CB8F475" w14:textId="77777777" w:rsidR="00162224" w:rsidRPr="003037D2" w:rsidRDefault="00162224" w:rsidP="00A721D6">
      <w:pPr>
        <w:ind w:left="1361" w:hanging="720"/>
        <w:rPr>
          <w:rFonts w:ascii="Garamond" w:hAnsi="Garamond"/>
        </w:rPr>
      </w:pPr>
      <w:proofErr w:type="spellStart"/>
      <w:r w:rsidRPr="003037D2">
        <w:rPr>
          <w:rFonts w:ascii="Garamond" w:hAnsi="Garamond"/>
        </w:rPr>
        <w:t>Ferrar</w:t>
      </w:r>
      <w:proofErr w:type="spellEnd"/>
      <w:r w:rsidRPr="003037D2">
        <w:rPr>
          <w:rFonts w:ascii="Garamond" w:hAnsi="Garamond"/>
        </w:rPr>
        <w:t xml:space="preserve">, John, </w:t>
      </w:r>
      <w:r w:rsidRPr="003037D2">
        <w:rPr>
          <w:rFonts w:ascii="Garamond" w:hAnsi="Garamond"/>
          <w:i/>
        </w:rPr>
        <w:t xml:space="preserve">Materials for the Life of Nicholas </w:t>
      </w:r>
      <w:proofErr w:type="spellStart"/>
      <w:r w:rsidRPr="003037D2">
        <w:rPr>
          <w:rFonts w:ascii="Garamond" w:hAnsi="Garamond"/>
          <w:i/>
        </w:rPr>
        <w:t>Ferrar</w:t>
      </w:r>
      <w:proofErr w:type="spellEnd"/>
      <w:r w:rsidRPr="003037D2">
        <w:rPr>
          <w:rFonts w:ascii="Garamond" w:hAnsi="Garamond"/>
          <w:i/>
        </w:rPr>
        <w:t xml:space="preserve">, </w:t>
      </w:r>
      <w:r w:rsidRPr="003037D2">
        <w:rPr>
          <w:rFonts w:ascii="Garamond" w:hAnsi="Garamond"/>
        </w:rPr>
        <w:t>ed. by Lynette R. Muir and John A. White</w:t>
      </w:r>
      <w:r w:rsidRPr="003037D2">
        <w:rPr>
          <w:rFonts w:ascii="Garamond" w:hAnsi="Garamond"/>
          <w:i/>
        </w:rPr>
        <w:t xml:space="preserve"> </w:t>
      </w:r>
      <w:r w:rsidRPr="003037D2">
        <w:rPr>
          <w:rFonts w:ascii="Garamond" w:hAnsi="Garamond"/>
        </w:rPr>
        <w:t>(Leeds: Leeds Philosophical and Literary Society, 1996)</w:t>
      </w:r>
    </w:p>
    <w:p w14:paraId="6E8719E6" w14:textId="77777777" w:rsidR="00162224" w:rsidRPr="003037D2" w:rsidRDefault="00162224" w:rsidP="00A721D6">
      <w:pPr>
        <w:ind w:left="1361" w:hanging="720"/>
        <w:rPr>
          <w:rFonts w:ascii="Garamond" w:hAnsi="Garamond"/>
        </w:rPr>
      </w:pPr>
      <w:r w:rsidRPr="003037D2">
        <w:rPr>
          <w:rFonts w:ascii="Garamond" w:hAnsi="Garamond"/>
        </w:rPr>
        <w:t xml:space="preserve">Ficino, </w:t>
      </w:r>
      <w:proofErr w:type="spellStart"/>
      <w:r w:rsidRPr="003037D2">
        <w:rPr>
          <w:rFonts w:ascii="Garamond" w:hAnsi="Garamond"/>
        </w:rPr>
        <w:t>Marsilio</w:t>
      </w:r>
      <w:proofErr w:type="spellEnd"/>
      <w:r w:rsidRPr="003037D2">
        <w:rPr>
          <w:rFonts w:ascii="Garamond" w:hAnsi="Garamond"/>
        </w:rPr>
        <w:t xml:space="preserve">, and Pseudo-Dionysius, </w:t>
      </w:r>
      <w:r w:rsidRPr="003037D2">
        <w:rPr>
          <w:rFonts w:ascii="Garamond" w:hAnsi="Garamond"/>
          <w:i/>
        </w:rPr>
        <w:t xml:space="preserve">On Dionysius the Areopagite, </w:t>
      </w:r>
      <w:r w:rsidRPr="003037D2">
        <w:rPr>
          <w:rFonts w:ascii="Garamond" w:hAnsi="Garamond"/>
        </w:rPr>
        <w:t xml:space="preserve">ed. and translated by Michael J.B. Allen (Cambridge, MA: Harvard University Press, 2015) </w:t>
      </w:r>
    </w:p>
    <w:p w14:paraId="4FF96DE3" w14:textId="77777777" w:rsidR="00162224" w:rsidRPr="003037D2" w:rsidRDefault="00162224" w:rsidP="00A721D6">
      <w:pPr>
        <w:ind w:left="1361" w:hanging="720"/>
        <w:rPr>
          <w:rFonts w:ascii="Garamond" w:hAnsi="Garamond"/>
        </w:rPr>
      </w:pPr>
      <w:proofErr w:type="spellStart"/>
      <w:r w:rsidRPr="003037D2">
        <w:rPr>
          <w:rFonts w:ascii="Garamond" w:hAnsi="Garamond"/>
        </w:rPr>
        <w:t>Frende</w:t>
      </w:r>
      <w:proofErr w:type="spellEnd"/>
      <w:r w:rsidRPr="003037D2">
        <w:rPr>
          <w:rFonts w:ascii="Garamond" w:hAnsi="Garamond"/>
        </w:rPr>
        <w:t xml:space="preserve">, Gabriel, </w:t>
      </w:r>
      <w:r w:rsidRPr="003037D2">
        <w:rPr>
          <w:rFonts w:ascii="Garamond" w:hAnsi="Garamond"/>
          <w:i/>
        </w:rPr>
        <w:t xml:space="preserve">1598: An </w:t>
      </w:r>
      <w:proofErr w:type="spellStart"/>
      <w:r w:rsidRPr="003037D2">
        <w:rPr>
          <w:rFonts w:ascii="Garamond" w:hAnsi="Garamond"/>
          <w:i/>
        </w:rPr>
        <w:t>almanacke</w:t>
      </w:r>
      <w:proofErr w:type="spellEnd"/>
      <w:r w:rsidRPr="003037D2">
        <w:rPr>
          <w:rFonts w:ascii="Garamond" w:hAnsi="Garamond"/>
          <w:i/>
        </w:rPr>
        <w:t xml:space="preserve"> and prognostication</w:t>
      </w:r>
      <w:r w:rsidRPr="003037D2">
        <w:rPr>
          <w:rFonts w:ascii="Garamond" w:hAnsi="Garamond"/>
        </w:rPr>
        <w:t xml:space="preserve"> (London: Richard Watkins and James Roberts, 1598), 30069, Huntington Library, CA</w:t>
      </w:r>
    </w:p>
    <w:p w14:paraId="2EF97582" w14:textId="77777777" w:rsidR="00162224" w:rsidRPr="003037D2" w:rsidRDefault="00162224" w:rsidP="00A721D6">
      <w:pPr>
        <w:ind w:left="1361" w:hanging="720"/>
        <w:rPr>
          <w:rFonts w:ascii="Garamond" w:hAnsi="Garamond"/>
        </w:rPr>
      </w:pPr>
      <w:r w:rsidRPr="003037D2">
        <w:rPr>
          <w:rFonts w:ascii="Garamond" w:hAnsi="Garamond"/>
          <w:i/>
          <w:iCs/>
        </w:rPr>
        <w:t>___</w:t>
      </w:r>
      <w:proofErr w:type="gramStart"/>
      <w:r w:rsidRPr="003037D2">
        <w:rPr>
          <w:rFonts w:ascii="Garamond" w:hAnsi="Garamond"/>
          <w:i/>
          <w:iCs/>
        </w:rPr>
        <w:t>_ ,</w:t>
      </w:r>
      <w:proofErr w:type="gramEnd"/>
      <w:r w:rsidRPr="003037D2">
        <w:rPr>
          <w:rFonts w:ascii="Garamond" w:hAnsi="Garamond"/>
          <w:i/>
          <w:iCs/>
        </w:rPr>
        <w:t xml:space="preserve"> </w:t>
      </w:r>
      <w:r w:rsidRPr="003037D2">
        <w:rPr>
          <w:rFonts w:ascii="Garamond" w:hAnsi="Garamond"/>
          <w:i/>
        </w:rPr>
        <w:t xml:space="preserve">1599. An </w:t>
      </w:r>
      <w:proofErr w:type="spellStart"/>
      <w:r w:rsidRPr="003037D2">
        <w:rPr>
          <w:rFonts w:ascii="Garamond" w:hAnsi="Garamond"/>
          <w:i/>
        </w:rPr>
        <w:t>almanacke</w:t>
      </w:r>
      <w:proofErr w:type="spellEnd"/>
      <w:r w:rsidRPr="003037D2">
        <w:rPr>
          <w:rFonts w:ascii="Garamond" w:hAnsi="Garamond"/>
          <w:i/>
        </w:rPr>
        <w:t xml:space="preserve"> and prognostication </w:t>
      </w:r>
      <w:r w:rsidRPr="003037D2">
        <w:rPr>
          <w:rFonts w:ascii="Garamond" w:hAnsi="Garamond"/>
        </w:rPr>
        <w:t>(London: Richard Watkins and James Roberts, 1599), 30069, Huntington Library, CA</w:t>
      </w:r>
    </w:p>
    <w:p w14:paraId="331DC01D" w14:textId="77777777" w:rsidR="00162224" w:rsidRPr="003037D2" w:rsidRDefault="00162224" w:rsidP="00A721D6">
      <w:pPr>
        <w:ind w:left="1361" w:hanging="720"/>
        <w:rPr>
          <w:rFonts w:ascii="Garamond" w:hAnsi="Garamond"/>
          <w:u w:val="single"/>
        </w:rPr>
      </w:pPr>
      <w:r w:rsidRPr="003037D2">
        <w:rPr>
          <w:rFonts w:ascii="Garamond" w:hAnsi="Garamond"/>
        </w:rPr>
        <w:t xml:space="preserve">Galilei, Galileo, </w:t>
      </w:r>
      <w:r w:rsidRPr="003037D2">
        <w:rPr>
          <w:rFonts w:ascii="Garamond" w:hAnsi="Garamond"/>
          <w:i/>
          <w:iCs/>
        </w:rPr>
        <w:t xml:space="preserve">Discoveries and opinions of Galileo, </w:t>
      </w:r>
      <w:r w:rsidRPr="003037D2">
        <w:rPr>
          <w:rFonts w:ascii="Garamond" w:hAnsi="Garamond"/>
        </w:rPr>
        <w:t>translated with an introduction and notes by Stillman Drake (New York: Anchor Books, 1957)</w:t>
      </w:r>
      <w:r w:rsidRPr="003037D2">
        <w:rPr>
          <w:rFonts w:ascii="Garamond" w:hAnsi="Garamond"/>
          <w:u w:val="single"/>
        </w:rPr>
        <w:t xml:space="preserve">  </w:t>
      </w:r>
    </w:p>
    <w:p w14:paraId="175FE1BE" w14:textId="77777777" w:rsidR="00162224" w:rsidRPr="003037D2" w:rsidRDefault="00162224" w:rsidP="00A721D6">
      <w:pPr>
        <w:ind w:left="1361" w:hanging="720"/>
        <w:rPr>
          <w:rFonts w:ascii="Garamond" w:hAnsi="Garamond"/>
        </w:rPr>
      </w:pPr>
      <w:r w:rsidRPr="003037D2">
        <w:rPr>
          <w:rFonts w:ascii="Garamond" w:hAnsi="Garamond"/>
        </w:rPr>
        <w:t xml:space="preserve">Gallen, Thomas, </w:t>
      </w:r>
      <w:r w:rsidRPr="003037D2">
        <w:rPr>
          <w:rFonts w:ascii="Garamond" w:hAnsi="Garamond"/>
          <w:i/>
        </w:rPr>
        <w:t xml:space="preserve">A new almanack for the said year. </w:t>
      </w:r>
      <w:proofErr w:type="spellStart"/>
      <w:r w:rsidRPr="003037D2">
        <w:rPr>
          <w:rFonts w:ascii="Garamond" w:hAnsi="Garamond"/>
          <w:i/>
        </w:rPr>
        <w:t>Usefull</w:t>
      </w:r>
      <w:proofErr w:type="spellEnd"/>
      <w:r w:rsidRPr="003037D2">
        <w:rPr>
          <w:rFonts w:ascii="Garamond" w:hAnsi="Garamond"/>
          <w:i/>
        </w:rPr>
        <w:t xml:space="preserve"> for the </w:t>
      </w:r>
      <w:proofErr w:type="spellStart"/>
      <w:r w:rsidRPr="003037D2">
        <w:rPr>
          <w:rFonts w:ascii="Garamond" w:hAnsi="Garamond"/>
          <w:i/>
        </w:rPr>
        <w:t>kingdome</w:t>
      </w:r>
      <w:proofErr w:type="spellEnd"/>
      <w:r w:rsidRPr="003037D2">
        <w:rPr>
          <w:rFonts w:ascii="Garamond" w:hAnsi="Garamond"/>
          <w:i/>
        </w:rPr>
        <w:t xml:space="preserve"> of Great Britain. </w:t>
      </w:r>
      <w:r w:rsidRPr="003037D2">
        <w:rPr>
          <w:rFonts w:ascii="Garamond" w:hAnsi="Garamond"/>
        </w:rPr>
        <w:t xml:space="preserve">(London: printed by M.F. for the Company of Stationers 1648), 429518 v.1, Huntington Library, CA </w:t>
      </w:r>
    </w:p>
    <w:p w14:paraId="5463FB42" w14:textId="77777777" w:rsidR="00162224" w:rsidRPr="003037D2" w:rsidRDefault="00162224" w:rsidP="00A721D6">
      <w:pPr>
        <w:ind w:left="1361" w:hanging="720"/>
        <w:rPr>
          <w:rFonts w:ascii="Garamond" w:hAnsi="Garamond"/>
        </w:rPr>
      </w:pPr>
      <w:r w:rsidRPr="003037D2">
        <w:rPr>
          <w:rFonts w:ascii="Garamond" w:hAnsi="Garamond"/>
        </w:rPr>
        <w:t xml:space="preserve">Grafton, Richard, </w:t>
      </w:r>
      <w:r w:rsidRPr="003037D2">
        <w:rPr>
          <w:rFonts w:ascii="Garamond" w:hAnsi="Garamond"/>
          <w:i/>
        </w:rPr>
        <w:t xml:space="preserve">A brief treatise </w:t>
      </w:r>
      <w:proofErr w:type="spellStart"/>
      <w:r w:rsidRPr="003037D2">
        <w:rPr>
          <w:rFonts w:ascii="Garamond" w:hAnsi="Garamond"/>
          <w:i/>
        </w:rPr>
        <w:t>conteinyng</w:t>
      </w:r>
      <w:proofErr w:type="spellEnd"/>
      <w:r w:rsidRPr="003037D2">
        <w:rPr>
          <w:rFonts w:ascii="Garamond" w:hAnsi="Garamond"/>
          <w:i/>
        </w:rPr>
        <w:t xml:space="preserve"> many proper tables, and </w:t>
      </w:r>
      <w:proofErr w:type="spellStart"/>
      <w:r w:rsidRPr="003037D2">
        <w:rPr>
          <w:rFonts w:ascii="Garamond" w:hAnsi="Garamond"/>
          <w:i/>
        </w:rPr>
        <w:t>easie</w:t>
      </w:r>
      <w:proofErr w:type="spellEnd"/>
      <w:r w:rsidRPr="003037D2">
        <w:rPr>
          <w:rFonts w:ascii="Garamond" w:hAnsi="Garamond"/>
          <w:i/>
        </w:rPr>
        <w:t xml:space="preserve"> rules, </w:t>
      </w:r>
      <w:proofErr w:type="spellStart"/>
      <w:r w:rsidRPr="003037D2">
        <w:rPr>
          <w:rFonts w:ascii="Garamond" w:hAnsi="Garamond"/>
          <w:i/>
        </w:rPr>
        <w:t>verye</w:t>
      </w:r>
      <w:proofErr w:type="spellEnd"/>
      <w:r w:rsidRPr="003037D2">
        <w:rPr>
          <w:rFonts w:ascii="Garamond" w:hAnsi="Garamond"/>
          <w:i/>
        </w:rPr>
        <w:t xml:space="preserve"> </w:t>
      </w:r>
      <w:proofErr w:type="spellStart"/>
      <w:r w:rsidRPr="003037D2">
        <w:rPr>
          <w:rFonts w:ascii="Garamond" w:hAnsi="Garamond"/>
          <w:i/>
        </w:rPr>
        <w:t>necessarye</w:t>
      </w:r>
      <w:proofErr w:type="spellEnd"/>
      <w:r w:rsidRPr="003037D2">
        <w:rPr>
          <w:rFonts w:ascii="Garamond" w:hAnsi="Garamond"/>
          <w:i/>
        </w:rPr>
        <w:t xml:space="preserve"> and </w:t>
      </w:r>
      <w:proofErr w:type="spellStart"/>
      <w:r w:rsidRPr="003037D2">
        <w:rPr>
          <w:rFonts w:ascii="Garamond" w:hAnsi="Garamond"/>
          <w:i/>
        </w:rPr>
        <w:t>nedefull</w:t>
      </w:r>
      <w:proofErr w:type="spellEnd"/>
      <w:r w:rsidRPr="003037D2">
        <w:rPr>
          <w:rFonts w:ascii="Garamond" w:hAnsi="Garamond"/>
          <w:i/>
        </w:rPr>
        <w:t>, for the use and co[m]</w:t>
      </w:r>
      <w:proofErr w:type="spellStart"/>
      <w:r w:rsidRPr="003037D2">
        <w:rPr>
          <w:rFonts w:ascii="Garamond" w:hAnsi="Garamond"/>
          <w:i/>
        </w:rPr>
        <w:t>moditie</w:t>
      </w:r>
      <w:proofErr w:type="spellEnd"/>
      <w:r w:rsidRPr="003037D2">
        <w:rPr>
          <w:rFonts w:ascii="Garamond" w:hAnsi="Garamond"/>
          <w:i/>
        </w:rPr>
        <w:t xml:space="preserve"> of </w:t>
      </w:r>
      <w:proofErr w:type="spellStart"/>
      <w:r w:rsidRPr="003037D2">
        <w:rPr>
          <w:rFonts w:ascii="Garamond" w:hAnsi="Garamond"/>
          <w:i/>
        </w:rPr>
        <w:t>al</w:t>
      </w:r>
      <w:proofErr w:type="spellEnd"/>
      <w:r w:rsidRPr="003037D2">
        <w:rPr>
          <w:rFonts w:ascii="Garamond" w:hAnsi="Garamond"/>
          <w:i/>
        </w:rPr>
        <w:t xml:space="preserve"> people, collected out of </w:t>
      </w:r>
      <w:proofErr w:type="spellStart"/>
      <w:r w:rsidRPr="003037D2">
        <w:rPr>
          <w:rFonts w:ascii="Garamond" w:hAnsi="Garamond"/>
          <w:i/>
        </w:rPr>
        <w:t>certaine</w:t>
      </w:r>
      <w:proofErr w:type="spellEnd"/>
      <w:r w:rsidRPr="003037D2">
        <w:rPr>
          <w:rFonts w:ascii="Garamond" w:hAnsi="Garamond"/>
          <w:i/>
        </w:rPr>
        <w:t xml:space="preserve"> learned </w:t>
      </w:r>
      <w:proofErr w:type="spellStart"/>
      <w:r w:rsidRPr="003037D2">
        <w:rPr>
          <w:rFonts w:ascii="Garamond" w:hAnsi="Garamond"/>
          <w:i/>
        </w:rPr>
        <w:t>mens</w:t>
      </w:r>
      <w:proofErr w:type="spellEnd"/>
      <w:r w:rsidRPr="003037D2">
        <w:rPr>
          <w:rFonts w:ascii="Garamond" w:hAnsi="Garamond"/>
          <w:i/>
        </w:rPr>
        <w:t xml:space="preserve"> works </w:t>
      </w:r>
      <w:r w:rsidRPr="003037D2">
        <w:rPr>
          <w:rFonts w:ascii="Garamond" w:hAnsi="Garamond"/>
        </w:rPr>
        <w:t xml:space="preserve">(London: John </w:t>
      </w:r>
      <w:proofErr w:type="spellStart"/>
      <w:r w:rsidRPr="003037D2">
        <w:rPr>
          <w:rFonts w:ascii="Garamond" w:hAnsi="Garamond"/>
        </w:rPr>
        <w:t>Waley</w:t>
      </w:r>
      <w:proofErr w:type="spellEnd"/>
      <w:r w:rsidRPr="003037D2">
        <w:rPr>
          <w:rFonts w:ascii="Garamond" w:hAnsi="Garamond"/>
        </w:rPr>
        <w:t xml:space="preserve">, 1576) 61182, Huntington Library, CA  </w:t>
      </w:r>
    </w:p>
    <w:p w14:paraId="1AAAE686" w14:textId="77777777" w:rsidR="00162224" w:rsidRPr="003037D2" w:rsidRDefault="00162224" w:rsidP="00A721D6">
      <w:pPr>
        <w:ind w:left="1361" w:hanging="720"/>
        <w:rPr>
          <w:rFonts w:ascii="Garamond" w:hAnsi="Garamond"/>
        </w:rPr>
      </w:pPr>
      <w:proofErr w:type="spellStart"/>
      <w:r w:rsidRPr="003037D2">
        <w:rPr>
          <w:rFonts w:ascii="Garamond" w:hAnsi="Garamond"/>
        </w:rPr>
        <w:t>Hacket</w:t>
      </w:r>
      <w:proofErr w:type="spellEnd"/>
      <w:r w:rsidRPr="003037D2">
        <w:rPr>
          <w:rFonts w:ascii="Garamond" w:hAnsi="Garamond"/>
        </w:rPr>
        <w:t xml:space="preserve">, John, </w:t>
      </w:r>
      <w:r w:rsidRPr="003037D2">
        <w:rPr>
          <w:rFonts w:ascii="Garamond" w:hAnsi="Garamond"/>
          <w:i/>
        </w:rPr>
        <w:t xml:space="preserve">A Century of Sermons upon several remarkable subjects </w:t>
      </w:r>
      <w:r w:rsidRPr="003037D2">
        <w:rPr>
          <w:rFonts w:ascii="Garamond" w:hAnsi="Garamond"/>
        </w:rPr>
        <w:t xml:space="preserve">(London: 1675) </w:t>
      </w:r>
    </w:p>
    <w:p w14:paraId="295A6A76" w14:textId="77777777" w:rsidR="00162224" w:rsidRPr="003037D2" w:rsidRDefault="00162224" w:rsidP="00A721D6">
      <w:pPr>
        <w:ind w:left="1361" w:hanging="720"/>
        <w:rPr>
          <w:rFonts w:ascii="Garamond" w:hAnsi="Garamond"/>
        </w:rPr>
      </w:pPr>
      <w:bookmarkStart w:id="247" w:name="_Hlk532456731"/>
      <w:r w:rsidRPr="003037D2">
        <w:rPr>
          <w:rFonts w:ascii="Garamond" w:hAnsi="Garamond"/>
          <w:i/>
          <w:iCs/>
        </w:rPr>
        <w:t>___</w:t>
      </w:r>
      <w:proofErr w:type="gramStart"/>
      <w:r w:rsidRPr="003037D2">
        <w:rPr>
          <w:rFonts w:ascii="Garamond" w:hAnsi="Garamond"/>
          <w:i/>
          <w:iCs/>
        </w:rPr>
        <w:t>_ ,</w:t>
      </w:r>
      <w:proofErr w:type="gramEnd"/>
      <w:r w:rsidRPr="003037D2">
        <w:rPr>
          <w:rFonts w:ascii="Garamond" w:hAnsi="Garamond"/>
          <w:i/>
          <w:iCs/>
        </w:rPr>
        <w:t xml:space="preserve"> </w:t>
      </w:r>
      <w:bookmarkEnd w:id="247"/>
      <w:r w:rsidRPr="003037D2">
        <w:rPr>
          <w:rFonts w:ascii="Garamond" w:hAnsi="Garamond"/>
          <w:i/>
          <w:iCs/>
        </w:rPr>
        <w:t xml:space="preserve">Scrinia </w:t>
      </w:r>
      <w:proofErr w:type="spellStart"/>
      <w:r w:rsidRPr="003037D2">
        <w:rPr>
          <w:rFonts w:ascii="Garamond" w:hAnsi="Garamond"/>
          <w:i/>
          <w:iCs/>
        </w:rPr>
        <w:t>reserata</w:t>
      </w:r>
      <w:proofErr w:type="spellEnd"/>
      <w:r w:rsidRPr="003037D2">
        <w:rPr>
          <w:rFonts w:ascii="Garamond" w:hAnsi="Garamond"/>
          <w:i/>
          <w:iCs/>
        </w:rPr>
        <w:t xml:space="preserve">: a Memorial offered to the great </w:t>
      </w:r>
      <w:proofErr w:type="spellStart"/>
      <w:r w:rsidRPr="003037D2">
        <w:rPr>
          <w:rFonts w:ascii="Garamond" w:hAnsi="Garamond"/>
          <w:i/>
          <w:iCs/>
        </w:rPr>
        <w:t>Deservings</w:t>
      </w:r>
      <w:proofErr w:type="spellEnd"/>
      <w:r w:rsidRPr="003037D2">
        <w:rPr>
          <w:rFonts w:ascii="Garamond" w:hAnsi="Garamond"/>
          <w:i/>
          <w:iCs/>
        </w:rPr>
        <w:t xml:space="preserve"> of John Williams, D.D. </w:t>
      </w:r>
      <w:r w:rsidRPr="003037D2">
        <w:rPr>
          <w:rFonts w:ascii="Garamond" w:hAnsi="Garamond"/>
        </w:rPr>
        <w:t>(London: 1693)</w:t>
      </w:r>
    </w:p>
    <w:p w14:paraId="0CB30B29" w14:textId="77777777" w:rsidR="00162224" w:rsidRPr="003037D2" w:rsidRDefault="00162224" w:rsidP="00A721D6">
      <w:pPr>
        <w:ind w:left="1361" w:hanging="720"/>
        <w:rPr>
          <w:rFonts w:ascii="Garamond" w:hAnsi="Garamond"/>
        </w:rPr>
      </w:pPr>
      <w:r w:rsidRPr="003037D2">
        <w:rPr>
          <w:rFonts w:ascii="Garamond" w:hAnsi="Garamond"/>
        </w:rPr>
        <w:t xml:space="preserve">Hall, Joseph, </w:t>
      </w:r>
      <w:proofErr w:type="gramStart"/>
      <w:r w:rsidRPr="003037D2">
        <w:rPr>
          <w:rFonts w:ascii="Garamond" w:hAnsi="Garamond"/>
          <w:i/>
          <w:iCs/>
        </w:rPr>
        <w:t>An</w:t>
      </w:r>
      <w:proofErr w:type="gramEnd"/>
      <w:r w:rsidRPr="003037D2">
        <w:rPr>
          <w:rFonts w:ascii="Garamond" w:hAnsi="Garamond"/>
          <w:i/>
          <w:iCs/>
        </w:rPr>
        <w:t xml:space="preserve"> holy </w:t>
      </w:r>
      <w:proofErr w:type="spellStart"/>
      <w:r w:rsidRPr="003037D2">
        <w:rPr>
          <w:rFonts w:ascii="Garamond" w:hAnsi="Garamond"/>
          <w:i/>
          <w:iCs/>
        </w:rPr>
        <w:t>panegyrick</w:t>
      </w:r>
      <w:proofErr w:type="spellEnd"/>
      <w:r w:rsidRPr="003037D2">
        <w:rPr>
          <w:rFonts w:ascii="Garamond" w:hAnsi="Garamond"/>
          <w:i/>
          <w:iCs/>
        </w:rPr>
        <w:t xml:space="preserve"> a sermon preached at Paules Crosse upon the </w:t>
      </w:r>
      <w:proofErr w:type="spellStart"/>
      <w:r w:rsidRPr="003037D2">
        <w:rPr>
          <w:rFonts w:ascii="Garamond" w:hAnsi="Garamond"/>
          <w:i/>
          <w:iCs/>
        </w:rPr>
        <w:t>anniuersarie</w:t>
      </w:r>
      <w:proofErr w:type="spellEnd"/>
      <w:r w:rsidRPr="003037D2">
        <w:rPr>
          <w:rFonts w:ascii="Garamond" w:hAnsi="Garamond"/>
          <w:i/>
          <w:iCs/>
        </w:rPr>
        <w:t xml:space="preserve"> </w:t>
      </w:r>
      <w:proofErr w:type="spellStart"/>
      <w:r w:rsidRPr="003037D2">
        <w:rPr>
          <w:rFonts w:ascii="Garamond" w:hAnsi="Garamond"/>
          <w:i/>
          <w:iCs/>
        </w:rPr>
        <w:t>solemnitie</w:t>
      </w:r>
      <w:proofErr w:type="spellEnd"/>
      <w:r w:rsidRPr="003037D2">
        <w:rPr>
          <w:rFonts w:ascii="Garamond" w:hAnsi="Garamond"/>
          <w:i/>
          <w:iCs/>
        </w:rPr>
        <w:t xml:space="preserve"> of the </w:t>
      </w:r>
      <w:proofErr w:type="spellStart"/>
      <w:r w:rsidRPr="003037D2">
        <w:rPr>
          <w:rFonts w:ascii="Garamond" w:hAnsi="Garamond"/>
          <w:i/>
          <w:iCs/>
        </w:rPr>
        <w:t>happie</w:t>
      </w:r>
      <w:proofErr w:type="spellEnd"/>
      <w:r w:rsidRPr="003037D2">
        <w:rPr>
          <w:rFonts w:ascii="Garamond" w:hAnsi="Garamond"/>
          <w:i/>
          <w:iCs/>
        </w:rPr>
        <w:t xml:space="preserve"> inauguration of our dread </w:t>
      </w:r>
      <w:proofErr w:type="spellStart"/>
      <w:r w:rsidRPr="003037D2">
        <w:rPr>
          <w:rFonts w:ascii="Garamond" w:hAnsi="Garamond"/>
          <w:i/>
          <w:iCs/>
        </w:rPr>
        <w:t>soueraigne</w:t>
      </w:r>
      <w:proofErr w:type="spellEnd"/>
      <w:r w:rsidRPr="003037D2">
        <w:rPr>
          <w:rFonts w:ascii="Garamond" w:hAnsi="Garamond"/>
          <w:i/>
          <w:iCs/>
        </w:rPr>
        <w:t xml:space="preserve"> Lord King James, Mar. 24, 1613 </w:t>
      </w:r>
      <w:r w:rsidRPr="003037D2">
        <w:rPr>
          <w:rFonts w:ascii="Garamond" w:hAnsi="Garamond"/>
        </w:rPr>
        <w:t xml:space="preserve">(London: Printed by John </w:t>
      </w:r>
      <w:proofErr w:type="spellStart"/>
      <w:r w:rsidRPr="003037D2">
        <w:rPr>
          <w:rFonts w:ascii="Garamond" w:hAnsi="Garamond"/>
        </w:rPr>
        <w:t>Pindley</w:t>
      </w:r>
      <w:proofErr w:type="spellEnd"/>
      <w:r w:rsidRPr="003037D2">
        <w:rPr>
          <w:rFonts w:ascii="Garamond" w:hAnsi="Garamond"/>
        </w:rPr>
        <w:t xml:space="preserve"> for Samuel Macham, 1613)</w:t>
      </w:r>
    </w:p>
    <w:p w14:paraId="4BBFD2A6" w14:textId="77777777" w:rsidR="00162224" w:rsidRPr="003037D2" w:rsidRDefault="00162224" w:rsidP="00A721D6">
      <w:pPr>
        <w:ind w:left="1361" w:hanging="720"/>
        <w:rPr>
          <w:rFonts w:ascii="Garamond" w:hAnsi="Garamond"/>
        </w:rPr>
      </w:pPr>
      <w:r w:rsidRPr="003037D2">
        <w:rPr>
          <w:rFonts w:ascii="Garamond" w:hAnsi="Garamond"/>
          <w:i/>
          <w:iCs/>
        </w:rPr>
        <w:t>___</w:t>
      </w:r>
      <w:proofErr w:type="gramStart"/>
      <w:r w:rsidRPr="003037D2">
        <w:rPr>
          <w:rFonts w:ascii="Garamond" w:hAnsi="Garamond"/>
          <w:i/>
          <w:iCs/>
        </w:rPr>
        <w:t>_ ,</w:t>
      </w:r>
      <w:proofErr w:type="gramEnd"/>
      <w:r w:rsidRPr="003037D2">
        <w:rPr>
          <w:rFonts w:ascii="Garamond" w:hAnsi="Garamond"/>
          <w:i/>
          <w:iCs/>
        </w:rPr>
        <w:t xml:space="preserve"> </w:t>
      </w:r>
      <w:r w:rsidRPr="003037D2">
        <w:rPr>
          <w:rFonts w:ascii="Garamond" w:hAnsi="Garamond"/>
        </w:rPr>
        <w:t xml:space="preserve"> </w:t>
      </w:r>
      <w:r w:rsidRPr="003037D2">
        <w:rPr>
          <w:rFonts w:ascii="Garamond" w:hAnsi="Garamond"/>
          <w:i/>
        </w:rPr>
        <w:t xml:space="preserve">A sermon preached at the happily-restored and reedified </w:t>
      </w:r>
      <w:proofErr w:type="spellStart"/>
      <w:r w:rsidRPr="003037D2">
        <w:rPr>
          <w:rFonts w:ascii="Garamond" w:hAnsi="Garamond"/>
          <w:i/>
        </w:rPr>
        <w:t>chappell</w:t>
      </w:r>
      <w:proofErr w:type="spellEnd"/>
      <w:r w:rsidRPr="003037D2">
        <w:rPr>
          <w:rFonts w:ascii="Garamond" w:hAnsi="Garamond"/>
          <w:i/>
        </w:rPr>
        <w:t xml:space="preserve"> of the Right Honorable the Earle of </w:t>
      </w:r>
      <w:proofErr w:type="spellStart"/>
      <w:r w:rsidRPr="003037D2">
        <w:rPr>
          <w:rFonts w:ascii="Garamond" w:hAnsi="Garamond"/>
          <w:i/>
        </w:rPr>
        <w:t>Exceter</w:t>
      </w:r>
      <w:proofErr w:type="spellEnd"/>
      <w:r w:rsidRPr="003037D2">
        <w:rPr>
          <w:rFonts w:ascii="Garamond" w:hAnsi="Garamond"/>
          <w:i/>
        </w:rPr>
        <w:t xml:space="preserve"> in his house, of S. </w:t>
      </w:r>
      <w:proofErr w:type="spellStart"/>
      <w:r w:rsidRPr="003037D2">
        <w:rPr>
          <w:rFonts w:ascii="Garamond" w:hAnsi="Garamond"/>
          <w:i/>
        </w:rPr>
        <w:t>Iohns</w:t>
      </w:r>
      <w:proofErr w:type="spellEnd"/>
      <w:r w:rsidRPr="003037D2">
        <w:rPr>
          <w:rFonts w:ascii="Garamond" w:hAnsi="Garamond"/>
          <w:i/>
        </w:rPr>
        <w:t xml:space="preserve"> On Saint Stephens day. 1623</w:t>
      </w:r>
      <w:r w:rsidRPr="003037D2">
        <w:rPr>
          <w:rFonts w:ascii="Garamond" w:hAnsi="Garamond"/>
        </w:rPr>
        <w:t xml:space="preserve"> (London: 1624) </w:t>
      </w:r>
    </w:p>
    <w:p w14:paraId="19011155" w14:textId="77777777" w:rsidR="00162224" w:rsidRPr="003037D2" w:rsidRDefault="00162224" w:rsidP="00A721D6">
      <w:pPr>
        <w:ind w:left="1361" w:hanging="720"/>
        <w:rPr>
          <w:rFonts w:ascii="Garamond" w:hAnsi="Garamond"/>
        </w:rPr>
      </w:pPr>
      <w:r w:rsidRPr="003037D2">
        <w:rPr>
          <w:rFonts w:ascii="Garamond" w:hAnsi="Garamond"/>
          <w:i/>
          <w:iCs/>
        </w:rPr>
        <w:t>___</w:t>
      </w:r>
      <w:proofErr w:type="gramStart"/>
      <w:r w:rsidRPr="003037D2">
        <w:rPr>
          <w:rFonts w:ascii="Garamond" w:hAnsi="Garamond"/>
          <w:i/>
          <w:iCs/>
        </w:rPr>
        <w:t>_ ,</w:t>
      </w:r>
      <w:proofErr w:type="gramEnd"/>
      <w:r w:rsidRPr="003037D2">
        <w:rPr>
          <w:rFonts w:ascii="Garamond" w:hAnsi="Garamond"/>
          <w:i/>
          <w:iCs/>
        </w:rPr>
        <w:t xml:space="preserve"> </w:t>
      </w:r>
      <w:r w:rsidRPr="003037D2">
        <w:rPr>
          <w:rFonts w:ascii="Garamond" w:hAnsi="Garamond"/>
        </w:rPr>
        <w:t xml:space="preserve"> </w:t>
      </w:r>
      <w:r w:rsidRPr="003037D2">
        <w:rPr>
          <w:rFonts w:ascii="Garamond" w:hAnsi="Garamond"/>
          <w:i/>
          <w:iCs/>
        </w:rPr>
        <w:t xml:space="preserve">A sermon of </w:t>
      </w:r>
      <w:proofErr w:type="spellStart"/>
      <w:r w:rsidRPr="003037D2">
        <w:rPr>
          <w:rFonts w:ascii="Garamond" w:hAnsi="Garamond"/>
          <w:i/>
          <w:iCs/>
        </w:rPr>
        <w:t>publike</w:t>
      </w:r>
      <w:proofErr w:type="spellEnd"/>
      <w:r w:rsidRPr="003037D2">
        <w:rPr>
          <w:rFonts w:ascii="Garamond" w:hAnsi="Garamond"/>
          <w:i/>
          <w:iCs/>
        </w:rPr>
        <w:t xml:space="preserve"> </w:t>
      </w:r>
      <w:proofErr w:type="spellStart"/>
      <w:r w:rsidRPr="003037D2">
        <w:rPr>
          <w:rFonts w:ascii="Garamond" w:hAnsi="Garamond"/>
          <w:i/>
          <w:iCs/>
        </w:rPr>
        <w:t>thanksgiuing</w:t>
      </w:r>
      <w:proofErr w:type="spellEnd"/>
      <w:r w:rsidRPr="003037D2">
        <w:rPr>
          <w:rFonts w:ascii="Garamond" w:hAnsi="Garamond"/>
          <w:i/>
          <w:iCs/>
        </w:rPr>
        <w:t xml:space="preserve"> for the </w:t>
      </w:r>
      <w:proofErr w:type="spellStart"/>
      <w:r w:rsidRPr="003037D2">
        <w:rPr>
          <w:rFonts w:ascii="Garamond" w:hAnsi="Garamond"/>
          <w:i/>
          <w:iCs/>
        </w:rPr>
        <w:t>wonderfull</w:t>
      </w:r>
      <w:proofErr w:type="spellEnd"/>
      <w:r w:rsidRPr="003037D2">
        <w:rPr>
          <w:rFonts w:ascii="Garamond" w:hAnsi="Garamond"/>
          <w:i/>
          <w:iCs/>
        </w:rPr>
        <w:t xml:space="preserve"> mitigation of the late </w:t>
      </w:r>
      <w:proofErr w:type="spellStart"/>
      <w:r w:rsidRPr="003037D2">
        <w:rPr>
          <w:rFonts w:ascii="Garamond" w:hAnsi="Garamond"/>
          <w:i/>
          <w:iCs/>
        </w:rPr>
        <w:t>mortalitie</w:t>
      </w:r>
      <w:proofErr w:type="spellEnd"/>
      <w:r w:rsidRPr="003037D2">
        <w:rPr>
          <w:rFonts w:ascii="Garamond" w:hAnsi="Garamond"/>
          <w:i/>
          <w:iCs/>
        </w:rPr>
        <w:t xml:space="preserve"> </w:t>
      </w:r>
      <w:proofErr w:type="spellStart"/>
      <w:r w:rsidRPr="003037D2">
        <w:rPr>
          <w:rFonts w:ascii="Garamond" w:hAnsi="Garamond"/>
          <w:i/>
          <w:iCs/>
        </w:rPr>
        <w:t>preacht</w:t>
      </w:r>
      <w:proofErr w:type="spellEnd"/>
      <w:r w:rsidRPr="003037D2">
        <w:rPr>
          <w:rFonts w:ascii="Garamond" w:hAnsi="Garamond"/>
          <w:i/>
          <w:iCs/>
        </w:rPr>
        <w:t xml:space="preserve"> before his </w:t>
      </w:r>
      <w:proofErr w:type="spellStart"/>
      <w:r w:rsidRPr="003037D2">
        <w:rPr>
          <w:rFonts w:ascii="Garamond" w:hAnsi="Garamond"/>
          <w:i/>
          <w:iCs/>
        </w:rPr>
        <w:t>Matie</w:t>
      </w:r>
      <w:proofErr w:type="spellEnd"/>
      <w:r w:rsidRPr="003037D2">
        <w:rPr>
          <w:rFonts w:ascii="Garamond" w:hAnsi="Garamond"/>
          <w:i/>
          <w:iCs/>
        </w:rPr>
        <w:t>; upon his gracious command, at his court of Whitehall</w:t>
      </w:r>
      <w:r w:rsidRPr="003037D2">
        <w:rPr>
          <w:rFonts w:ascii="Garamond" w:hAnsi="Garamond"/>
        </w:rPr>
        <w:t xml:space="preserve">, </w:t>
      </w:r>
      <w:r w:rsidRPr="003037D2">
        <w:rPr>
          <w:rFonts w:ascii="Garamond" w:hAnsi="Garamond"/>
          <w:i/>
          <w:iCs/>
        </w:rPr>
        <w:t>Jan. 29. 1625</w:t>
      </w:r>
      <w:r w:rsidRPr="003037D2">
        <w:rPr>
          <w:rFonts w:ascii="Garamond" w:hAnsi="Garamond"/>
        </w:rPr>
        <w:t xml:space="preserve"> (London: Printed by M. Flesher for Nath. Butter, 1626</w:t>
      </w:r>
    </w:p>
    <w:p w14:paraId="5902BA5A" w14:textId="77777777" w:rsidR="00162224" w:rsidRPr="003037D2" w:rsidRDefault="00162224" w:rsidP="00A721D6">
      <w:pPr>
        <w:ind w:left="1361" w:hanging="720"/>
        <w:rPr>
          <w:rFonts w:ascii="Garamond" w:hAnsi="Garamond"/>
        </w:rPr>
      </w:pPr>
      <w:r w:rsidRPr="003037D2">
        <w:rPr>
          <w:rFonts w:ascii="Garamond" w:hAnsi="Garamond"/>
          <w:i/>
          <w:iCs/>
        </w:rPr>
        <w:t>___</w:t>
      </w:r>
      <w:proofErr w:type="gramStart"/>
      <w:r w:rsidRPr="003037D2">
        <w:rPr>
          <w:rFonts w:ascii="Garamond" w:hAnsi="Garamond"/>
          <w:i/>
          <w:iCs/>
        </w:rPr>
        <w:t>_ ,</w:t>
      </w:r>
      <w:proofErr w:type="gramEnd"/>
      <w:r w:rsidRPr="003037D2">
        <w:rPr>
          <w:rFonts w:ascii="Garamond" w:hAnsi="Garamond"/>
          <w:i/>
          <w:iCs/>
        </w:rPr>
        <w:t xml:space="preserve"> A </w:t>
      </w:r>
      <w:proofErr w:type="spellStart"/>
      <w:r w:rsidRPr="003037D2">
        <w:rPr>
          <w:rFonts w:ascii="Garamond" w:hAnsi="Garamond"/>
          <w:i/>
          <w:iCs/>
        </w:rPr>
        <w:t>Plaine</w:t>
      </w:r>
      <w:proofErr w:type="spellEnd"/>
      <w:r w:rsidRPr="003037D2">
        <w:rPr>
          <w:rFonts w:ascii="Garamond" w:hAnsi="Garamond"/>
          <w:i/>
          <w:iCs/>
        </w:rPr>
        <w:t xml:space="preserve"> and familiar explication (by way of Paraphrase) of all the hard texts of the whole divine Scripture of the Old and New Testament</w:t>
      </w:r>
      <w:r w:rsidRPr="003037D2">
        <w:rPr>
          <w:rFonts w:ascii="Garamond" w:hAnsi="Garamond"/>
        </w:rPr>
        <w:t xml:space="preserve"> (London: 1633)</w:t>
      </w:r>
    </w:p>
    <w:p w14:paraId="58B3EBAE" w14:textId="77777777" w:rsidR="00162224" w:rsidRPr="003037D2" w:rsidRDefault="00162224" w:rsidP="00A721D6">
      <w:pPr>
        <w:ind w:left="1361" w:hanging="720"/>
        <w:rPr>
          <w:rFonts w:ascii="Garamond" w:hAnsi="Garamond"/>
        </w:rPr>
      </w:pPr>
      <w:r w:rsidRPr="003037D2">
        <w:rPr>
          <w:rFonts w:ascii="Garamond" w:hAnsi="Garamond"/>
        </w:rPr>
        <w:t xml:space="preserve">Harrison, William, </w:t>
      </w:r>
      <w:r w:rsidRPr="003037D2">
        <w:rPr>
          <w:rFonts w:ascii="Garamond" w:hAnsi="Garamond"/>
          <w:i/>
          <w:iCs/>
        </w:rPr>
        <w:t xml:space="preserve">An </w:t>
      </w:r>
      <w:proofErr w:type="spellStart"/>
      <w:r w:rsidRPr="003037D2">
        <w:rPr>
          <w:rFonts w:ascii="Garamond" w:hAnsi="Garamond"/>
          <w:i/>
          <w:iCs/>
        </w:rPr>
        <w:t>Historicall</w:t>
      </w:r>
      <w:proofErr w:type="spellEnd"/>
      <w:r w:rsidRPr="003037D2">
        <w:rPr>
          <w:rFonts w:ascii="Garamond" w:hAnsi="Garamond"/>
          <w:i/>
          <w:iCs/>
        </w:rPr>
        <w:t xml:space="preserve"> Description of the </w:t>
      </w:r>
      <w:proofErr w:type="spellStart"/>
      <w:r w:rsidRPr="003037D2">
        <w:rPr>
          <w:rFonts w:ascii="Garamond" w:hAnsi="Garamond"/>
          <w:i/>
          <w:iCs/>
        </w:rPr>
        <w:t>Islande</w:t>
      </w:r>
      <w:proofErr w:type="spellEnd"/>
      <w:r w:rsidRPr="003037D2">
        <w:rPr>
          <w:rFonts w:ascii="Garamond" w:hAnsi="Garamond"/>
          <w:i/>
          <w:iCs/>
        </w:rPr>
        <w:t xml:space="preserve"> of </w:t>
      </w:r>
      <w:proofErr w:type="spellStart"/>
      <w:r w:rsidRPr="003037D2">
        <w:rPr>
          <w:rFonts w:ascii="Garamond" w:hAnsi="Garamond"/>
          <w:i/>
          <w:iCs/>
        </w:rPr>
        <w:t>Britayne</w:t>
      </w:r>
      <w:proofErr w:type="spellEnd"/>
      <w:r w:rsidRPr="003037D2">
        <w:rPr>
          <w:rFonts w:ascii="Garamond" w:hAnsi="Garamond"/>
          <w:i/>
          <w:iCs/>
        </w:rPr>
        <w:t xml:space="preserve"> </w:t>
      </w:r>
      <w:r w:rsidRPr="003037D2">
        <w:rPr>
          <w:rFonts w:ascii="Garamond" w:hAnsi="Garamond"/>
        </w:rPr>
        <w:t>(London: 1587)</w:t>
      </w:r>
    </w:p>
    <w:p w14:paraId="09655C03" w14:textId="77777777" w:rsidR="00162224" w:rsidRPr="003037D2" w:rsidRDefault="00162224" w:rsidP="00A721D6">
      <w:pPr>
        <w:ind w:left="1361" w:hanging="720"/>
        <w:rPr>
          <w:rFonts w:ascii="Garamond" w:hAnsi="Garamond"/>
        </w:rPr>
      </w:pPr>
      <w:r w:rsidRPr="003037D2">
        <w:rPr>
          <w:rFonts w:ascii="Garamond" w:hAnsi="Garamond"/>
        </w:rPr>
        <w:t xml:space="preserve">Herbert, Edward, </w:t>
      </w:r>
      <w:proofErr w:type="gramStart"/>
      <w:r w:rsidRPr="003037D2">
        <w:rPr>
          <w:rFonts w:ascii="Garamond" w:hAnsi="Garamond"/>
          <w:i/>
          <w:iCs/>
        </w:rPr>
        <w:t>The</w:t>
      </w:r>
      <w:proofErr w:type="gramEnd"/>
      <w:r w:rsidRPr="003037D2">
        <w:rPr>
          <w:rFonts w:ascii="Garamond" w:hAnsi="Garamond"/>
          <w:i/>
          <w:iCs/>
        </w:rPr>
        <w:t xml:space="preserve"> life of Edward, first Lord Herbert of </w:t>
      </w:r>
      <w:proofErr w:type="spellStart"/>
      <w:r w:rsidRPr="003037D2">
        <w:rPr>
          <w:rFonts w:ascii="Garamond" w:hAnsi="Garamond"/>
          <w:i/>
          <w:iCs/>
        </w:rPr>
        <w:t>Cherbury</w:t>
      </w:r>
      <w:proofErr w:type="spellEnd"/>
      <w:r w:rsidRPr="003037D2">
        <w:rPr>
          <w:rFonts w:ascii="Garamond" w:hAnsi="Garamond"/>
          <w:i/>
          <w:iCs/>
        </w:rPr>
        <w:t xml:space="preserve"> written by himself, </w:t>
      </w:r>
      <w:r w:rsidRPr="003037D2">
        <w:rPr>
          <w:rFonts w:ascii="Garamond" w:hAnsi="Garamond"/>
        </w:rPr>
        <w:t>ed. by</w:t>
      </w:r>
      <w:r w:rsidRPr="003037D2">
        <w:rPr>
          <w:rFonts w:ascii="Garamond" w:hAnsi="Garamond"/>
          <w:i/>
          <w:iCs/>
        </w:rPr>
        <w:t xml:space="preserve"> J</w:t>
      </w:r>
      <w:r w:rsidRPr="003037D2">
        <w:rPr>
          <w:rFonts w:ascii="Garamond" w:hAnsi="Garamond"/>
        </w:rPr>
        <w:t>. M. Shuttleworth (Oxford: Oxford University Press, 1976)</w:t>
      </w:r>
    </w:p>
    <w:p w14:paraId="1087A4DA" w14:textId="77777777" w:rsidR="00162224" w:rsidRPr="003037D2" w:rsidRDefault="00162224" w:rsidP="00A721D6">
      <w:pPr>
        <w:ind w:left="1361" w:hanging="720"/>
        <w:rPr>
          <w:rFonts w:ascii="Garamond" w:hAnsi="Garamond"/>
        </w:rPr>
      </w:pPr>
      <w:r w:rsidRPr="003037D2">
        <w:rPr>
          <w:rFonts w:ascii="Garamond" w:hAnsi="Garamond"/>
        </w:rPr>
        <w:t xml:space="preserve">Herbert, George, </w:t>
      </w:r>
      <w:r w:rsidRPr="003037D2">
        <w:rPr>
          <w:rFonts w:ascii="Garamond" w:hAnsi="Garamond"/>
          <w:i/>
          <w:iCs/>
        </w:rPr>
        <w:t xml:space="preserve">The English Poems of George Herbert, </w:t>
      </w:r>
      <w:r w:rsidRPr="003037D2">
        <w:rPr>
          <w:rFonts w:ascii="Garamond" w:hAnsi="Garamond"/>
        </w:rPr>
        <w:t xml:space="preserve">ed. by Helen Wilcox (Cambridge: Cambridge University Press, 2007)  </w:t>
      </w:r>
    </w:p>
    <w:p w14:paraId="3ECBF6CB" w14:textId="77777777" w:rsidR="00162224" w:rsidRPr="003037D2" w:rsidRDefault="00162224" w:rsidP="00A721D6">
      <w:pPr>
        <w:ind w:left="1361" w:hanging="720"/>
        <w:rPr>
          <w:rFonts w:ascii="Garamond" w:hAnsi="Garamond"/>
        </w:rPr>
      </w:pPr>
      <w:r w:rsidRPr="003037D2">
        <w:rPr>
          <w:rFonts w:ascii="Garamond" w:hAnsi="Garamond"/>
          <w:i/>
          <w:iCs/>
        </w:rPr>
        <w:t>___</w:t>
      </w:r>
      <w:proofErr w:type="gramStart"/>
      <w:r w:rsidRPr="003037D2">
        <w:rPr>
          <w:rFonts w:ascii="Garamond" w:hAnsi="Garamond"/>
          <w:i/>
          <w:iCs/>
        </w:rPr>
        <w:t>_ ,</w:t>
      </w:r>
      <w:proofErr w:type="gramEnd"/>
      <w:r w:rsidRPr="003037D2">
        <w:rPr>
          <w:rFonts w:ascii="Garamond" w:hAnsi="Garamond"/>
          <w:i/>
          <w:iCs/>
        </w:rPr>
        <w:t xml:space="preserve"> </w:t>
      </w:r>
      <w:r w:rsidRPr="003037D2">
        <w:rPr>
          <w:rFonts w:ascii="Garamond" w:hAnsi="Garamond"/>
        </w:rPr>
        <w:t xml:space="preserve"> </w:t>
      </w:r>
      <w:r w:rsidRPr="003037D2">
        <w:rPr>
          <w:rFonts w:ascii="Garamond" w:hAnsi="Garamond"/>
          <w:i/>
          <w:iCs/>
        </w:rPr>
        <w:t xml:space="preserve">Outlandish Proverbs, selected by Mr. G.H. </w:t>
      </w:r>
      <w:r w:rsidRPr="003037D2">
        <w:rPr>
          <w:rFonts w:ascii="Garamond" w:hAnsi="Garamond"/>
        </w:rPr>
        <w:t>(London: Printed by T. P[</w:t>
      </w:r>
      <w:proofErr w:type="spellStart"/>
      <w:r w:rsidRPr="003037D2">
        <w:rPr>
          <w:rFonts w:ascii="Garamond" w:hAnsi="Garamond"/>
        </w:rPr>
        <w:t>aine</w:t>
      </w:r>
      <w:proofErr w:type="spellEnd"/>
      <w:r w:rsidRPr="003037D2">
        <w:rPr>
          <w:rFonts w:ascii="Garamond" w:hAnsi="Garamond"/>
        </w:rPr>
        <w:t xml:space="preserve">] for Humphrey Blunden, 1640) </w:t>
      </w:r>
    </w:p>
    <w:p w14:paraId="31C79B0B" w14:textId="77777777" w:rsidR="00162224" w:rsidRPr="003037D2" w:rsidRDefault="00162224" w:rsidP="00A721D6">
      <w:pPr>
        <w:ind w:left="1361" w:hanging="720"/>
        <w:rPr>
          <w:rFonts w:ascii="Garamond" w:hAnsi="Garamond"/>
          <w:b/>
          <w:bCs/>
        </w:rPr>
      </w:pPr>
      <w:r w:rsidRPr="003037D2">
        <w:rPr>
          <w:rFonts w:ascii="Garamond" w:hAnsi="Garamond"/>
        </w:rPr>
        <w:t>___</w:t>
      </w:r>
      <w:proofErr w:type="gramStart"/>
      <w:r w:rsidRPr="003037D2">
        <w:rPr>
          <w:rFonts w:ascii="Garamond" w:hAnsi="Garamond"/>
        </w:rPr>
        <w:t>_ ,</w:t>
      </w:r>
      <w:proofErr w:type="gramEnd"/>
      <w:r w:rsidRPr="003037D2">
        <w:rPr>
          <w:rFonts w:ascii="Garamond" w:hAnsi="Garamond"/>
        </w:rPr>
        <w:t xml:space="preserve"> ‘A Priest to the Temple or, the Country Parson his character and rule of Holy Life’ in </w:t>
      </w:r>
      <w:r w:rsidRPr="003037D2">
        <w:rPr>
          <w:rFonts w:ascii="Garamond" w:hAnsi="Garamond"/>
          <w:i/>
          <w:iCs/>
        </w:rPr>
        <w:t xml:space="preserve">The Complete English Poems, </w:t>
      </w:r>
      <w:r w:rsidRPr="003037D2">
        <w:rPr>
          <w:rFonts w:ascii="Garamond" w:hAnsi="Garamond"/>
        </w:rPr>
        <w:t>ed. by John Tobin (London: Penguin, 2004), pp. 199-263</w:t>
      </w:r>
    </w:p>
    <w:p w14:paraId="5193D1E8" w14:textId="77777777" w:rsidR="00162224" w:rsidRPr="003037D2" w:rsidRDefault="00162224" w:rsidP="00A721D6">
      <w:pPr>
        <w:ind w:left="1361" w:hanging="720"/>
        <w:rPr>
          <w:rFonts w:ascii="Garamond" w:hAnsi="Garamond"/>
        </w:rPr>
      </w:pPr>
      <w:r w:rsidRPr="003037D2">
        <w:rPr>
          <w:rFonts w:ascii="Garamond" w:hAnsi="Garamond"/>
          <w:i/>
          <w:iCs/>
        </w:rPr>
        <w:t>___</w:t>
      </w:r>
      <w:proofErr w:type="gramStart"/>
      <w:r w:rsidRPr="003037D2">
        <w:rPr>
          <w:rFonts w:ascii="Garamond" w:hAnsi="Garamond"/>
          <w:i/>
          <w:iCs/>
        </w:rPr>
        <w:t>_ ,</w:t>
      </w:r>
      <w:proofErr w:type="gramEnd"/>
      <w:r w:rsidRPr="003037D2">
        <w:rPr>
          <w:rFonts w:ascii="Garamond" w:hAnsi="Garamond"/>
          <w:i/>
          <w:iCs/>
        </w:rPr>
        <w:t xml:space="preserve"> The Temple </w:t>
      </w:r>
      <w:r w:rsidRPr="003037D2">
        <w:rPr>
          <w:rFonts w:ascii="Garamond" w:hAnsi="Garamond"/>
        </w:rPr>
        <w:t xml:space="preserve">(London: 1633) </w:t>
      </w:r>
    </w:p>
    <w:p w14:paraId="2EE8941D" w14:textId="77777777" w:rsidR="00162224" w:rsidRPr="003037D2" w:rsidRDefault="00162224" w:rsidP="00A721D6">
      <w:pPr>
        <w:ind w:left="1361" w:hanging="720"/>
        <w:rPr>
          <w:rFonts w:ascii="Garamond" w:hAnsi="Garamond"/>
        </w:rPr>
      </w:pPr>
      <w:proofErr w:type="spellStart"/>
      <w:r w:rsidRPr="003037D2">
        <w:rPr>
          <w:rFonts w:ascii="Garamond" w:hAnsi="Garamond"/>
        </w:rPr>
        <w:lastRenderedPageBreak/>
        <w:t>Higford</w:t>
      </w:r>
      <w:proofErr w:type="spellEnd"/>
      <w:r w:rsidRPr="003037D2">
        <w:rPr>
          <w:rFonts w:ascii="Garamond" w:hAnsi="Garamond"/>
        </w:rPr>
        <w:t xml:space="preserve">, William, </w:t>
      </w:r>
      <w:r w:rsidRPr="003037D2">
        <w:rPr>
          <w:rFonts w:ascii="Garamond" w:hAnsi="Garamond"/>
          <w:i/>
        </w:rPr>
        <w:t xml:space="preserve">Institutions of a Gentleman, or Advice to his Grandson in Three Parts, Part I </w:t>
      </w:r>
      <w:r w:rsidRPr="003037D2">
        <w:rPr>
          <w:rFonts w:ascii="Garamond" w:hAnsi="Garamond"/>
        </w:rPr>
        <w:t>(London: 1658)</w:t>
      </w:r>
    </w:p>
    <w:p w14:paraId="2B86E66B" w14:textId="77777777" w:rsidR="00162224" w:rsidRPr="003037D2" w:rsidRDefault="00162224" w:rsidP="00A721D6">
      <w:pPr>
        <w:ind w:left="1361" w:hanging="720"/>
        <w:rPr>
          <w:rFonts w:ascii="Garamond" w:hAnsi="Garamond"/>
        </w:rPr>
      </w:pPr>
      <w:r w:rsidRPr="003037D2">
        <w:rPr>
          <w:rFonts w:ascii="Garamond" w:hAnsi="Garamond"/>
        </w:rPr>
        <w:t xml:space="preserve">Hill, Thomas, </w:t>
      </w:r>
      <w:proofErr w:type="gramStart"/>
      <w:r w:rsidRPr="003037D2">
        <w:rPr>
          <w:rFonts w:ascii="Garamond" w:hAnsi="Garamond"/>
          <w:i/>
        </w:rPr>
        <w:t>An</w:t>
      </w:r>
      <w:proofErr w:type="gramEnd"/>
      <w:r w:rsidRPr="003037D2">
        <w:rPr>
          <w:rFonts w:ascii="Garamond" w:hAnsi="Garamond"/>
          <w:i/>
        </w:rPr>
        <w:t xml:space="preserve"> almanack published at large, in </w:t>
      </w:r>
      <w:proofErr w:type="spellStart"/>
      <w:r w:rsidRPr="003037D2">
        <w:rPr>
          <w:rFonts w:ascii="Garamond" w:hAnsi="Garamond"/>
          <w:i/>
        </w:rPr>
        <w:t>forme</w:t>
      </w:r>
      <w:proofErr w:type="spellEnd"/>
      <w:r w:rsidRPr="003037D2">
        <w:rPr>
          <w:rFonts w:ascii="Garamond" w:hAnsi="Garamond"/>
          <w:i/>
        </w:rPr>
        <w:t xml:space="preserve"> of a </w:t>
      </w:r>
      <w:proofErr w:type="spellStart"/>
      <w:r w:rsidRPr="003037D2">
        <w:rPr>
          <w:rFonts w:ascii="Garamond" w:hAnsi="Garamond"/>
          <w:i/>
        </w:rPr>
        <w:t>booke</w:t>
      </w:r>
      <w:proofErr w:type="spellEnd"/>
      <w:r w:rsidRPr="003037D2">
        <w:rPr>
          <w:rFonts w:ascii="Garamond" w:hAnsi="Garamond"/>
          <w:i/>
        </w:rPr>
        <w:t xml:space="preserve"> of </w:t>
      </w:r>
      <w:proofErr w:type="spellStart"/>
      <w:r w:rsidRPr="003037D2">
        <w:rPr>
          <w:rFonts w:ascii="Garamond" w:hAnsi="Garamond"/>
          <w:i/>
        </w:rPr>
        <w:t>memorie</w:t>
      </w:r>
      <w:proofErr w:type="spellEnd"/>
      <w:r w:rsidRPr="003037D2">
        <w:rPr>
          <w:rFonts w:ascii="Garamond" w:hAnsi="Garamond"/>
          <w:i/>
        </w:rPr>
        <w:t xml:space="preserve">, necessary for all such, as have occasion </w:t>
      </w:r>
      <w:proofErr w:type="spellStart"/>
      <w:r w:rsidRPr="003037D2">
        <w:rPr>
          <w:rFonts w:ascii="Garamond" w:hAnsi="Garamond"/>
          <w:i/>
        </w:rPr>
        <w:t>daylie</w:t>
      </w:r>
      <w:proofErr w:type="spellEnd"/>
      <w:r w:rsidRPr="003037D2">
        <w:rPr>
          <w:rFonts w:ascii="Garamond" w:hAnsi="Garamond"/>
          <w:i/>
        </w:rPr>
        <w:t xml:space="preserve"> to note sundry </w:t>
      </w:r>
      <w:proofErr w:type="spellStart"/>
      <w:r w:rsidRPr="003037D2">
        <w:rPr>
          <w:rFonts w:ascii="Garamond" w:hAnsi="Garamond"/>
          <w:i/>
        </w:rPr>
        <w:t>affayres</w:t>
      </w:r>
      <w:proofErr w:type="spellEnd"/>
      <w:r w:rsidRPr="003037D2">
        <w:rPr>
          <w:rFonts w:ascii="Garamond" w:hAnsi="Garamond"/>
          <w:i/>
        </w:rPr>
        <w:t xml:space="preserve">, </w:t>
      </w:r>
      <w:proofErr w:type="spellStart"/>
      <w:r w:rsidRPr="003037D2">
        <w:rPr>
          <w:rFonts w:ascii="Garamond" w:hAnsi="Garamond"/>
          <w:i/>
        </w:rPr>
        <w:t>eyther</w:t>
      </w:r>
      <w:proofErr w:type="spellEnd"/>
      <w:r w:rsidRPr="003037D2">
        <w:rPr>
          <w:rFonts w:ascii="Garamond" w:hAnsi="Garamond"/>
          <w:i/>
        </w:rPr>
        <w:t xml:space="preserve"> for </w:t>
      </w:r>
      <w:proofErr w:type="spellStart"/>
      <w:r w:rsidRPr="003037D2">
        <w:rPr>
          <w:rFonts w:ascii="Garamond" w:hAnsi="Garamond"/>
          <w:i/>
        </w:rPr>
        <w:t>receytes</w:t>
      </w:r>
      <w:proofErr w:type="spellEnd"/>
      <w:r w:rsidRPr="003037D2">
        <w:rPr>
          <w:rFonts w:ascii="Garamond" w:hAnsi="Garamond"/>
          <w:i/>
        </w:rPr>
        <w:t xml:space="preserve">, payments, or such </w:t>
      </w:r>
      <w:proofErr w:type="spellStart"/>
      <w:r w:rsidRPr="003037D2">
        <w:rPr>
          <w:rFonts w:ascii="Garamond" w:hAnsi="Garamond"/>
          <w:i/>
        </w:rPr>
        <w:t>lyke</w:t>
      </w:r>
      <w:proofErr w:type="spellEnd"/>
      <w:r w:rsidRPr="003037D2">
        <w:rPr>
          <w:rFonts w:ascii="Garamond" w:hAnsi="Garamond"/>
          <w:i/>
        </w:rPr>
        <w:t xml:space="preserve">. Newly set forth, by T.H. Londoner </w:t>
      </w:r>
      <w:r w:rsidRPr="003037D2">
        <w:rPr>
          <w:rFonts w:ascii="Garamond" w:hAnsi="Garamond"/>
        </w:rPr>
        <w:t xml:space="preserve">(London: Henry Denham, 1571), 60628, Huntington Library, CA </w:t>
      </w:r>
    </w:p>
    <w:p w14:paraId="71424E17" w14:textId="77777777" w:rsidR="00162224" w:rsidRPr="003037D2" w:rsidRDefault="00162224" w:rsidP="00A721D6">
      <w:pPr>
        <w:ind w:left="1361" w:hanging="720"/>
        <w:rPr>
          <w:rFonts w:ascii="Garamond" w:hAnsi="Garamond"/>
        </w:rPr>
      </w:pPr>
      <w:r w:rsidRPr="003037D2">
        <w:rPr>
          <w:rFonts w:ascii="Garamond" w:hAnsi="Garamond"/>
          <w:i/>
          <w:iCs/>
        </w:rPr>
        <w:t>___</w:t>
      </w:r>
      <w:proofErr w:type="gramStart"/>
      <w:r w:rsidRPr="003037D2">
        <w:rPr>
          <w:rFonts w:ascii="Garamond" w:hAnsi="Garamond"/>
          <w:i/>
          <w:iCs/>
        </w:rPr>
        <w:t>_ ,</w:t>
      </w:r>
      <w:proofErr w:type="gramEnd"/>
      <w:r w:rsidRPr="003037D2">
        <w:rPr>
          <w:rFonts w:ascii="Garamond" w:hAnsi="Garamond"/>
          <w:i/>
          <w:iCs/>
        </w:rPr>
        <w:t xml:space="preserve"> The Gardener’s Labyrinth </w:t>
      </w:r>
      <w:r w:rsidRPr="003037D2">
        <w:rPr>
          <w:rFonts w:ascii="Garamond" w:hAnsi="Garamond"/>
        </w:rPr>
        <w:t xml:space="preserve">(London: Henry </w:t>
      </w:r>
      <w:proofErr w:type="spellStart"/>
      <w:r w:rsidRPr="003037D2">
        <w:rPr>
          <w:rFonts w:ascii="Garamond" w:hAnsi="Garamond"/>
        </w:rPr>
        <w:t>Bynneman</w:t>
      </w:r>
      <w:proofErr w:type="spellEnd"/>
      <w:r w:rsidRPr="003037D2">
        <w:rPr>
          <w:rFonts w:ascii="Garamond" w:hAnsi="Garamond"/>
        </w:rPr>
        <w:t xml:space="preserve">, 1577) </w:t>
      </w:r>
    </w:p>
    <w:p w14:paraId="17BAC38A" w14:textId="77777777" w:rsidR="00162224" w:rsidRPr="003037D2" w:rsidRDefault="00162224" w:rsidP="00A721D6">
      <w:pPr>
        <w:ind w:left="1361" w:hanging="720"/>
        <w:rPr>
          <w:rFonts w:ascii="Garamond" w:hAnsi="Garamond"/>
        </w:rPr>
      </w:pPr>
      <w:r w:rsidRPr="003037D2">
        <w:rPr>
          <w:rFonts w:ascii="Garamond" w:hAnsi="Garamond"/>
        </w:rPr>
        <w:t>___</w:t>
      </w:r>
      <w:proofErr w:type="gramStart"/>
      <w:r w:rsidRPr="003037D2">
        <w:rPr>
          <w:rFonts w:ascii="Garamond" w:hAnsi="Garamond"/>
        </w:rPr>
        <w:t>_ ,</w:t>
      </w:r>
      <w:proofErr w:type="gramEnd"/>
      <w:r w:rsidRPr="003037D2">
        <w:rPr>
          <w:rFonts w:ascii="Garamond" w:hAnsi="Garamond"/>
        </w:rPr>
        <w:t xml:space="preserve"> </w:t>
      </w:r>
      <w:r w:rsidRPr="003037D2">
        <w:rPr>
          <w:rFonts w:ascii="Garamond" w:hAnsi="Garamond"/>
          <w:i/>
          <w:iCs/>
        </w:rPr>
        <w:t xml:space="preserve">A most </w:t>
      </w:r>
      <w:proofErr w:type="spellStart"/>
      <w:r w:rsidRPr="003037D2">
        <w:rPr>
          <w:rFonts w:ascii="Garamond" w:hAnsi="Garamond"/>
          <w:i/>
          <w:iCs/>
        </w:rPr>
        <w:t>briefe</w:t>
      </w:r>
      <w:proofErr w:type="spellEnd"/>
      <w:r w:rsidRPr="003037D2">
        <w:rPr>
          <w:rFonts w:ascii="Garamond" w:hAnsi="Garamond"/>
          <w:i/>
          <w:iCs/>
        </w:rPr>
        <w:t xml:space="preserve"> and </w:t>
      </w:r>
      <w:proofErr w:type="spellStart"/>
      <w:r w:rsidRPr="003037D2">
        <w:rPr>
          <w:rFonts w:ascii="Garamond" w:hAnsi="Garamond"/>
          <w:i/>
          <w:iCs/>
        </w:rPr>
        <w:t>pleasaunt</w:t>
      </w:r>
      <w:proofErr w:type="spellEnd"/>
      <w:r w:rsidRPr="003037D2">
        <w:rPr>
          <w:rFonts w:ascii="Garamond" w:hAnsi="Garamond"/>
          <w:i/>
          <w:iCs/>
        </w:rPr>
        <w:t xml:space="preserve"> </w:t>
      </w:r>
      <w:proofErr w:type="spellStart"/>
      <w:r w:rsidRPr="003037D2">
        <w:rPr>
          <w:rFonts w:ascii="Garamond" w:hAnsi="Garamond"/>
          <w:i/>
          <w:iCs/>
        </w:rPr>
        <w:t>treatyse</w:t>
      </w:r>
      <w:proofErr w:type="spellEnd"/>
      <w:r w:rsidRPr="003037D2">
        <w:rPr>
          <w:rFonts w:ascii="Garamond" w:hAnsi="Garamond"/>
          <w:i/>
          <w:iCs/>
        </w:rPr>
        <w:t xml:space="preserve">, </w:t>
      </w:r>
      <w:proofErr w:type="spellStart"/>
      <w:r w:rsidRPr="003037D2">
        <w:rPr>
          <w:rFonts w:ascii="Garamond" w:hAnsi="Garamond"/>
          <w:i/>
          <w:iCs/>
        </w:rPr>
        <w:t>teachynge</w:t>
      </w:r>
      <w:proofErr w:type="spellEnd"/>
      <w:r w:rsidRPr="003037D2">
        <w:rPr>
          <w:rFonts w:ascii="Garamond" w:hAnsi="Garamond"/>
          <w:i/>
          <w:iCs/>
        </w:rPr>
        <w:t xml:space="preserve"> </w:t>
      </w:r>
      <w:proofErr w:type="spellStart"/>
      <w:r w:rsidRPr="003037D2">
        <w:rPr>
          <w:rFonts w:ascii="Garamond" w:hAnsi="Garamond"/>
          <w:i/>
          <w:iCs/>
        </w:rPr>
        <w:t>howe</w:t>
      </w:r>
      <w:proofErr w:type="spellEnd"/>
      <w:r w:rsidRPr="003037D2">
        <w:rPr>
          <w:rFonts w:ascii="Garamond" w:hAnsi="Garamond"/>
          <w:i/>
          <w:iCs/>
        </w:rPr>
        <w:t xml:space="preserve"> to dress, </w:t>
      </w:r>
      <w:proofErr w:type="spellStart"/>
      <w:r w:rsidRPr="003037D2">
        <w:rPr>
          <w:rFonts w:ascii="Garamond" w:hAnsi="Garamond"/>
          <w:i/>
          <w:iCs/>
        </w:rPr>
        <w:t>sowe</w:t>
      </w:r>
      <w:proofErr w:type="spellEnd"/>
      <w:r w:rsidRPr="003037D2">
        <w:rPr>
          <w:rFonts w:ascii="Garamond" w:hAnsi="Garamond"/>
          <w:i/>
          <w:iCs/>
        </w:rPr>
        <w:t>, and set a garden</w:t>
      </w:r>
      <w:r w:rsidRPr="003037D2">
        <w:rPr>
          <w:rFonts w:ascii="Garamond" w:hAnsi="Garamond" w:cs="Arial"/>
          <w:i/>
          <w:iCs/>
          <w:color w:val="252525"/>
          <w:shd w:val="clear" w:color="auto" w:fill="FFFFFF"/>
        </w:rPr>
        <w:t xml:space="preserve"> </w:t>
      </w:r>
      <w:r w:rsidRPr="003037D2">
        <w:rPr>
          <w:rFonts w:ascii="Garamond" w:hAnsi="Garamond" w:cs="Arial"/>
          <w:color w:val="252525"/>
          <w:shd w:val="clear" w:color="auto" w:fill="FFFFFF"/>
        </w:rPr>
        <w:t xml:space="preserve">(London: 1563), C.54.a.24., British Library   </w:t>
      </w:r>
    </w:p>
    <w:p w14:paraId="72EC5048" w14:textId="77777777" w:rsidR="00162224" w:rsidRPr="003037D2" w:rsidRDefault="00162224" w:rsidP="00A721D6">
      <w:pPr>
        <w:ind w:left="1361" w:hanging="720"/>
        <w:rPr>
          <w:rFonts w:ascii="Garamond" w:hAnsi="Garamond"/>
        </w:rPr>
      </w:pPr>
      <w:r w:rsidRPr="003037D2">
        <w:rPr>
          <w:rFonts w:ascii="Garamond" w:hAnsi="Garamond"/>
        </w:rPr>
        <w:t xml:space="preserve">Hopton, Arthur, </w:t>
      </w:r>
      <w:r w:rsidRPr="003037D2">
        <w:rPr>
          <w:rFonts w:ascii="Garamond" w:hAnsi="Garamond"/>
          <w:i/>
        </w:rPr>
        <w:t xml:space="preserve">A new </w:t>
      </w:r>
      <w:proofErr w:type="spellStart"/>
      <w:r w:rsidRPr="003037D2">
        <w:rPr>
          <w:rFonts w:ascii="Garamond" w:hAnsi="Garamond"/>
          <w:i/>
        </w:rPr>
        <w:t>almanacke</w:t>
      </w:r>
      <w:proofErr w:type="spellEnd"/>
      <w:r w:rsidRPr="003037D2">
        <w:rPr>
          <w:rFonts w:ascii="Garamond" w:hAnsi="Garamond"/>
          <w:i/>
        </w:rPr>
        <w:t xml:space="preserve"> and prognostication, for the </w:t>
      </w:r>
      <w:proofErr w:type="spellStart"/>
      <w:r w:rsidRPr="003037D2">
        <w:rPr>
          <w:rFonts w:ascii="Garamond" w:hAnsi="Garamond"/>
          <w:i/>
        </w:rPr>
        <w:t>yeare</w:t>
      </w:r>
      <w:proofErr w:type="spellEnd"/>
      <w:r w:rsidRPr="003037D2">
        <w:rPr>
          <w:rFonts w:ascii="Garamond" w:hAnsi="Garamond"/>
          <w:i/>
        </w:rPr>
        <w:t xml:space="preserve"> of our Lord God. 1614 </w:t>
      </w:r>
      <w:r w:rsidRPr="003037D2">
        <w:rPr>
          <w:rFonts w:ascii="Garamond" w:hAnsi="Garamond"/>
        </w:rPr>
        <w:t>(London: Printed for the Company of Stationers, 1614), 30073, Huntington Library, CA</w:t>
      </w:r>
    </w:p>
    <w:p w14:paraId="6ED0E179" w14:textId="77777777" w:rsidR="00162224" w:rsidRPr="003037D2" w:rsidRDefault="00162224" w:rsidP="00A721D6">
      <w:pPr>
        <w:ind w:left="1361" w:hanging="720"/>
        <w:rPr>
          <w:rFonts w:ascii="Garamond" w:hAnsi="Garamond"/>
        </w:rPr>
      </w:pPr>
      <w:proofErr w:type="spellStart"/>
      <w:r w:rsidRPr="003037D2">
        <w:rPr>
          <w:rFonts w:ascii="Garamond" w:hAnsi="Garamond"/>
        </w:rPr>
        <w:t>Hubrigh</w:t>
      </w:r>
      <w:proofErr w:type="spellEnd"/>
      <w:r w:rsidRPr="003037D2">
        <w:rPr>
          <w:rFonts w:ascii="Garamond" w:hAnsi="Garamond"/>
        </w:rPr>
        <w:t xml:space="preserve">, Joachim, </w:t>
      </w:r>
      <w:r w:rsidRPr="003037D2">
        <w:rPr>
          <w:rFonts w:ascii="Garamond" w:hAnsi="Garamond"/>
          <w:i/>
        </w:rPr>
        <w:t xml:space="preserve">An </w:t>
      </w:r>
      <w:proofErr w:type="spellStart"/>
      <w:r w:rsidRPr="003037D2">
        <w:rPr>
          <w:rFonts w:ascii="Garamond" w:hAnsi="Garamond"/>
          <w:i/>
        </w:rPr>
        <w:t>almanacke</w:t>
      </w:r>
      <w:proofErr w:type="spellEnd"/>
      <w:r w:rsidRPr="003037D2">
        <w:rPr>
          <w:rFonts w:ascii="Garamond" w:hAnsi="Garamond"/>
          <w:i/>
        </w:rPr>
        <w:t xml:space="preserve"> and prognostication, for the </w:t>
      </w:r>
      <w:proofErr w:type="spellStart"/>
      <w:r w:rsidRPr="003037D2">
        <w:rPr>
          <w:rFonts w:ascii="Garamond" w:hAnsi="Garamond"/>
          <w:i/>
        </w:rPr>
        <w:t>yeare</w:t>
      </w:r>
      <w:proofErr w:type="spellEnd"/>
      <w:r w:rsidRPr="003037D2">
        <w:rPr>
          <w:rFonts w:ascii="Garamond" w:hAnsi="Garamond"/>
          <w:i/>
        </w:rPr>
        <w:t xml:space="preserve"> of our Lorde God. 1568. </w:t>
      </w:r>
      <w:proofErr w:type="spellStart"/>
      <w:r w:rsidRPr="003037D2">
        <w:rPr>
          <w:rFonts w:ascii="Garamond" w:hAnsi="Garamond"/>
          <w:i/>
        </w:rPr>
        <w:t>servyng</w:t>
      </w:r>
      <w:proofErr w:type="spellEnd"/>
      <w:r w:rsidRPr="003037D2">
        <w:rPr>
          <w:rFonts w:ascii="Garamond" w:hAnsi="Garamond"/>
          <w:i/>
        </w:rPr>
        <w:t xml:space="preserve"> for al Europe </w:t>
      </w:r>
      <w:r w:rsidRPr="003037D2">
        <w:rPr>
          <w:rFonts w:ascii="Garamond" w:hAnsi="Garamond"/>
        </w:rPr>
        <w:t>(London: Henry Wykes, 1568), 30067, Huntington Library, CA</w:t>
      </w:r>
    </w:p>
    <w:p w14:paraId="5E66E0F5" w14:textId="5B399CBC" w:rsidR="00162224" w:rsidRPr="003037D2" w:rsidRDefault="00162224" w:rsidP="00A721D6">
      <w:pPr>
        <w:ind w:left="1361" w:hanging="720"/>
        <w:rPr>
          <w:rFonts w:ascii="Garamond" w:hAnsi="Garamond"/>
        </w:rPr>
      </w:pPr>
      <w:proofErr w:type="spellStart"/>
      <w:r w:rsidRPr="003037D2">
        <w:rPr>
          <w:rFonts w:ascii="Garamond" w:hAnsi="Garamond"/>
          <w:iCs/>
        </w:rPr>
        <w:t>Janz</w:t>
      </w:r>
      <w:proofErr w:type="spellEnd"/>
      <w:r w:rsidRPr="003037D2">
        <w:rPr>
          <w:rFonts w:ascii="Garamond" w:hAnsi="Garamond"/>
          <w:iCs/>
        </w:rPr>
        <w:t>, Denis, and Sherry E. Jordon eds, </w:t>
      </w:r>
      <w:r w:rsidRPr="003037D2">
        <w:rPr>
          <w:rFonts w:ascii="Garamond" w:hAnsi="Garamond"/>
          <w:i/>
          <w:iCs/>
        </w:rPr>
        <w:t>A Reformation Reader: Primary Texts with Introductions, Augmented &amp; improved</w:t>
      </w:r>
      <w:r w:rsidRPr="003037D2">
        <w:rPr>
          <w:rFonts w:ascii="Garamond" w:hAnsi="Garamond"/>
          <w:iCs/>
        </w:rPr>
        <w:t xml:space="preserve"> (Minneapolis, MN: Fortress Press, 2002)</w:t>
      </w:r>
    </w:p>
    <w:p w14:paraId="2BD0F68A" w14:textId="77777777" w:rsidR="00162224" w:rsidRPr="003037D2" w:rsidRDefault="00162224" w:rsidP="00A721D6">
      <w:pPr>
        <w:ind w:left="1361" w:hanging="720"/>
        <w:rPr>
          <w:rFonts w:ascii="Garamond" w:hAnsi="Garamond"/>
        </w:rPr>
      </w:pPr>
      <w:r w:rsidRPr="003037D2">
        <w:rPr>
          <w:rFonts w:ascii="Garamond" w:hAnsi="Garamond"/>
        </w:rPr>
        <w:t xml:space="preserve">Johnson, John, </w:t>
      </w:r>
      <w:proofErr w:type="gramStart"/>
      <w:r w:rsidRPr="003037D2">
        <w:rPr>
          <w:rFonts w:ascii="Garamond" w:hAnsi="Garamond"/>
          <w:i/>
        </w:rPr>
        <w:t>An</w:t>
      </w:r>
      <w:proofErr w:type="gramEnd"/>
      <w:r w:rsidRPr="003037D2">
        <w:rPr>
          <w:rFonts w:ascii="Garamond" w:hAnsi="Garamond"/>
          <w:i/>
        </w:rPr>
        <w:t xml:space="preserve"> </w:t>
      </w:r>
      <w:proofErr w:type="spellStart"/>
      <w:r w:rsidRPr="003037D2">
        <w:rPr>
          <w:rFonts w:ascii="Garamond" w:hAnsi="Garamond"/>
          <w:i/>
        </w:rPr>
        <w:t>almanacke</w:t>
      </w:r>
      <w:proofErr w:type="spellEnd"/>
      <w:r w:rsidRPr="003037D2">
        <w:rPr>
          <w:rFonts w:ascii="Garamond" w:hAnsi="Garamond"/>
          <w:i/>
        </w:rPr>
        <w:t xml:space="preserve"> and prognostication for this </w:t>
      </w:r>
      <w:proofErr w:type="spellStart"/>
      <w:r w:rsidRPr="003037D2">
        <w:rPr>
          <w:rFonts w:ascii="Garamond" w:hAnsi="Garamond"/>
          <w:i/>
        </w:rPr>
        <w:t>yeare</w:t>
      </w:r>
      <w:proofErr w:type="spellEnd"/>
      <w:r w:rsidRPr="003037D2">
        <w:rPr>
          <w:rFonts w:ascii="Garamond" w:hAnsi="Garamond"/>
          <w:i/>
        </w:rPr>
        <w:t xml:space="preserve"> of our Lord and </w:t>
      </w:r>
      <w:proofErr w:type="spellStart"/>
      <w:r w:rsidRPr="003037D2">
        <w:rPr>
          <w:rFonts w:ascii="Garamond" w:hAnsi="Garamond"/>
          <w:i/>
        </w:rPr>
        <w:t>Saviour</w:t>
      </w:r>
      <w:proofErr w:type="spellEnd"/>
      <w:r w:rsidRPr="003037D2">
        <w:rPr>
          <w:rFonts w:ascii="Garamond" w:hAnsi="Garamond"/>
          <w:i/>
        </w:rPr>
        <w:t xml:space="preserve"> Jesus Christ </w:t>
      </w:r>
      <w:r w:rsidRPr="003037D2">
        <w:rPr>
          <w:rFonts w:ascii="Garamond" w:hAnsi="Garamond"/>
        </w:rPr>
        <w:t>(London: Printed for the Company of Stationers, 1615), 59330, Huntington Library, CA</w:t>
      </w:r>
    </w:p>
    <w:p w14:paraId="0A8ED651" w14:textId="77777777" w:rsidR="00162224" w:rsidRPr="003037D2" w:rsidRDefault="00162224" w:rsidP="00A721D6">
      <w:pPr>
        <w:ind w:left="1361" w:hanging="720"/>
        <w:rPr>
          <w:rFonts w:ascii="Garamond" w:hAnsi="Garamond"/>
        </w:rPr>
      </w:pPr>
      <w:r w:rsidRPr="003037D2">
        <w:rPr>
          <w:rFonts w:ascii="Garamond" w:hAnsi="Garamond"/>
        </w:rPr>
        <w:t xml:space="preserve">Jonson, Ben, </w:t>
      </w:r>
      <w:proofErr w:type="spellStart"/>
      <w:r w:rsidRPr="003037D2">
        <w:rPr>
          <w:rFonts w:ascii="Garamond" w:hAnsi="Garamond"/>
          <w:i/>
        </w:rPr>
        <w:t>Workes</w:t>
      </w:r>
      <w:proofErr w:type="spellEnd"/>
      <w:r w:rsidRPr="003037D2">
        <w:rPr>
          <w:rFonts w:ascii="Garamond" w:hAnsi="Garamond"/>
          <w:i/>
        </w:rPr>
        <w:t xml:space="preserve"> </w:t>
      </w:r>
      <w:r w:rsidRPr="003037D2">
        <w:rPr>
          <w:rFonts w:ascii="Garamond" w:hAnsi="Garamond"/>
        </w:rPr>
        <w:t xml:space="preserve">(London: 1616) </w:t>
      </w:r>
    </w:p>
    <w:p w14:paraId="24C08E29" w14:textId="77777777" w:rsidR="00162224" w:rsidRPr="003037D2" w:rsidRDefault="00162224" w:rsidP="00A721D6">
      <w:pPr>
        <w:ind w:left="1361" w:hanging="720"/>
        <w:rPr>
          <w:rFonts w:ascii="Garamond" w:hAnsi="Garamond"/>
        </w:rPr>
      </w:pPr>
      <w:proofErr w:type="spellStart"/>
      <w:r w:rsidRPr="003037D2">
        <w:rPr>
          <w:rFonts w:ascii="Garamond" w:hAnsi="Garamond"/>
        </w:rPr>
        <w:t>Joye</w:t>
      </w:r>
      <w:proofErr w:type="spellEnd"/>
      <w:r w:rsidRPr="003037D2">
        <w:rPr>
          <w:rFonts w:ascii="Garamond" w:hAnsi="Garamond"/>
        </w:rPr>
        <w:t xml:space="preserve">, George, </w:t>
      </w:r>
      <w:r w:rsidRPr="003037D2">
        <w:rPr>
          <w:rFonts w:ascii="Garamond" w:hAnsi="Garamond"/>
          <w:i/>
          <w:iCs/>
        </w:rPr>
        <w:t xml:space="preserve">The Psalter of David in </w:t>
      </w:r>
      <w:proofErr w:type="spellStart"/>
      <w:r w:rsidRPr="003037D2">
        <w:rPr>
          <w:rFonts w:ascii="Garamond" w:hAnsi="Garamond"/>
          <w:i/>
          <w:iCs/>
        </w:rPr>
        <w:t>Englishe</w:t>
      </w:r>
      <w:proofErr w:type="spellEnd"/>
      <w:r w:rsidRPr="003037D2">
        <w:rPr>
          <w:rFonts w:ascii="Garamond" w:hAnsi="Garamond"/>
          <w:i/>
          <w:iCs/>
        </w:rPr>
        <w:t xml:space="preserve"> purely and faithfully translated </w:t>
      </w:r>
      <w:proofErr w:type="spellStart"/>
      <w:r w:rsidRPr="003037D2">
        <w:rPr>
          <w:rFonts w:ascii="Garamond" w:hAnsi="Garamond"/>
          <w:i/>
          <w:iCs/>
        </w:rPr>
        <w:t>aftir</w:t>
      </w:r>
      <w:proofErr w:type="spellEnd"/>
      <w:r w:rsidRPr="003037D2">
        <w:rPr>
          <w:rFonts w:ascii="Garamond" w:hAnsi="Garamond"/>
          <w:i/>
          <w:iCs/>
        </w:rPr>
        <w:t xml:space="preserve"> the text of Feline </w:t>
      </w:r>
      <w:r w:rsidRPr="003037D2">
        <w:rPr>
          <w:rFonts w:ascii="Garamond" w:hAnsi="Garamond"/>
        </w:rPr>
        <w:t>(Antwerp: 1530)</w:t>
      </w:r>
    </w:p>
    <w:p w14:paraId="0A1A7F3C" w14:textId="77777777" w:rsidR="00162224" w:rsidRPr="003037D2" w:rsidRDefault="00162224" w:rsidP="00A721D6">
      <w:pPr>
        <w:ind w:left="1361" w:hanging="720"/>
        <w:rPr>
          <w:rFonts w:ascii="Garamond" w:hAnsi="Garamond"/>
        </w:rPr>
      </w:pPr>
      <w:r w:rsidRPr="003037D2">
        <w:rPr>
          <w:rFonts w:ascii="Garamond" w:hAnsi="Garamond"/>
        </w:rPr>
        <w:t xml:space="preserve">Kidman, Thomas, </w:t>
      </w:r>
      <w:r w:rsidRPr="003037D2">
        <w:rPr>
          <w:rFonts w:ascii="Garamond" w:hAnsi="Garamond"/>
          <w:i/>
          <w:iCs/>
        </w:rPr>
        <w:t xml:space="preserve">A new almanack for the </w:t>
      </w:r>
      <w:proofErr w:type="spellStart"/>
      <w:r w:rsidRPr="003037D2">
        <w:rPr>
          <w:rFonts w:ascii="Garamond" w:hAnsi="Garamond"/>
          <w:i/>
          <w:iCs/>
        </w:rPr>
        <w:t>yeare</w:t>
      </w:r>
      <w:proofErr w:type="spellEnd"/>
      <w:r w:rsidRPr="003037D2">
        <w:rPr>
          <w:rFonts w:ascii="Garamond" w:hAnsi="Garamond"/>
          <w:i/>
          <w:iCs/>
        </w:rPr>
        <w:t xml:space="preserve"> of our Lord God 1635 </w:t>
      </w:r>
      <w:r w:rsidRPr="003037D2">
        <w:rPr>
          <w:rFonts w:ascii="Garamond" w:hAnsi="Garamond"/>
        </w:rPr>
        <w:t xml:space="preserve">(Cambridge: 1635) </w:t>
      </w:r>
    </w:p>
    <w:p w14:paraId="358FC716" w14:textId="139101F7" w:rsidR="00162224" w:rsidRPr="003037D2" w:rsidRDefault="00162224" w:rsidP="00A721D6">
      <w:pPr>
        <w:ind w:left="1361" w:hanging="720"/>
        <w:rPr>
          <w:rFonts w:ascii="Garamond" w:hAnsi="Garamond"/>
          <w:i/>
          <w:iCs/>
        </w:rPr>
      </w:pPr>
      <w:r w:rsidRPr="003037D2">
        <w:rPr>
          <w:rFonts w:ascii="Garamond" w:hAnsi="Garamond"/>
        </w:rPr>
        <w:t xml:space="preserve">Knox, John, </w:t>
      </w:r>
      <w:bookmarkStart w:id="248" w:name="_Hlk532656148"/>
      <w:r w:rsidRPr="003037D2">
        <w:rPr>
          <w:rFonts w:ascii="Garamond" w:hAnsi="Garamond"/>
          <w:i/>
          <w:iCs/>
        </w:rPr>
        <w:t>Works: Volume IV</w:t>
      </w:r>
      <w:r w:rsidR="0065623B">
        <w:rPr>
          <w:rFonts w:ascii="Garamond" w:hAnsi="Garamond"/>
          <w:i/>
          <w:iCs/>
        </w:rPr>
        <w:t>,</w:t>
      </w:r>
      <w:r w:rsidRPr="003037D2">
        <w:rPr>
          <w:rFonts w:ascii="Garamond" w:hAnsi="Garamond"/>
          <w:i/>
          <w:iCs/>
        </w:rPr>
        <w:t xml:space="preserve"> </w:t>
      </w:r>
      <w:r w:rsidRPr="003037D2">
        <w:rPr>
          <w:rFonts w:ascii="Garamond" w:hAnsi="Garamond"/>
          <w:iCs/>
        </w:rPr>
        <w:t>ed. by David Laing (London: Woodrow Society, 1846)</w:t>
      </w:r>
      <w:bookmarkEnd w:id="248"/>
    </w:p>
    <w:p w14:paraId="67D569DC" w14:textId="0434CEA1" w:rsidR="00162224" w:rsidRPr="003037D2" w:rsidRDefault="00162224" w:rsidP="00A721D6">
      <w:pPr>
        <w:ind w:left="1361" w:hanging="720"/>
        <w:rPr>
          <w:rFonts w:ascii="Garamond" w:hAnsi="Garamond"/>
        </w:rPr>
      </w:pPr>
      <w:r w:rsidRPr="003037D2">
        <w:rPr>
          <w:rFonts w:ascii="Garamond" w:hAnsi="Garamond"/>
        </w:rPr>
        <w:t xml:space="preserve">Lilly, William, </w:t>
      </w:r>
      <w:r w:rsidRPr="003037D2">
        <w:rPr>
          <w:rFonts w:ascii="Garamond" w:hAnsi="Garamond"/>
          <w:i/>
          <w:iCs/>
        </w:rPr>
        <w:t>Christian Astrology</w:t>
      </w:r>
      <w:r w:rsidRPr="003037D2">
        <w:rPr>
          <w:rFonts w:ascii="Garamond" w:hAnsi="Garamond"/>
        </w:rPr>
        <w:t xml:space="preserve"> (London: 1659)</w:t>
      </w:r>
    </w:p>
    <w:p w14:paraId="014B1915" w14:textId="77777777" w:rsidR="00162224" w:rsidRPr="003037D2" w:rsidRDefault="00162224" w:rsidP="00A721D6">
      <w:pPr>
        <w:ind w:left="1361" w:hanging="720"/>
        <w:rPr>
          <w:rFonts w:ascii="Garamond" w:hAnsi="Garamond"/>
        </w:rPr>
      </w:pPr>
      <w:r w:rsidRPr="003037D2">
        <w:rPr>
          <w:rFonts w:ascii="Garamond" w:hAnsi="Garamond"/>
        </w:rPr>
        <w:t>___</w:t>
      </w:r>
      <w:proofErr w:type="gramStart"/>
      <w:r w:rsidRPr="003037D2">
        <w:rPr>
          <w:rFonts w:ascii="Garamond" w:hAnsi="Garamond"/>
        </w:rPr>
        <w:t>_ ,</w:t>
      </w:r>
      <w:proofErr w:type="gramEnd"/>
      <w:r w:rsidRPr="003037D2">
        <w:rPr>
          <w:rFonts w:ascii="Garamond" w:hAnsi="Garamond"/>
        </w:rPr>
        <w:t xml:space="preserve"> </w:t>
      </w:r>
      <w:proofErr w:type="spellStart"/>
      <w:r w:rsidRPr="003037D2">
        <w:rPr>
          <w:rFonts w:ascii="Garamond" w:hAnsi="Garamond"/>
          <w:i/>
        </w:rPr>
        <w:t>Melini</w:t>
      </w:r>
      <w:proofErr w:type="spellEnd"/>
      <w:r w:rsidRPr="003037D2">
        <w:rPr>
          <w:rFonts w:ascii="Garamond" w:hAnsi="Garamond"/>
          <w:i/>
        </w:rPr>
        <w:t xml:space="preserve"> </w:t>
      </w:r>
      <w:proofErr w:type="spellStart"/>
      <w:r w:rsidRPr="003037D2">
        <w:rPr>
          <w:rFonts w:ascii="Garamond" w:hAnsi="Garamond"/>
          <w:i/>
        </w:rPr>
        <w:t>Angelici</w:t>
      </w:r>
      <w:proofErr w:type="spellEnd"/>
      <w:r w:rsidRPr="003037D2">
        <w:rPr>
          <w:rFonts w:ascii="Garamond" w:hAnsi="Garamond"/>
          <w:i/>
        </w:rPr>
        <w:t xml:space="preserve"> </w:t>
      </w:r>
      <w:proofErr w:type="spellStart"/>
      <w:r w:rsidRPr="003037D2">
        <w:rPr>
          <w:rFonts w:ascii="Garamond" w:hAnsi="Garamond"/>
          <w:i/>
        </w:rPr>
        <w:t>ephermeris</w:t>
      </w:r>
      <w:proofErr w:type="spellEnd"/>
      <w:r w:rsidRPr="003037D2">
        <w:rPr>
          <w:rFonts w:ascii="Garamond" w:hAnsi="Garamond"/>
          <w:i/>
        </w:rPr>
        <w:t xml:space="preserve"> </w:t>
      </w:r>
      <w:r w:rsidRPr="003037D2">
        <w:rPr>
          <w:rFonts w:ascii="Garamond" w:hAnsi="Garamond"/>
        </w:rPr>
        <w:t xml:space="preserve">(London: T.B., 1648), 146681 v.5, Huntington Library, CA </w:t>
      </w:r>
    </w:p>
    <w:p w14:paraId="390DED48" w14:textId="77777777" w:rsidR="00162224" w:rsidRPr="003037D2" w:rsidRDefault="00162224" w:rsidP="00A721D6">
      <w:pPr>
        <w:ind w:left="1361" w:hanging="720"/>
        <w:rPr>
          <w:rFonts w:ascii="Garamond" w:hAnsi="Garamond"/>
        </w:rPr>
      </w:pPr>
      <w:r w:rsidRPr="003037D2">
        <w:rPr>
          <w:rFonts w:ascii="Garamond" w:hAnsi="Garamond"/>
          <w:i/>
          <w:iCs/>
        </w:rPr>
        <w:t>___</w:t>
      </w:r>
      <w:proofErr w:type="gramStart"/>
      <w:r w:rsidRPr="003037D2">
        <w:rPr>
          <w:rFonts w:ascii="Garamond" w:hAnsi="Garamond"/>
          <w:i/>
          <w:iCs/>
        </w:rPr>
        <w:t>_ ,</w:t>
      </w:r>
      <w:proofErr w:type="gramEnd"/>
      <w:r w:rsidRPr="003037D2">
        <w:rPr>
          <w:rFonts w:ascii="Garamond" w:hAnsi="Garamond"/>
          <w:i/>
          <w:iCs/>
        </w:rPr>
        <w:t xml:space="preserve"> </w:t>
      </w:r>
      <w:proofErr w:type="spellStart"/>
      <w:r w:rsidRPr="003037D2">
        <w:rPr>
          <w:rFonts w:ascii="Garamond" w:hAnsi="Garamond"/>
          <w:i/>
        </w:rPr>
        <w:t>Melini</w:t>
      </w:r>
      <w:proofErr w:type="spellEnd"/>
      <w:r w:rsidRPr="003037D2">
        <w:rPr>
          <w:rFonts w:ascii="Garamond" w:hAnsi="Garamond"/>
          <w:i/>
        </w:rPr>
        <w:t xml:space="preserve"> </w:t>
      </w:r>
      <w:proofErr w:type="spellStart"/>
      <w:r w:rsidRPr="003037D2">
        <w:rPr>
          <w:rFonts w:ascii="Garamond" w:hAnsi="Garamond"/>
          <w:i/>
        </w:rPr>
        <w:t>Angelici</w:t>
      </w:r>
      <w:proofErr w:type="spellEnd"/>
      <w:r w:rsidRPr="003037D2">
        <w:rPr>
          <w:rFonts w:ascii="Garamond" w:hAnsi="Garamond"/>
          <w:i/>
        </w:rPr>
        <w:t xml:space="preserve"> </w:t>
      </w:r>
      <w:proofErr w:type="spellStart"/>
      <w:r w:rsidRPr="003037D2">
        <w:rPr>
          <w:rFonts w:ascii="Garamond" w:hAnsi="Garamond"/>
          <w:i/>
        </w:rPr>
        <w:t>ephermeris</w:t>
      </w:r>
      <w:proofErr w:type="spellEnd"/>
      <w:r w:rsidRPr="003037D2">
        <w:rPr>
          <w:rFonts w:ascii="Garamond" w:hAnsi="Garamond"/>
          <w:i/>
        </w:rPr>
        <w:t xml:space="preserve"> </w:t>
      </w:r>
      <w:r w:rsidRPr="003037D2">
        <w:rPr>
          <w:rFonts w:ascii="Garamond" w:hAnsi="Garamond"/>
        </w:rPr>
        <w:t xml:space="preserve">(London: Printed for the Company of Stationers, 1655), 146681 v.2, Huntington Library, CA </w:t>
      </w:r>
    </w:p>
    <w:p w14:paraId="6654B4E7" w14:textId="77777777" w:rsidR="00162224" w:rsidRPr="003037D2" w:rsidRDefault="00162224" w:rsidP="00A721D6">
      <w:pPr>
        <w:ind w:left="1361" w:hanging="720"/>
        <w:rPr>
          <w:rFonts w:ascii="Garamond" w:hAnsi="Garamond"/>
        </w:rPr>
      </w:pPr>
      <w:r w:rsidRPr="003037D2">
        <w:rPr>
          <w:rFonts w:ascii="Garamond" w:hAnsi="Garamond"/>
        </w:rPr>
        <w:t xml:space="preserve">Lock, </w:t>
      </w:r>
      <w:bookmarkStart w:id="249" w:name="_Hlk532656002"/>
      <w:r w:rsidRPr="003037D2">
        <w:rPr>
          <w:rFonts w:ascii="Garamond" w:hAnsi="Garamond"/>
        </w:rPr>
        <w:t xml:space="preserve">Anne Vaughan, </w:t>
      </w:r>
      <w:r w:rsidRPr="003037D2">
        <w:rPr>
          <w:rFonts w:ascii="Garamond" w:hAnsi="Garamond"/>
          <w:i/>
          <w:iCs/>
        </w:rPr>
        <w:t xml:space="preserve">The Collected works of Anne Vaughan Lock, </w:t>
      </w:r>
      <w:r w:rsidRPr="003037D2">
        <w:rPr>
          <w:rFonts w:ascii="Garamond" w:hAnsi="Garamond"/>
        </w:rPr>
        <w:t xml:space="preserve">ed. by Susan M </w:t>
      </w:r>
      <w:proofErr w:type="spellStart"/>
      <w:r w:rsidRPr="003037D2">
        <w:rPr>
          <w:rFonts w:ascii="Garamond" w:hAnsi="Garamond"/>
        </w:rPr>
        <w:t>Felch</w:t>
      </w:r>
      <w:proofErr w:type="spellEnd"/>
      <w:r w:rsidRPr="003037D2">
        <w:rPr>
          <w:rFonts w:ascii="Garamond" w:hAnsi="Garamond"/>
        </w:rPr>
        <w:t xml:space="preserve"> (Tempe, AZ: Renaissance Text Society, 1999) </w:t>
      </w:r>
    </w:p>
    <w:p w14:paraId="5AACEDBD" w14:textId="77777777" w:rsidR="00162224" w:rsidRPr="003037D2" w:rsidRDefault="00162224" w:rsidP="00A721D6">
      <w:pPr>
        <w:spacing w:after="120"/>
        <w:ind w:left="1361" w:hanging="720"/>
        <w:rPr>
          <w:rFonts w:ascii="Garamond" w:hAnsi="Garamond" w:cstheme="majorBidi"/>
          <w:i/>
        </w:rPr>
      </w:pPr>
      <w:r w:rsidRPr="003037D2">
        <w:rPr>
          <w:rFonts w:ascii="Garamond" w:hAnsi="Garamond"/>
        </w:rPr>
        <w:t>___</w:t>
      </w:r>
      <w:proofErr w:type="gramStart"/>
      <w:r w:rsidRPr="003037D2">
        <w:rPr>
          <w:rFonts w:ascii="Garamond" w:hAnsi="Garamond"/>
        </w:rPr>
        <w:t>_ ,</w:t>
      </w:r>
      <w:proofErr w:type="gramEnd"/>
      <w:r w:rsidRPr="003037D2">
        <w:rPr>
          <w:rFonts w:ascii="Garamond" w:hAnsi="Garamond"/>
        </w:rPr>
        <w:t xml:space="preserve"> </w:t>
      </w:r>
      <w:bookmarkStart w:id="250" w:name="_Hlk532656435"/>
      <w:r w:rsidRPr="003037D2">
        <w:rPr>
          <w:rFonts w:ascii="Garamond" w:hAnsi="Garamond" w:cstheme="majorBidi"/>
          <w:i/>
        </w:rPr>
        <w:t xml:space="preserve">A Meditation of a Penitent Sinner: Anne Locke’s Sonnet Sequence with Locke’s Epistle, </w:t>
      </w:r>
      <w:r w:rsidRPr="003037D2">
        <w:rPr>
          <w:rFonts w:ascii="Garamond" w:hAnsi="Garamond" w:cstheme="majorBidi"/>
        </w:rPr>
        <w:t xml:space="preserve">edited with an introduction by </w:t>
      </w:r>
      <w:proofErr w:type="spellStart"/>
      <w:r w:rsidRPr="003037D2">
        <w:rPr>
          <w:rFonts w:ascii="Garamond" w:hAnsi="Garamond" w:cstheme="majorBidi"/>
        </w:rPr>
        <w:t>Kel</w:t>
      </w:r>
      <w:proofErr w:type="spellEnd"/>
      <w:r w:rsidRPr="003037D2">
        <w:rPr>
          <w:rFonts w:ascii="Garamond" w:hAnsi="Garamond" w:cstheme="majorBidi"/>
        </w:rPr>
        <w:t xml:space="preserve"> Morin-Parsons (Waterloo, Ontario: North Waterloo Academic Press, 1997) </w:t>
      </w:r>
      <w:bookmarkEnd w:id="250"/>
    </w:p>
    <w:bookmarkEnd w:id="249"/>
    <w:p w14:paraId="3729541C" w14:textId="77777777" w:rsidR="00162224" w:rsidRPr="003037D2" w:rsidRDefault="00162224" w:rsidP="00A721D6">
      <w:pPr>
        <w:ind w:left="1361" w:hanging="720"/>
        <w:rPr>
          <w:rFonts w:ascii="Garamond" w:hAnsi="Garamond"/>
        </w:rPr>
      </w:pPr>
      <w:r w:rsidRPr="003037D2">
        <w:rPr>
          <w:rFonts w:ascii="Garamond" w:hAnsi="Garamond"/>
        </w:rPr>
        <w:t xml:space="preserve">Luther, Martin, </w:t>
      </w:r>
      <w:r w:rsidRPr="003037D2">
        <w:rPr>
          <w:rFonts w:ascii="Garamond" w:hAnsi="Garamond"/>
          <w:i/>
        </w:rPr>
        <w:t xml:space="preserve">The Annotated Luther, </w:t>
      </w:r>
      <w:r w:rsidRPr="003037D2">
        <w:rPr>
          <w:rFonts w:ascii="Garamond" w:hAnsi="Garamond"/>
        </w:rPr>
        <w:t xml:space="preserve">ed. by Timothy </w:t>
      </w:r>
      <w:proofErr w:type="spellStart"/>
      <w:r w:rsidRPr="003037D2">
        <w:rPr>
          <w:rFonts w:ascii="Garamond" w:hAnsi="Garamond"/>
        </w:rPr>
        <w:t>Wengert</w:t>
      </w:r>
      <w:proofErr w:type="spellEnd"/>
      <w:r w:rsidRPr="003037D2">
        <w:rPr>
          <w:rFonts w:ascii="Garamond" w:hAnsi="Garamond"/>
        </w:rPr>
        <w:t xml:space="preserve"> (Minneapolis: Fortress Press, 2015)</w:t>
      </w:r>
    </w:p>
    <w:p w14:paraId="478C97F4" w14:textId="77777777" w:rsidR="00162224" w:rsidRPr="003037D2" w:rsidRDefault="00162224" w:rsidP="00A721D6">
      <w:pPr>
        <w:ind w:left="1361" w:hanging="720"/>
        <w:rPr>
          <w:rFonts w:ascii="Garamond" w:hAnsi="Garamond"/>
        </w:rPr>
      </w:pPr>
      <w:r w:rsidRPr="003037D2">
        <w:rPr>
          <w:rFonts w:ascii="Garamond" w:hAnsi="Garamond"/>
        </w:rPr>
        <w:t xml:space="preserve">Marvell, Andrew, </w:t>
      </w:r>
      <w:r w:rsidRPr="003037D2">
        <w:rPr>
          <w:rFonts w:ascii="Garamond" w:hAnsi="Garamond"/>
          <w:i/>
          <w:iCs/>
        </w:rPr>
        <w:t xml:space="preserve">The Poems of Andrew Marvell, </w:t>
      </w:r>
      <w:r w:rsidRPr="003037D2">
        <w:rPr>
          <w:rFonts w:ascii="Garamond" w:hAnsi="Garamond"/>
        </w:rPr>
        <w:t>ed. by Nigel Smith</w:t>
      </w:r>
      <w:r w:rsidRPr="003037D2">
        <w:rPr>
          <w:rFonts w:ascii="Garamond" w:hAnsi="Garamond"/>
          <w:i/>
          <w:iCs/>
        </w:rPr>
        <w:t xml:space="preserve"> </w:t>
      </w:r>
      <w:r w:rsidRPr="003037D2">
        <w:rPr>
          <w:rFonts w:ascii="Garamond" w:hAnsi="Garamond"/>
        </w:rPr>
        <w:t>(London: Pearson Longman, 2007)</w:t>
      </w:r>
    </w:p>
    <w:p w14:paraId="77AE470D" w14:textId="77777777" w:rsidR="00162224" w:rsidRPr="003037D2" w:rsidRDefault="00162224" w:rsidP="00A721D6">
      <w:pPr>
        <w:ind w:left="1361" w:hanging="720"/>
        <w:rPr>
          <w:rFonts w:ascii="Garamond" w:hAnsi="Garamond"/>
        </w:rPr>
      </w:pPr>
      <w:r w:rsidRPr="003037D2">
        <w:rPr>
          <w:rFonts w:ascii="Garamond" w:hAnsi="Garamond"/>
        </w:rPr>
        <w:t>Middleton, Thomas</w:t>
      </w:r>
      <w:r w:rsidRPr="003037D2">
        <w:rPr>
          <w:rFonts w:ascii="Garamond" w:hAnsi="Garamond"/>
          <w:i/>
          <w:iCs/>
        </w:rPr>
        <w:t xml:space="preserve">, No Wit, </w:t>
      </w:r>
      <w:proofErr w:type="gramStart"/>
      <w:r w:rsidRPr="003037D2">
        <w:rPr>
          <w:rFonts w:ascii="Garamond" w:hAnsi="Garamond"/>
          <w:i/>
          <w:iCs/>
        </w:rPr>
        <w:t>No</w:t>
      </w:r>
      <w:proofErr w:type="gramEnd"/>
      <w:r w:rsidRPr="003037D2">
        <w:rPr>
          <w:rFonts w:ascii="Garamond" w:hAnsi="Garamond"/>
          <w:i/>
          <w:iCs/>
        </w:rPr>
        <w:t xml:space="preserve"> help like a Woman’s, </w:t>
      </w:r>
      <w:r w:rsidRPr="003037D2">
        <w:rPr>
          <w:rFonts w:ascii="Garamond" w:hAnsi="Garamond"/>
        </w:rPr>
        <w:t xml:space="preserve">ed. by Michael Taylor (Oxford: Oxford University Press, 1995) </w:t>
      </w:r>
    </w:p>
    <w:p w14:paraId="73E8AEA3" w14:textId="77777777" w:rsidR="00162224" w:rsidRPr="003037D2" w:rsidRDefault="00162224" w:rsidP="00A721D6">
      <w:pPr>
        <w:ind w:left="1361" w:hanging="720"/>
        <w:rPr>
          <w:rFonts w:ascii="Garamond" w:hAnsi="Garamond"/>
        </w:rPr>
      </w:pPr>
      <w:r w:rsidRPr="003037D2">
        <w:rPr>
          <w:rFonts w:ascii="Garamond" w:hAnsi="Garamond"/>
        </w:rPr>
        <w:t xml:space="preserve">Nye, Nathaniel, </w:t>
      </w:r>
      <w:r w:rsidRPr="003037D2">
        <w:rPr>
          <w:rFonts w:ascii="Garamond" w:hAnsi="Garamond"/>
          <w:i/>
        </w:rPr>
        <w:t xml:space="preserve">A new </w:t>
      </w:r>
      <w:proofErr w:type="spellStart"/>
      <w:r w:rsidRPr="003037D2">
        <w:rPr>
          <w:rFonts w:ascii="Garamond" w:hAnsi="Garamond"/>
          <w:i/>
        </w:rPr>
        <w:t>almanacke</w:t>
      </w:r>
      <w:proofErr w:type="spellEnd"/>
      <w:r w:rsidRPr="003037D2">
        <w:rPr>
          <w:rFonts w:ascii="Garamond" w:hAnsi="Garamond"/>
          <w:i/>
        </w:rPr>
        <w:t xml:space="preserve"> and prognostication for the </w:t>
      </w:r>
      <w:proofErr w:type="spellStart"/>
      <w:r w:rsidRPr="003037D2">
        <w:rPr>
          <w:rFonts w:ascii="Garamond" w:hAnsi="Garamond"/>
          <w:i/>
        </w:rPr>
        <w:t>yeere</w:t>
      </w:r>
      <w:proofErr w:type="spellEnd"/>
      <w:r w:rsidRPr="003037D2">
        <w:rPr>
          <w:rFonts w:ascii="Garamond" w:hAnsi="Garamond"/>
          <w:i/>
        </w:rPr>
        <w:t xml:space="preserve"> of our Lord God 1645...</w:t>
      </w:r>
      <w:r w:rsidRPr="003037D2">
        <w:rPr>
          <w:rFonts w:ascii="Garamond" w:hAnsi="Garamond"/>
        </w:rPr>
        <w:t xml:space="preserve"> </w:t>
      </w:r>
      <w:r w:rsidRPr="003037D2">
        <w:rPr>
          <w:rFonts w:ascii="Garamond" w:hAnsi="Garamond"/>
          <w:i/>
        </w:rPr>
        <w:t xml:space="preserve">with a </w:t>
      </w:r>
      <w:proofErr w:type="spellStart"/>
      <w:r w:rsidRPr="003037D2">
        <w:rPr>
          <w:rFonts w:ascii="Garamond" w:hAnsi="Garamond"/>
          <w:i/>
        </w:rPr>
        <w:t>chronologie</w:t>
      </w:r>
      <w:proofErr w:type="spellEnd"/>
      <w:r w:rsidRPr="003037D2">
        <w:rPr>
          <w:rFonts w:ascii="Garamond" w:hAnsi="Garamond"/>
          <w:i/>
        </w:rPr>
        <w:t xml:space="preserve"> of the most memorable </w:t>
      </w:r>
      <w:proofErr w:type="spellStart"/>
      <w:r w:rsidRPr="003037D2">
        <w:rPr>
          <w:rFonts w:ascii="Garamond" w:hAnsi="Garamond"/>
          <w:i/>
        </w:rPr>
        <w:t>roceedings</w:t>
      </w:r>
      <w:proofErr w:type="spellEnd"/>
      <w:r w:rsidRPr="003037D2">
        <w:rPr>
          <w:rFonts w:ascii="Garamond" w:hAnsi="Garamond"/>
          <w:i/>
        </w:rPr>
        <w:t xml:space="preserve"> and </w:t>
      </w:r>
      <w:proofErr w:type="spellStart"/>
      <w:r w:rsidRPr="003037D2">
        <w:rPr>
          <w:rFonts w:ascii="Garamond" w:hAnsi="Garamond"/>
          <w:i/>
        </w:rPr>
        <w:t>vicotries</w:t>
      </w:r>
      <w:proofErr w:type="spellEnd"/>
      <w:r w:rsidRPr="003037D2">
        <w:rPr>
          <w:rFonts w:ascii="Garamond" w:hAnsi="Garamond"/>
          <w:i/>
        </w:rPr>
        <w:t xml:space="preserve"> this present Parliament </w:t>
      </w:r>
      <w:r w:rsidRPr="003037D2">
        <w:rPr>
          <w:rFonts w:ascii="Garamond" w:hAnsi="Garamond"/>
        </w:rPr>
        <w:t xml:space="preserve">(London: M. Bell, 1645), 237044, Huntington Library, CA </w:t>
      </w:r>
    </w:p>
    <w:p w14:paraId="4080993A" w14:textId="77777777" w:rsidR="00162224" w:rsidRPr="003037D2" w:rsidRDefault="00162224" w:rsidP="00A721D6">
      <w:pPr>
        <w:ind w:left="1361" w:hanging="720"/>
        <w:rPr>
          <w:rFonts w:ascii="Garamond" w:hAnsi="Garamond"/>
        </w:rPr>
      </w:pPr>
      <w:r w:rsidRPr="003037D2">
        <w:rPr>
          <w:rFonts w:ascii="Garamond" w:hAnsi="Garamond"/>
        </w:rPr>
        <w:t xml:space="preserve">Oakes, </w:t>
      </w:r>
      <w:proofErr w:type="spellStart"/>
      <w:r w:rsidRPr="003037D2">
        <w:rPr>
          <w:rFonts w:ascii="Garamond" w:hAnsi="Garamond"/>
        </w:rPr>
        <w:t>Urian</w:t>
      </w:r>
      <w:proofErr w:type="spellEnd"/>
      <w:r w:rsidRPr="003037D2">
        <w:rPr>
          <w:rFonts w:ascii="Garamond" w:hAnsi="Garamond"/>
        </w:rPr>
        <w:t xml:space="preserve">, </w:t>
      </w:r>
      <w:r w:rsidRPr="003037D2">
        <w:rPr>
          <w:rFonts w:ascii="Garamond" w:hAnsi="Garamond"/>
          <w:i/>
        </w:rPr>
        <w:t xml:space="preserve">An almanack for the year of our Lord 1650 </w:t>
      </w:r>
      <w:r w:rsidRPr="003037D2">
        <w:rPr>
          <w:rFonts w:ascii="Garamond" w:hAnsi="Garamond"/>
        </w:rPr>
        <w:t>(Cambridge, MA: Samuel Green, 1650), 14003, Huntington Library, CA</w:t>
      </w:r>
    </w:p>
    <w:p w14:paraId="20832335" w14:textId="77777777" w:rsidR="00162224" w:rsidRPr="003037D2" w:rsidRDefault="00162224" w:rsidP="00A721D6">
      <w:pPr>
        <w:ind w:left="1361" w:hanging="720"/>
        <w:rPr>
          <w:rFonts w:ascii="Garamond" w:hAnsi="Garamond"/>
        </w:rPr>
      </w:pPr>
      <w:r w:rsidRPr="003037D2">
        <w:rPr>
          <w:rFonts w:ascii="Garamond" w:hAnsi="Garamond"/>
        </w:rPr>
        <w:t xml:space="preserve">Parker, Matthew, ‘Arch Bishop Parker’s </w:t>
      </w:r>
      <w:bookmarkStart w:id="251" w:name="_Hlk532972680"/>
      <w:r w:rsidRPr="003037D2">
        <w:rPr>
          <w:rFonts w:ascii="Garamond" w:hAnsi="Garamond"/>
        </w:rPr>
        <w:t xml:space="preserve">preface to the Bible’ </w:t>
      </w:r>
      <w:bookmarkEnd w:id="251"/>
      <w:r w:rsidRPr="003037D2">
        <w:rPr>
          <w:rFonts w:ascii="Garamond" w:hAnsi="Garamond"/>
        </w:rPr>
        <w:t xml:space="preserve">in </w:t>
      </w:r>
      <w:bookmarkStart w:id="252" w:name="_Hlk525825766"/>
      <w:r w:rsidRPr="003037D2">
        <w:rPr>
          <w:rFonts w:ascii="Garamond" w:hAnsi="Garamond"/>
          <w:i/>
        </w:rPr>
        <w:t xml:space="preserve">The Fathers of the English Church: or, a selection from the writings of the reformers and early Protestant divines, of the Church of England. Vol. VIII </w:t>
      </w:r>
      <w:r w:rsidRPr="003037D2">
        <w:rPr>
          <w:rFonts w:ascii="Garamond" w:hAnsi="Garamond"/>
        </w:rPr>
        <w:t xml:space="preserve">(London: John </w:t>
      </w:r>
      <w:proofErr w:type="spellStart"/>
      <w:r w:rsidRPr="003037D2">
        <w:rPr>
          <w:rFonts w:ascii="Garamond" w:hAnsi="Garamond"/>
        </w:rPr>
        <w:t>Hatchard</w:t>
      </w:r>
      <w:proofErr w:type="spellEnd"/>
      <w:r w:rsidRPr="003037D2">
        <w:rPr>
          <w:rFonts w:ascii="Garamond" w:hAnsi="Garamond"/>
        </w:rPr>
        <w:t xml:space="preserve">, 1812) pp. 145-170 </w:t>
      </w:r>
    </w:p>
    <w:p w14:paraId="61EA79A0" w14:textId="77777777" w:rsidR="00162224" w:rsidRPr="003037D2" w:rsidRDefault="00162224" w:rsidP="00A721D6">
      <w:pPr>
        <w:ind w:left="1361" w:hanging="720"/>
        <w:rPr>
          <w:rFonts w:ascii="Garamond" w:hAnsi="Garamond"/>
          <w:bCs/>
        </w:rPr>
      </w:pPr>
      <w:r w:rsidRPr="003037D2">
        <w:rPr>
          <w:rFonts w:ascii="Garamond" w:hAnsi="Garamond"/>
          <w:i/>
          <w:iCs/>
        </w:rPr>
        <w:lastRenderedPageBreak/>
        <w:t>___</w:t>
      </w:r>
      <w:proofErr w:type="gramStart"/>
      <w:r w:rsidRPr="003037D2">
        <w:rPr>
          <w:rFonts w:ascii="Garamond" w:hAnsi="Garamond"/>
          <w:i/>
          <w:iCs/>
        </w:rPr>
        <w:t>_ ,</w:t>
      </w:r>
      <w:proofErr w:type="gramEnd"/>
      <w:r w:rsidRPr="003037D2">
        <w:rPr>
          <w:rFonts w:ascii="Garamond" w:hAnsi="Garamond"/>
          <w:i/>
          <w:iCs/>
        </w:rPr>
        <w:t xml:space="preserve"> The Correspondence of Matthew Parker. Comprising letters written by and to him, from A. D. 1535, to his death, A. D. 1575, </w:t>
      </w:r>
      <w:r w:rsidRPr="003037D2">
        <w:rPr>
          <w:rFonts w:ascii="Garamond" w:hAnsi="Garamond"/>
        </w:rPr>
        <w:t xml:space="preserve">ed. by John Bruce and Thomas Thomason </w:t>
      </w:r>
      <w:proofErr w:type="spellStart"/>
      <w:r w:rsidRPr="003037D2">
        <w:rPr>
          <w:rFonts w:ascii="Garamond" w:hAnsi="Garamond"/>
        </w:rPr>
        <w:t>Perowne</w:t>
      </w:r>
      <w:proofErr w:type="spellEnd"/>
      <w:r w:rsidRPr="003037D2">
        <w:rPr>
          <w:rFonts w:ascii="Garamond" w:hAnsi="Garamond"/>
        </w:rPr>
        <w:t xml:space="preserve"> (Cambridge: Cambridge University Press, 1853) </w:t>
      </w:r>
    </w:p>
    <w:p w14:paraId="7B48D300" w14:textId="77777777" w:rsidR="00162224" w:rsidRPr="003037D2" w:rsidRDefault="00162224" w:rsidP="00A721D6">
      <w:pPr>
        <w:ind w:left="1361" w:hanging="720"/>
        <w:rPr>
          <w:rFonts w:ascii="Garamond" w:hAnsi="Garamond"/>
        </w:rPr>
      </w:pPr>
      <w:r w:rsidRPr="003037D2">
        <w:rPr>
          <w:rFonts w:ascii="Garamond" w:hAnsi="Garamond"/>
          <w:i/>
          <w:iCs/>
        </w:rPr>
        <w:t>___</w:t>
      </w:r>
      <w:proofErr w:type="gramStart"/>
      <w:r w:rsidRPr="003037D2">
        <w:rPr>
          <w:rFonts w:ascii="Garamond" w:hAnsi="Garamond"/>
          <w:i/>
          <w:iCs/>
        </w:rPr>
        <w:t>_ ,</w:t>
      </w:r>
      <w:proofErr w:type="gramEnd"/>
      <w:r w:rsidRPr="003037D2">
        <w:rPr>
          <w:rFonts w:ascii="Garamond" w:hAnsi="Garamond"/>
          <w:i/>
          <w:iCs/>
        </w:rPr>
        <w:t xml:space="preserve"> </w:t>
      </w:r>
      <w:r w:rsidRPr="003037D2">
        <w:rPr>
          <w:rFonts w:ascii="Garamond" w:hAnsi="Garamond"/>
        </w:rPr>
        <w:t xml:space="preserve"> </w:t>
      </w:r>
      <w:r w:rsidRPr="003037D2">
        <w:rPr>
          <w:rFonts w:ascii="Garamond" w:hAnsi="Garamond"/>
          <w:i/>
        </w:rPr>
        <w:t xml:space="preserve">David’s Blissful Harp: A Critical Edition of the Manuscripts of Matthew Parker’s Metrical Psalms (1-80), </w:t>
      </w:r>
      <w:r w:rsidRPr="003037D2">
        <w:rPr>
          <w:rFonts w:ascii="Garamond" w:hAnsi="Garamond"/>
        </w:rPr>
        <w:t xml:space="preserve">ed. by Einar </w:t>
      </w:r>
      <w:proofErr w:type="spellStart"/>
      <w:r w:rsidRPr="003037D2">
        <w:rPr>
          <w:rFonts w:ascii="Garamond" w:hAnsi="Garamond"/>
        </w:rPr>
        <w:t>Bjorvand</w:t>
      </w:r>
      <w:proofErr w:type="spellEnd"/>
      <w:r w:rsidRPr="003037D2">
        <w:rPr>
          <w:rFonts w:ascii="Garamond" w:hAnsi="Garamond"/>
          <w:i/>
        </w:rPr>
        <w:t xml:space="preserve"> </w:t>
      </w:r>
      <w:r w:rsidRPr="003037D2">
        <w:rPr>
          <w:rFonts w:ascii="Garamond" w:hAnsi="Garamond"/>
        </w:rPr>
        <w:t xml:space="preserve">(Tempe, AZ: ACMRS, 2015) </w:t>
      </w:r>
    </w:p>
    <w:p w14:paraId="33D3AC13" w14:textId="77777777" w:rsidR="00162224" w:rsidRPr="003037D2" w:rsidRDefault="00162224" w:rsidP="00A721D6">
      <w:pPr>
        <w:ind w:left="1361" w:hanging="720"/>
        <w:rPr>
          <w:rFonts w:ascii="Garamond" w:hAnsi="Garamond"/>
        </w:rPr>
      </w:pPr>
      <w:r w:rsidRPr="003037D2">
        <w:rPr>
          <w:rFonts w:ascii="Garamond" w:hAnsi="Garamond"/>
          <w:i/>
          <w:iCs/>
        </w:rPr>
        <w:t>___</w:t>
      </w:r>
      <w:proofErr w:type="gramStart"/>
      <w:r w:rsidRPr="003037D2">
        <w:rPr>
          <w:rFonts w:ascii="Garamond" w:hAnsi="Garamond"/>
          <w:i/>
          <w:iCs/>
        </w:rPr>
        <w:t>_ ,</w:t>
      </w:r>
      <w:proofErr w:type="gramEnd"/>
      <w:r w:rsidRPr="003037D2">
        <w:rPr>
          <w:rFonts w:ascii="Garamond" w:hAnsi="Garamond"/>
          <w:i/>
          <w:iCs/>
        </w:rPr>
        <w:t xml:space="preserve"> </w:t>
      </w:r>
      <w:r w:rsidRPr="003037D2">
        <w:rPr>
          <w:rFonts w:ascii="Garamond" w:hAnsi="Garamond"/>
        </w:rPr>
        <w:t xml:space="preserve"> </w:t>
      </w:r>
      <w:r w:rsidRPr="003037D2">
        <w:rPr>
          <w:rFonts w:ascii="Garamond" w:hAnsi="Garamond"/>
          <w:i/>
        </w:rPr>
        <w:t xml:space="preserve">The whole Psalter translated into English </w:t>
      </w:r>
      <w:proofErr w:type="spellStart"/>
      <w:r w:rsidRPr="003037D2">
        <w:rPr>
          <w:rFonts w:ascii="Garamond" w:hAnsi="Garamond"/>
          <w:i/>
        </w:rPr>
        <w:t>metre</w:t>
      </w:r>
      <w:proofErr w:type="spellEnd"/>
      <w:r w:rsidRPr="003037D2">
        <w:rPr>
          <w:rFonts w:ascii="Garamond" w:hAnsi="Garamond"/>
          <w:i/>
        </w:rPr>
        <w:t xml:space="preserve">, which </w:t>
      </w:r>
      <w:proofErr w:type="spellStart"/>
      <w:r w:rsidRPr="003037D2">
        <w:rPr>
          <w:rFonts w:ascii="Garamond" w:hAnsi="Garamond"/>
          <w:i/>
        </w:rPr>
        <w:t>contayneth</w:t>
      </w:r>
      <w:proofErr w:type="spellEnd"/>
      <w:r w:rsidRPr="003037D2">
        <w:rPr>
          <w:rFonts w:ascii="Garamond" w:hAnsi="Garamond"/>
          <w:i/>
        </w:rPr>
        <w:t xml:space="preserve"> an </w:t>
      </w:r>
      <w:proofErr w:type="spellStart"/>
      <w:r w:rsidRPr="003037D2">
        <w:rPr>
          <w:rFonts w:ascii="Garamond" w:hAnsi="Garamond"/>
          <w:i/>
        </w:rPr>
        <w:t>hundreth</w:t>
      </w:r>
      <w:proofErr w:type="spellEnd"/>
      <w:r w:rsidRPr="003037D2">
        <w:rPr>
          <w:rFonts w:ascii="Garamond" w:hAnsi="Garamond"/>
          <w:i/>
        </w:rPr>
        <w:t xml:space="preserve"> and fifty </w:t>
      </w:r>
      <w:proofErr w:type="spellStart"/>
      <w:r w:rsidRPr="003037D2">
        <w:rPr>
          <w:rFonts w:ascii="Garamond" w:hAnsi="Garamond"/>
          <w:i/>
        </w:rPr>
        <w:t>Psalmes</w:t>
      </w:r>
      <w:proofErr w:type="spellEnd"/>
      <w:r w:rsidRPr="003037D2">
        <w:rPr>
          <w:rFonts w:ascii="Garamond" w:hAnsi="Garamond"/>
          <w:i/>
        </w:rPr>
        <w:t xml:space="preserve">. The first </w:t>
      </w:r>
      <w:proofErr w:type="spellStart"/>
      <w:r w:rsidRPr="003037D2">
        <w:rPr>
          <w:rFonts w:ascii="Garamond" w:hAnsi="Garamond"/>
          <w:i/>
        </w:rPr>
        <w:t>quinquagene</w:t>
      </w:r>
      <w:proofErr w:type="spellEnd"/>
      <w:r w:rsidRPr="003037D2">
        <w:rPr>
          <w:rFonts w:ascii="Garamond" w:hAnsi="Garamond"/>
          <w:i/>
        </w:rPr>
        <w:t xml:space="preserve"> </w:t>
      </w:r>
      <w:r w:rsidRPr="003037D2">
        <w:rPr>
          <w:rFonts w:ascii="Garamond" w:hAnsi="Garamond"/>
        </w:rPr>
        <w:t xml:space="preserve">(London: 1567) </w:t>
      </w:r>
    </w:p>
    <w:p w14:paraId="5A7D1F28" w14:textId="77777777" w:rsidR="00162224" w:rsidRPr="003037D2" w:rsidRDefault="00162224" w:rsidP="00A721D6">
      <w:pPr>
        <w:ind w:left="1361" w:hanging="720"/>
        <w:rPr>
          <w:rFonts w:ascii="Garamond" w:hAnsi="Garamond"/>
        </w:rPr>
      </w:pPr>
      <w:r w:rsidRPr="003037D2">
        <w:rPr>
          <w:rFonts w:ascii="Garamond" w:hAnsi="Garamond"/>
          <w:i/>
        </w:rPr>
        <w:t>The Penitent Pilgrim</w:t>
      </w:r>
      <w:r w:rsidRPr="003037D2">
        <w:rPr>
          <w:rFonts w:ascii="Garamond" w:hAnsi="Garamond"/>
        </w:rPr>
        <w:t xml:space="preserve"> (London: John </w:t>
      </w:r>
      <w:proofErr w:type="spellStart"/>
      <w:r w:rsidRPr="003037D2">
        <w:rPr>
          <w:rFonts w:ascii="Garamond" w:hAnsi="Garamond"/>
        </w:rPr>
        <w:t>Dawton</w:t>
      </w:r>
      <w:proofErr w:type="spellEnd"/>
      <w:r w:rsidRPr="003037D2">
        <w:rPr>
          <w:rFonts w:ascii="Garamond" w:hAnsi="Garamond"/>
        </w:rPr>
        <w:t xml:space="preserve">, 1641) </w:t>
      </w:r>
    </w:p>
    <w:bookmarkEnd w:id="252"/>
    <w:p w14:paraId="0D211B99" w14:textId="77777777" w:rsidR="00162224" w:rsidRPr="003037D2" w:rsidRDefault="00162224" w:rsidP="00A721D6">
      <w:pPr>
        <w:ind w:left="1361" w:hanging="720"/>
        <w:rPr>
          <w:rFonts w:ascii="Garamond" w:hAnsi="Garamond"/>
        </w:rPr>
      </w:pPr>
      <w:r w:rsidRPr="003037D2">
        <w:rPr>
          <w:rFonts w:ascii="Garamond" w:hAnsi="Garamond"/>
        </w:rPr>
        <w:t xml:space="preserve">Perkins, William, </w:t>
      </w:r>
      <w:r w:rsidRPr="003037D2">
        <w:rPr>
          <w:rFonts w:ascii="Garamond" w:hAnsi="Garamond"/>
          <w:i/>
        </w:rPr>
        <w:t xml:space="preserve">A Golden </w:t>
      </w:r>
      <w:proofErr w:type="spellStart"/>
      <w:r w:rsidRPr="003037D2">
        <w:rPr>
          <w:rFonts w:ascii="Garamond" w:hAnsi="Garamond"/>
          <w:i/>
        </w:rPr>
        <w:t>Chaine</w:t>
      </w:r>
      <w:proofErr w:type="spellEnd"/>
      <w:r w:rsidRPr="003037D2">
        <w:rPr>
          <w:rFonts w:ascii="Garamond" w:hAnsi="Garamond"/>
          <w:i/>
        </w:rPr>
        <w:t xml:space="preserve">: or, the description of Theologies, containing the order of the causes of Salvation and Damnation, according to Gods word A view whereof is to be </w:t>
      </w:r>
      <w:proofErr w:type="spellStart"/>
      <w:r w:rsidRPr="003037D2">
        <w:rPr>
          <w:rFonts w:ascii="Garamond" w:hAnsi="Garamond"/>
          <w:i/>
        </w:rPr>
        <w:t>seene</w:t>
      </w:r>
      <w:proofErr w:type="spellEnd"/>
      <w:r w:rsidRPr="003037D2">
        <w:rPr>
          <w:rFonts w:ascii="Garamond" w:hAnsi="Garamond"/>
          <w:i/>
        </w:rPr>
        <w:t xml:space="preserve"> in the Table annexed. Hereunto is adjoined the order which </w:t>
      </w:r>
      <w:proofErr w:type="spellStart"/>
      <w:proofErr w:type="gramStart"/>
      <w:r w:rsidRPr="003037D2">
        <w:rPr>
          <w:rFonts w:ascii="Garamond" w:hAnsi="Garamond"/>
          <w:i/>
        </w:rPr>
        <w:t>M.Theodore</w:t>
      </w:r>
      <w:proofErr w:type="spellEnd"/>
      <w:proofErr w:type="gramEnd"/>
      <w:r w:rsidRPr="003037D2">
        <w:rPr>
          <w:rFonts w:ascii="Garamond" w:hAnsi="Garamond"/>
          <w:i/>
        </w:rPr>
        <w:t xml:space="preserve"> </w:t>
      </w:r>
      <w:proofErr w:type="spellStart"/>
      <w:r w:rsidRPr="003037D2">
        <w:rPr>
          <w:rFonts w:ascii="Garamond" w:hAnsi="Garamond"/>
          <w:i/>
        </w:rPr>
        <w:t>Beza</w:t>
      </w:r>
      <w:proofErr w:type="spellEnd"/>
      <w:r w:rsidRPr="003037D2">
        <w:rPr>
          <w:rFonts w:ascii="Garamond" w:hAnsi="Garamond"/>
          <w:i/>
        </w:rPr>
        <w:t xml:space="preserve"> used in comforting afflicted consciences </w:t>
      </w:r>
      <w:r w:rsidRPr="003037D2">
        <w:rPr>
          <w:rFonts w:ascii="Garamond" w:hAnsi="Garamond"/>
        </w:rPr>
        <w:t xml:space="preserve">(London: 1600) </w:t>
      </w:r>
    </w:p>
    <w:p w14:paraId="4A2C7CCC" w14:textId="77777777" w:rsidR="00162224" w:rsidRPr="003037D2" w:rsidRDefault="00162224" w:rsidP="00A721D6">
      <w:pPr>
        <w:ind w:left="1361" w:hanging="720"/>
        <w:rPr>
          <w:rFonts w:ascii="Garamond" w:hAnsi="Garamond"/>
        </w:rPr>
      </w:pPr>
      <w:r w:rsidRPr="003037D2">
        <w:rPr>
          <w:rFonts w:ascii="Garamond" w:hAnsi="Garamond"/>
          <w:iCs/>
        </w:rPr>
        <w:t>Peyton, Thomas,</w:t>
      </w:r>
      <w:r w:rsidRPr="003037D2">
        <w:rPr>
          <w:rFonts w:ascii="Garamond" w:hAnsi="Garamond"/>
          <w:i/>
          <w:iCs/>
        </w:rPr>
        <w:t xml:space="preserve"> The </w:t>
      </w:r>
      <w:proofErr w:type="spellStart"/>
      <w:r w:rsidRPr="003037D2">
        <w:rPr>
          <w:rFonts w:ascii="Garamond" w:hAnsi="Garamond"/>
          <w:i/>
          <w:iCs/>
        </w:rPr>
        <w:t>Glasse</w:t>
      </w:r>
      <w:proofErr w:type="spellEnd"/>
      <w:r w:rsidRPr="003037D2">
        <w:rPr>
          <w:rFonts w:ascii="Garamond" w:hAnsi="Garamond"/>
          <w:i/>
          <w:iCs/>
        </w:rPr>
        <w:t xml:space="preserve"> of Time, in the First Age </w:t>
      </w:r>
      <w:r w:rsidRPr="003037D2">
        <w:rPr>
          <w:rFonts w:ascii="Garamond" w:hAnsi="Garamond"/>
          <w:iCs/>
        </w:rPr>
        <w:t>(London: 1620)</w:t>
      </w:r>
    </w:p>
    <w:p w14:paraId="27BC6B23" w14:textId="77777777" w:rsidR="00162224" w:rsidRPr="003037D2" w:rsidRDefault="00162224" w:rsidP="00A721D6">
      <w:pPr>
        <w:ind w:left="1361" w:hanging="720"/>
        <w:rPr>
          <w:rFonts w:ascii="Garamond" w:hAnsi="Garamond"/>
        </w:rPr>
      </w:pPr>
      <w:proofErr w:type="spellStart"/>
      <w:r w:rsidRPr="003037D2">
        <w:rPr>
          <w:rFonts w:ascii="Garamond" w:hAnsi="Garamond"/>
        </w:rPr>
        <w:t>Phillippes</w:t>
      </w:r>
      <w:proofErr w:type="spellEnd"/>
      <w:r w:rsidRPr="003037D2">
        <w:rPr>
          <w:rFonts w:ascii="Garamond" w:hAnsi="Garamond"/>
        </w:rPr>
        <w:t xml:space="preserve">, Henry, </w:t>
      </w:r>
      <w:r w:rsidRPr="003037D2">
        <w:rPr>
          <w:rFonts w:ascii="Garamond" w:hAnsi="Garamond"/>
          <w:i/>
        </w:rPr>
        <w:t xml:space="preserve">A Constant </w:t>
      </w:r>
      <w:proofErr w:type="spellStart"/>
      <w:r w:rsidRPr="003037D2">
        <w:rPr>
          <w:rFonts w:ascii="Garamond" w:hAnsi="Garamond"/>
          <w:i/>
        </w:rPr>
        <w:t>Kalender</w:t>
      </w:r>
      <w:proofErr w:type="spellEnd"/>
      <w:r w:rsidRPr="003037D2">
        <w:rPr>
          <w:rFonts w:ascii="Garamond" w:hAnsi="Garamond"/>
          <w:i/>
        </w:rPr>
        <w:t xml:space="preserve"> or </w:t>
      </w:r>
      <w:proofErr w:type="gramStart"/>
      <w:r w:rsidRPr="003037D2">
        <w:rPr>
          <w:rFonts w:ascii="Garamond" w:hAnsi="Garamond"/>
          <w:i/>
        </w:rPr>
        <w:t>An</w:t>
      </w:r>
      <w:proofErr w:type="gramEnd"/>
      <w:r w:rsidRPr="003037D2">
        <w:rPr>
          <w:rFonts w:ascii="Garamond" w:hAnsi="Garamond"/>
          <w:i/>
        </w:rPr>
        <w:t xml:space="preserve"> almanack for 300 years </w:t>
      </w:r>
      <w:r w:rsidRPr="003037D2">
        <w:rPr>
          <w:rFonts w:ascii="Garamond" w:hAnsi="Garamond"/>
        </w:rPr>
        <w:t xml:space="preserve">(London: Thomas </w:t>
      </w:r>
      <w:proofErr w:type="spellStart"/>
      <w:r w:rsidRPr="003037D2">
        <w:rPr>
          <w:rFonts w:ascii="Garamond" w:hAnsi="Garamond"/>
        </w:rPr>
        <w:t>Pierrepont</w:t>
      </w:r>
      <w:proofErr w:type="spellEnd"/>
      <w:r w:rsidRPr="003037D2">
        <w:rPr>
          <w:rFonts w:ascii="Garamond" w:hAnsi="Garamond"/>
        </w:rPr>
        <w:t>, 1656) 322507, Huntington Library, CA</w:t>
      </w:r>
    </w:p>
    <w:p w14:paraId="0266ED11" w14:textId="77777777" w:rsidR="00162224" w:rsidRPr="003037D2" w:rsidRDefault="00162224" w:rsidP="00A721D6">
      <w:pPr>
        <w:ind w:left="1361" w:hanging="720"/>
        <w:rPr>
          <w:rFonts w:ascii="Garamond" w:hAnsi="Garamond"/>
        </w:rPr>
      </w:pPr>
      <w:r w:rsidRPr="003037D2">
        <w:rPr>
          <w:rFonts w:ascii="Garamond" w:hAnsi="Garamond"/>
        </w:rPr>
        <w:t>___</w:t>
      </w:r>
      <w:proofErr w:type="gramStart"/>
      <w:r w:rsidRPr="003037D2">
        <w:rPr>
          <w:rFonts w:ascii="Garamond" w:hAnsi="Garamond"/>
        </w:rPr>
        <w:t>_ ,</w:t>
      </w:r>
      <w:proofErr w:type="gramEnd"/>
      <w:r w:rsidRPr="003037D2">
        <w:rPr>
          <w:rFonts w:ascii="Garamond" w:hAnsi="Garamond"/>
        </w:rPr>
        <w:t xml:space="preserve"> </w:t>
      </w:r>
      <w:r w:rsidRPr="003037D2">
        <w:rPr>
          <w:rFonts w:ascii="Garamond" w:hAnsi="Garamond"/>
          <w:i/>
        </w:rPr>
        <w:t xml:space="preserve">The Purchasers Pattern </w:t>
      </w:r>
      <w:r w:rsidRPr="003037D2">
        <w:rPr>
          <w:rFonts w:ascii="Garamond" w:hAnsi="Garamond"/>
        </w:rPr>
        <w:t xml:space="preserve">(London: 1656) </w:t>
      </w:r>
    </w:p>
    <w:p w14:paraId="41A1665D" w14:textId="77777777" w:rsidR="00162224" w:rsidRPr="003037D2" w:rsidRDefault="00162224" w:rsidP="00A721D6">
      <w:pPr>
        <w:ind w:left="1361" w:hanging="720"/>
        <w:rPr>
          <w:rFonts w:ascii="Garamond" w:hAnsi="Garamond"/>
        </w:rPr>
      </w:pPr>
      <w:r w:rsidRPr="003037D2">
        <w:rPr>
          <w:rFonts w:ascii="Garamond" w:hAnsi="Garamond"/>
        </w:rPr>
        <w:t xml:space="preserve">Pond, Edward, </w:t>
      </w:r>
      <w:r w:rsidRPr="003037D2">
        <w:rPr>
          <w:rFonts w:ascii="Garamond" w:hAnsi="Garamond"/>
          <w:i/>
        </w:rPr>
        <w:t xml:space="preserve">A president for prognosticators. A </w:t>
      </w:r>
      <w:proofErr w:type="spellStart"/>
      <w:r w:rsidRPr="003037D2">
        <w:rPr>
          <w:rFonts w:ascii="Garamond" w:hAnsi="Garamond"/>
          <w:i/>
        </w:rPr>
        <w:t>newe</w:t>
      </w:r>
      <w:proofErr w:type="spellEnd"/>
      <w:r w:rsidRPr="003037D2">
        <w:rPr>
          <w:rFonts w:ascii="Garamond" w:hAnsi="Garamond"/>
          <w:i/>
        </w:rPr>
        <w:t xml:space="preserve"> </w:t>
      </w:r>
      <w:proofErr w:type="spellStart"/>
      <w:r w:rsidRPr="003037D2">
        <w:rPr>
          <w:rFonts w:ascii="Garamond" w:hAnsi="Garamond"/>
          <w:i/>
        </w:rPr>
        <w:t>almanacke</w:t>
      </w:r>
      <w:proofErr w:type="spellEnd"/>
      <w:r w:rsidRPr="003037D2">
        <w:rPr>
          <w:rFonts w:ascii="Garamond" w:hAnsi="Garamond"/>
          <w:i/>
        </w:rPr>
        <w:t xml:space="preserve"> for the year of our Lord beginning at the circumcision of Christ, accounting the </w:t>
      </w:r>
      <w:proofErr w:type="spellStart"/>
      <w:r w:rsidRPr="003037D2">
        <w:rPr>
          <w:rFonts w:ascii="Garamond" w:hAnsi="Garamond"/>
          <w:i/>
        </w:rPr>
        <w:t>yeare</w:t>
      </w:r>
      <w:proofErr w:type="spellEnd"/>
      <w:r w:rsidRPr="003037D2">
        <w:rPr>
          <w:rFonts w:ascii="Garamond" w:hAnsi="Garamond"/>
          <w:i/>
        </w:rPr>
        <w:t xml:space="preserve"> current. MDCVII </w:t>
      </w:r>
      <w:r w:rsidRPr="003037D2">
        <w:rPr>
          <w:rFonts w:ascii="Garamond" w:hAnsi="Garamond"/>
        </w:rPr>
        <w:t xml:space="preserve">(London: Printed for the Company of </w:t>
      </w:r>
      <w:proofErr w:type="spellStart"/>
      <w:r w:rsidRPr="003037D2">
        <w:rPr>
          <w:rFonts w:ascii="Garamond" w:hAnsi="Garamond"/>
        </w:rPr>
        <w:t>Sstationers</w:t>
      </w:r>
      <w:proofErr w:type="spellEnd"/>
      <w:r w:rsidRPr="003037D2">
        <w:rPr>
          <w:rFonts w:ascii="Garamond" w:hAnsi="Garamond"/>
        </w:rPr>
        <w:t>, 1607), 30071, Huntington Library, CA</w:t>
      </w:r>
    </w:p>
    <w:p w14:paraId="67E0D8AC" w14:textId="77777777" w:rsidR="00162224" w:rsidRPr="003037D2" w:rsidRDefault="00162224" w:rsidP="00A721D6">
      <w:pPr>
        <w:ind w:left="1361" w:hanging="720"/>
        <w:rPr>
          <w:rFonts w:ascii="Garamond" w:hAnsi="Garamond"/>
        </w:rPr>
      </w:pPr>
      <w:r w:rsidRPr="003037D2">
        <w:rPr>
          <w:rFonts w:ascii="Garamond" w:hAnsi="Garamond"/>
          <w:i/>
          <w:iCs/>
        </w:rPr>
        <w:t>___</w:t>
      </w:r>
      <w:proofErr w:type="gramStart"/>
      <w:r w:rsidRPr="003037D2">
        <w:rPr>
          <w:rFonts w:ascii="Garamond" w:hAnsi="Garamond"/>
          <w:i/>
          <w:iCs/>
        </w:rPr>
        <w:t>_ ,</w:t>
      </w:r>
      <w:proofErr w:type="gramEnd"/>
      <w:r w:rsidRPr="003037D2">
        <w:rPr>
          <w:rFonts w:ascii="Garamond" w:hAnsi="Garamond"/>
          <w:i/>
          <w:iCs/>
        </w:rPr>
        <w:t xml:space="preserve"> </w:t>
      </w:r>
      <w:r w:rsidRPr="003037D2">
        <w:rPr>
          <w:rFonts w:ascii="Garamond" w:hAnsi="Garamond"/>
          <w:i/>
        </w:rPr>
        <w:t xml:space="preserve">A president for prognosticators. MDCIX. A </w:t>
      </w:r>
      <w:proofErr w:type="spellStart"/>
      <w:r w:rsidRPr="003037D2">
        <w:rPr>
          <w:rFonts w:ascii="Garamond" w:hAnsi="Garamond"/>
          <w:i/>
        </w:rPr>
        <w:t>newe</w:t>
      </w:r>
      <w:proofErr w:type="spellEnd"/>
      <w:r w:rsidRPr="003037D2">
        <w:rPr>
          <w:rFonts w:ascii="Garamond" w:hAnsi="Garamond"/>
          <w:i/>
        </w:rPr>
        <w:t xml:space="preserve"> </w:t>
      </w:r>
      <w:proofErr w:type="spellStart"/>
      <w:r w:rsidRPr="003037D2">
        <w:rPr>
          <w:rFonts w:ascii="Garamond" w:hAnsi="Garamond"/>
          <w:i/>
        </w:rPr>
        <w:t>almanacke</w:t>
      </w:r>
      <w:proofErr w:type="spellEnd"/>
      <w:r w:rsidRPr="003037D2">
        <w:rPr>
          <w:rFonts w:ascii="Garamond" w:hAnsi="Garamond"/>
          <w:i/>
        </w:rPr>
        <w:t xml:space="preserve"> for the year of our Lord beginning at the circumcision of Christ, accounting the </w:t>
      </w:r>
      <w:proofErr w:type="spellStart"/>
      <w:r w:rsidRPr="003037D2">
        <w:rPr>
          <w:rFonts w:ascii="Garamond" w:hAnsi="Garamond"/>
          <w:i/>
        </w:rPr>
        <w:t>yeare</w:t>
      </w:r>
      <w:proofErr w:type="spellEnd"/>
      <w:r w:rsidRPr="003037D2">
        <w:rPr>
          <w:rFonts w:ascii="Garamond" w:hAnsi="Garamond"/>
          <w:i/>
        </w:rPr>
        <w:t xml:space="preserve"> current. 1609 </w:t>
      </w:r>
      <w:r w:rsidRPr="003037D2">
        <w:rPr>
          <w:rFonts w:ascii="Garamond" w:hAnsi="Garamond"/>
        </w:rPr>
        <w:t>(London: Printed for the Company of Stationers, 1609), 30072, Huntington Library, CA</w:t>
      </w:r>
    </w:p>
    <w:p w14:paraId="37E53BFD" w14:textId="77777777" w:rsidR="00162224" w:rsidRPr="003037D2" w:rsidRDefault="00162224" w:rsidP="00A721D6">
      <w:pPr>
        <w:ind w:left="1361" w:hanging="720"/>
        <w:rPr>
          <w:rFonts w:ascii="Garamond" w:hAnsi="Garamond"/>
        </w:rPr>
      </w:pPr>
      <w:r w:rsidRPr="003037D2">
        <w:rPr>
          <w:rFonts w:ascii="Garamond" w:hAnsi="Garamond"/>
          <w:i/>
        </w:rPr>
        <w:t xml:space="preserve">--------------- Pond's almanack for the </w:t>
      </w:r>
      <w:proofErr w:type="spellStart"/>
      <w:r w:rsidRPr="003037D2">
        <w:rPr>
          <w:rFonts w:ascii="Garamond" w:hAnsi="Garamond"/>
          <w:i/>
        </w:rPr>
        <w:t>yeare</w:t>
      </w:r>
      <w:proofErr w:type="spellEnd"/>
      <w:r w:rsidRPr="003037D2">
        <w:rPr>
          <w:rFonts w:ascii="Garamond" w:hAnsi="Garamond"/>
          <w:i/>
        </w:rPr>
        <w:t xml:space="preserve"> of our Lord God 1641 </w:t>
      </w:r>
      <w:r w:rsidRPr="003037D2">
        <w:rPr>
          <w:rFonts w:ascii="Garamond" w:hAnsi="Garamond"/>
        </w:rPr>
        <w:t xml:space="preserve">(Cambridge: Rodger Daniel, 1641), 479105:1641, Huntington Library, CA </w:t>
      </w:r>
    </w:p>
    <w:p w14:paraId="703B3C43" w14:textId="77777777" w:rsidR="00162224" w:rsidRPr="003037D2" w:rsidRDefault="00162224" w:rsidP="00A721D6">
      <w:pPr>
        <w:ind w:left="1361" w:hanging="720"/>
        <w:rPr>
          <w:rFonts w:ascii="Garamond" w:hAnsi="Garamond"/>
        </w:rPr>
      </w:pPr>
      <w:r w:rsidRPr="003037D2">
        <w:rPr>
          <w:rFonts w:ascii="Garamond" w:hAnsi="Garamond"/>
        </w:rPr>
        <w:t xml:space="preserve">------------- </w:t>
      </w:r>
      <w:r w:rsidRPr="003037D2">
        <w:rPr>
          <w:rFonts w:ascii="Garamond" w:hAnsi="Garamond"/>
          <w:i/>
        </w:rPr>
        <w:t xml:space="preserve">Pond's almanack for the </w:t>
      </w:r>
      <w:proofErr w:type="spellStart"/>
      <w:r w:rsidRPr="003037D2">
        <w:rPr>
          <w:rFonts w:ascii="Garamond" w:hAnsi="Garamond"/>
          <w:i/>
        </w:rPr>
        <w:t>yeare</w:t>
      </w:r>
      <w:proofErr w:type="spellEnd"/>
      <w:r w:rsidRPr="003037D2">
        <w:rPr>
          <w:rFonts w:ascii="Garamond" w:hAnsi="Garamond"/>
          <w:i/>
        </w:rPr>
        <w:t xml:space="preserve"> of our Lord Christ 1650: being the second after bissextile or leap </w:t>
      </w:r>
      <w:proofErr w:type="spellStart"/>
      <w:r w:rsidRPr="003037D2">
        <w:rPr>
          <w:rFonts w:ascii="Garamond" w:hAnsi="Garamond"/>
          <w:i/>
        </w:rPr>
        <w:t>yeare</w:t>
      </w:r>
      <w:proofErr w:type="spellEnd"/>
      <w:r w:rsidRPr="003037D2">
        <w:rPr>
          <w:rFonts w:ascii="Garamond" w:hAnsi="Garamond"/>
          <w:i/>
        </w:rPr>
        <w:t xml:space="preserve"> </w:t>
      </w:r>
      <w:r w:rsidRPr="003037D2">
        <w:rPr>
          <w:rFonts w:ascii="Garamond" w:hAnsi="Garamond"/>
        </w:rPr>
        <w:t xml:space="preserve">(Cambridge Roger Daniel, 1650), </w:t>
      </w:r>
      <w:bookmarkStart w:id="253" w:name="OLE_LINK9"/>
      <w:bookmarkStart w:id="254" w:name="OLE_LINK10"/>
      <w:r w:rsidRPr="003037D2">
        <w:rPr>
          <w:rFonts w:ascii="Garamond" w:hAnsi="Garamond"/>
        </w:rPr>
        <w:t>429528</w:t>
      </w:r>
      <w:bookmarkEnd w:id="253"/>
      <w:bookmarkEnd w:id="254"/>
      <w:r w:rsidRPr="003037D2">
        <w:rPr>
          <w:rFonts w:ascii="Garamond" w:hAnsi="Garamond"/>
        </w:rPr>
        <w:t xml:space="preserve">, Huntington Library, CA </w:t>
      </w:r>
    </w:p>
    <w:p w14:paraId="2B83D100" w14:textId="77777777" w:rsidR="00162224" w:rsidRPr="003037D2" w:rsidRDefault="00162224" w:rsidP="00A721D6">
      <w:pPr>
        <w:ind w:left="1361" w:hanging="720"/>
        <w:rPr>
          <w:rFonts w:ascii="Garamond" w:hAnsi="Garamond"/>
        </w:rPr>
      </w:pPr>
      <w:r w:rsidRPr="003037D2">
        <w:rPr>
          <w:rFonts w:ascii="Garamond" w:hAnsi="Garamond"/>
        </w:rPr>
        <w:t xml:space="preserve">Powell, Vavasor, </w:t>
      </w:r>
      <w:r w:rsidRPr="003037D2">
        <w:rPr>
          <w:rFonts w:ascii="Garamond" w:hAnsi="Garamond"/>
          <w:i/>
          <w:iCs/>
        </w:rPr>
        <w:t xml:space="preserve">Christ and Moses </w:t>
      </w:r>
      <w:proofErr w:type="spellStart"/>
      <w:r w:rsidRPr="003037D2">
        <w:rPr>
          <w:rFonts w:ascii="Garamond" w:hAnsi="Garamond"/>
          <w:i/>
          <w:iCs/>
        </w:rPr>
        <w:t>Exclency</w:t>
      </w:r>
      <w:proofErr w:type="spellEnd"/>
      <w:r w:rsidRPr="003037D2">
        <w:rPr>
          <w:rFonts w:ascii="Garamond" w:hAnsi="Garamond"/>
          <w:i/>
          <w:iCs/>
        </w:rPr>
        <w:t xml:space="preserve"> </w:t>
      </w:r>
      <w:r w:rsidRPr="003037D2">
        <w:rPr>
          <w:rFonts w:ascii="Garamond" w:hAnsi="Garamond"/>
        </w:rPr>
        <w:t>(London: 1650)</w:t>
      </w:r>
    </w:p>
    <w:p w14:paraId="7AF5ADCF" w14:textId="77777777" w:rsidR="00162224" w:rsidRPr="003037D2" w:rsidRDefault="00162224" w:rsidP="00A721D6">
      <w:pPr>
        <w:ind w:left="1361" w:hanging="720"/>
        <w:rPr>
          <w:rFonts w:ascii="Garamond" w:hAnsi="Garamond"/>
        </w:rPr>
      </w:pPr>
      <w:proofErr w:type="spellStart"/>
      <w:r w:rsidRPr="003037D2">
        <w:rPr>
          <w:rFonts w:ascii="Garamond" w:hAnsi="Garamond"/>
        </w:rPr>
        <w:t>Rainbowe</w:t>
      </w:r>
      <w:proofErr w:type="spellEnd"/>
      <w:r w:rsidRPr="003037D2">
        <w:rPr>
          <w:rFonts w:ascii="Garamond" w:hAnsi="Garamond"/>
        </w:rPr>
        <w:t xml:space="preserve">, Edward, </w:t>
      </w:r>
      <w:r w:rsidRPr="003037D2">
        <w:rPr>
          <w:rFonts w:ascii="Garamond" w:hAnsi="Garamond"/>
          <w:i/>
        </w:rPr>
        <w:t>A Sermon Preached at Walden in Essex, May 29</w:t>
      </w:r>
      <w:r w:rsidRPr="003037D2">
        <w:rPr>
          <w:rFonts w:ascii="Garamond" w:hAnsi="Garamond"/>
          <w:i/>
          <w:vertAlign w:val="superscript"/>
        </w:rPr>
        <w:t>th</w:t>
      </w:r>
      <w:r w:rsidRPr="003037D2">
        <w:rPr>
          <w:rFonts w:ascii="Garamond" w:hAnsi="Garamond"/>
          <w:i/>
        </w:rPr>
        <w:t xml:space="preserve"> </w:t>
      </w:r>
      <w:r w:rsidRPr="003037D2">
        <w:rPr>
          <w:rFonts w:ascii="Garamond" w:hAnsi="Garamond"/>
        </w:rPr>
        <w:t>(London: 1649)</w:t>
      </w:r>
    </w:p>
    <w:p w14:paraId="3E19E2F9" w14:textId="77777777" w:rsidR="00162224" w:rsidRPr="003037D2" w:rsidRDefault="00162224" w:rsidP="00A721D6">
      <w:pPr>
        <w:ind w:left="1361" w:hanging="720"/>
        <w:rPr>
          <w:rFonts w:ascii="Garamond" w:hAnsi="Garamond"/>
        </w:rPr>
      </w:pPr>
      <w:r w:rsidRPr="003037D2">
        <w:rPr>
          <w:rFonts w:ascii="Garamond" w:hAnsi="Garamond"/>
        </w:rPr>
        <w:t xml:space="preserve">Reeve, Thomas, </w:t>
      </w:r>
      <w:r w:rsidRPr="003037D2">
        <w:rPr>
          <w:rFonts w:ascii="Garamond" w:hAnsi="Garamond"/>
          <w:i/>
          <w:iCs/>
        </w:rPr>
        <w:t xml:space="preserve">Moses old square for judges. Delivered in a sermon in the </w:t>
      </w:r>
      <w:proofErr w:type="spellStart"/>
      <w:r w:rsidRPr="003037D2">
        <w:rPr>
          <w:rFonts w:ascii="Garamond" w:hAnsi="Garamond"/>
          <w:i/>
          <w:iCs/>
        </w:rPr>
        <w:t>Greeneyard</w:t>
      </w:r>
      <w:proofErr w:type="spellEnd"/>
      <w:r w:rsidRPr="003037D2">
        <w:rPr>
          <w:rFonts w:ascii="Garamond" w:hAnsi="Garamond"/>
          <w:i/>
          <w:iCs/>
        </w:rPr>
        <w:t xml:space="preserve"> in Norwich, the 17. of </w:t>
      </w:r>
      <w:proofErr w:type="gramStart"/>
      <w:r w:rsidRPr="003037D2">
        <w:rPr>
          <w:rFonts w:ascii="Garamond" w:hAnsi="Garamond"/>
          <w:i/>
          <w:iCs/>
        </w:rPr>
        <w:t>July,</w:t>
      </w:r>
      <w:proofErr w:type="gramEnd"/>
      <w:r w:rsidRPr="003037D2">
        <w:rPr>
          <w:rFonts w:ascii="Garamond" w:hAnsi="Garamond"/>
          <w:i/>
          <w:iCs/>
        </w:rPr>
        <w:t xml:space="preserve"> 1631 </w:t>
      </w:r>
      <w:r w:rsidRPr="003037D2">
        <w:rPr>
          <w:rFonts w:ascii="Garamond" w:hAnsi="Garamond"/>
        </w:rPr>
        <w:t xml:space="preserve">(London: 1632) </w:t>
      </w:r>
    </w:p>
    <w:p w14:paraId="02253F34" w14:textId="77777777" w:rsidR="00162224" w:rsidRPr="003037D2" w:rsidRDefault="00162224" w:rsidP="00A721D6">
      <w:pPr>
        <w:ind w:left="1361" w:hanging="720"/>
        <w:rPr>
          <w:rFonts w:ascii="Garamond" w:hAnsi="Garamond"/>
        </w:rPr>
      </w:pPr>
      <w:r w:rsidRPr="003037D2">
        <w:rPr>
          <w:rFonts w:ascii="Garamond" w:hAnsi="Garamond"/>
        </w:rPr>
        <w:t xml:space="preserve">Saunders, Richard, </w:t>
      </w:r>
      <w:r w:rsidRPr="003037D2">
        <w:rPr>
          <w:rFonts w:ascii="Garamond" w:hAnsi="Garamond"/>
          <w:i/>
          <w:iCs/>
        </w:rPr>
        <w:t xml:space="preserve">Palmistry, the secrets thereof disclosed: The Second part of the Treatise treating… the Doctrine of Election </w:t>
      </w:r>
      <w:r w:rsidRPr="003037D2">
        <w:rPr>
          <w:rFonts w:ascii="Garamond" w:hAnsi="Garamond"/>
        </w:rPr>
        <w:t>(London: 1663)</w:t>
      </w:r>
    </w:p>
    <w:p w14:paraId="69F67213" w14:textId="77777777" w:rsidR="00162224" w:rsidRPr="003037D2" w:rsidRDefault="00162224" w:rsidP="00A721D6">
      <w:pPr>
        <w:ind w:left="1361" w:hanging="720"/>
        <w:rPr>
          <w:rFonts w:ascii="Garamond" w:hAnsi="Garamond"/>
        </w:rPr>
      </w:pPr>
      <w:r w:rsidRPr="003037D2">
        <w:rPr>
          <w:rFonts w:ascii="Garamond" w:hAnsi="Garamond"/>
        </w:rPr>
        <w:t xml:space="preserve">Sidney, Sir Philip and the Countess of Pembroke, Mary Sidney Herbert, </w:t>
      </w:r>
      <w:r w:rsidRPr="003037D2">
        <w:rPr>
          <w:rFonts w:ascii="Garamond" w:hAnsi="Garamond"/>
          <w:i/>
          <w:iCs/>
        </w:rPr>
        <w:t xml:space="preserve">The Psalms of Sir Philip Sidney and the Countess of Pembroke, </w:t>
      </w:r>
      <w:r w:rsidRPr="003037D2">
        <w:rPr>
          <w:rFonts w:ascii="Garamond" w:hAnsi="Garamond"/>
        </w:rPr>
        <w:t xml:space="preserve">ed. with an introduction by J.C.A. </w:t>
      </w:r>
      <w:proofErr w:type="spellStart"/>
      <w:r w:rsidRPr="003037D2">
        <w:rPr>
          <w:rFonts w:ascii="Garamond" w:hAnsi="Garamond"/>
        </w:rPr>
        <w:t>Rathmell</w:t>
      </w:r>
      <w:proofErr w:type="spellEnd"/>
      <w:r w:rsidRPr="003037D2">
        <w:rPr>
          <w:rFonts w:ascii="Garamond" w:hAnsi="Garamond"/>
        </w:rPr>
        <w:t xml:space="preserve"> (New York: New York University Press, 1963) </w:t>
      </w:r>
    </w:p>
    <w:p w14:paraId="2E8327FC" w14:textId="77777777" w:rsidR="00162224" w:rsidRPr="003037D2" w:rsidRDefault="00162224" w:rsidP="00A721D6">
      <w:pPr>
        <w:ind w:left="1361" w:hanging="720"/>
        <w:rPr>
          <w:rFonts w:ascii="Garamond" w:hAnsi="Garamond"/>
        </w:rPr>
      </w:pPr>
      <w:r w:rsidRPr="003037D2">
        <w:rPr>
          <w:rFonts w:ascii="Garamond" w:hAnsi="Garamond"/>
        </w:rPr>
        <w:t xml:space="preserve">Shakespeare, William, </w:t>
      </w:r>
      <w:r w:rsidRPr="003037D2">
        <w:rPr>
          <w:rFonts w:ascii="Garamond" w:hAnsi="Garamond"/>
          <w:i/>
          <w:iCs/>
        </w:rPr>
        <w:t xml:space="preserve">As You Like It, </w:t>
      </w:r>
      <w:r w:rsidRPr="003037D2">
        <w:rPr>
          <w:rFonts w:ascii="Garamond" w:hAnsi="Garamond"/>
        </w:rPr>
        <w:t>ed. by Alan Brissenden</w:t>
      </w:r>
      <w:r w:rsidRPr="003037D2">
        <w:rPr>
          <w:rFonts w:ascii="Garamond" w:hAnsi="Garamond"/>
          <w:i/>
          <w:iCs/>
        </w:rPr>
        <w:t xml:space="preserve"> </w:t>
      </w:r>
      <w:r w:rsidRPr="003037D2">
        <w:rPr>
          <w:rFonts w:ascii="Garamond" w:hAnsi="Garamond"/>
        </w:rPr>
        <w:t>(Oxford: Oxford University Press, 2008)</w:t>
      </w:r>
    </w:p>
    <w:p w14:paraId="78A1BA4C" w14:textId="77777777" w:rsidR="00162224" w:rsidRPr="003037D2" w:rsidRDefault="00162224" w:rsidP="00A721D6">
      <w:pPr>
        <w:ind w:left="1361" w:hanging="720"/>
        <w:rPr>
          <w:rFonts w:ascii="Garamond" w:hAnsi="Garamond"/>
        </w:rPr>
      </w:pPr>
      <w:r w:rsidRPr="003037D2">
        <w:rPr>
          <w:rFonts w:ascii="Garamond" w:hAnsi="Garamond"/>
          <w:color w:val="000000"/>
          <w:shd w:val="clear" w:color="auto" w:fill="FFFFFF"/>
        </w:rPr>
        <w:t>___</w:t>
      </w:r>
      <w:proofErr w:type="gramStart"/>
      <w:r w:rsidRPr="003037D2">
        <w:rPr>
          <w:rFonts w:ascii="Garamond" w:hAnsi="Garamond"/>
          <w:color w:val="000000"/>
          <w:shd w:val="clear" w:color="auto" w:fill="FFFFFF"/>
        </w:rPr>
        <w:t>_</w:t>
      </w:r>
      <w:r w:rsidRPr="003037D2">
        <w:rPr>
          <w:rFonts w:ascii="Garamond" w:hAnsi="Garamond"/>
          <w:i/>
          <w:iCs/>
        </w:rPr>
        <w:t xml:space="preserve"> ,</w:t>
      </w:r>
      <w:proofErr w:type="gramEnd"/>
      <w:r w:rsidRPr="003037D2">
        <w:rPr>
          <w:rFonts w:ascii="Garamond" w:hAnsi="Garamond"/>
          <w:i/>
          <w:iCs/>
        </w:rPr>
        <w:t xml:space="preserve"> Henry IV, Part II</w:t>
      </w:r>
      <w:r w:rsidRPr="003037D2">
        <w:rPr>
          <w:rFonts w:ascii="Garamond" w:hAnsi="Garamond"/>
        </w:rPr>
        <w:t>, ed. by René Weis (Oxford: Oxford University Press, 2008)</w:t>
      </w:r>
    </w:p>
    <w:p w14:paraId="6F74E7F3" w14:textId="77777777" w:rsidR="00162224" w:rsidRPr="003037D2" w:rsidRDefault="00162224" w:rsidP="00A721D6">
      <w:pPr>
        <w:ind w:left="1361" w:hanging="720"/>
        <w:rPr>
          <w:rFonts w:ascii="Garamond" w:hAnsi="Garamond"/>
        </w:rPr>
      </w:pPr>
      <w:r w:rsidRPr="003037D2">
        <w:rPr>
          <w:rFonts w:ascii="Garamond" w:hAnsi="Garamond"/>
        </w:rPr>
        <w:t xml:space="preserve">____, </w:t>
      </w:r>
      <w:r w:rsidRPr="003037D2">
        <w:rPr>
          <w:rFonts w:ascii="Garamond" w:hAnsi="Garamond"/>
          <w:i/>
          <w:iCs/>
        </w:rPr>
        <w:t xml:space="preserve">Shakespeare’s Sonnets </w:t>
      </w:r>
      <w:r w:rsidRPr="003037D2">
        <w:rPr>
          <w:rFonts w:ascii="Garamond" w:hAnsi="Garamond"/>
        </w:rPr>
        <w:t>(Boston: Ticknor and Friends, 1865)</w:t>
      </w:r>
    </w:p>
    <w:p w14:paraId="72F3364F" w14:textId="08329925" w:rsidR="00162224" w:rsidRPr="003037D2" w:rsidRDefault="00162224" w:rsidP="00A721D6">
      <w:pPr>
        <w:ind w:left="1361" w:hanging="720"/>
        <w:rPr>
          <w:rFonts w:ascii="Garamond" w:hAnsi="Garamond"/>
        </w:rPr>
      </w:pPr>
      <w:r w:rsidRPr="003037D2">
        <w:rPr>
          <w:rFonts w:ascii="Garamond" w:hAnsi="Garamond"/>
        </w:rPr>
        <w:t xml:space="preserve">Smith, Thomas, </w:t>
      </w:r>
      <w:r w:rsidRPr="003037D2">
        <w:rPr>
          <w:rFonts w:ascii="Garamond" w:hAnsi="Garamond"/>
          <w:i/>
          <w:iCs/>
        </w:rPr>
        <w:t xml:space="preserve">De recta et </w:t>
      </w:r>
      <w:proofErr w:type="spellStart"/>
      <w:r w:rsidR="0065623B">
        <w:rPr>
          <w:rFonts w:ascii="Garamond" w:hAnsi="Garamond"/>
          <w:i/>
          <w:iCs/>
        </w:rPr>
        <w:t>emendata</w:t>
      </w:r>
      <w:proofErr w:type="spellEnd"/>
      <w:r w:rsidR="0065623B">
        <w:rPr>
          <w:rFonts w:ascii="Garamond" w:hAnsi="Garamond"/>
          <w:i/>
          <w:iCs/>
        </w:rPr>
        <w:t xml:space="preserve"> </w:t>
      </w:r>
      <w:r w:rsidRPr="003037D2">
        <w:rPr>
          <w:rFonts w:ascii="Garamond" w:hAnsi="Garamond"/>
          <w:i/>
          <w:iCs/>
        </w:rPr>
        <w:t xml:space="preserve">linguae </w:t>
      </w:r>
      <w:proofErr w:type="spellStart"/>
      <w:r w:rsidRPr="003037D2">
        <w:rPr>
          <w:rFonts w:ascii="Garamond" w:hAnsi="Garamond"/>
          <w:i/>
          <w:iCs/>
        </w:rPr>
        <w:t>Anglicae</w:t>
      </w:r>
      <w:proofErr w:type="spellEnd"/>
      <w:r w:rsidRPr="003037D2">
        <w:rPr>
          <w:rFonts w:ascii="Garamond" w:hAnsi="Garamond"/>
          <w:i/>
          <w:iCs/>
        </w:rPr>
        <w:t xml:space="preserve"> </w:t>
      </w:r>
      <w:proofErr w:type="spellStart"/>
      <w:r w:rsidRPr="003037D2">
        <w:rPr>
          <w:rFonts w:ascii="Garamond" w:hAnsi="Garamond"/>
          <w:i/>
          <w:iCs/>
        </w:rPr>
        <w:t>Scriptione</w:t>
      </w:r>
      <w:proofErr w:type="spellEnd"/>
      <w:r w:rsidRPr="003037D2">
        <w:rPr>
          <w:rFonts w:ascii="Garamond" w:hAnsi="Garamond"/>
          <w:i/>
          <w:iCs/>
        </w:rPr>
        <w:t>, dialogues</w:t>
      </w:r>
      <w:r w:rsidRPr="003037D2">
        <w:rPr>
          <w:rFonts w:ascii="Garamond" w:hAnsi="Garamond"/>
        </w:rPr>
        <w:t xml:space="preserve"> (</w:t>
      </w:r>
      <w:proofErr w:type="spellStart"/>
      <w:r w:rsidRPr="003037D2">
        <w:rPr>
          <w:rFonts w:ascii="Garamond" w:hAnsi="Garamond"/>
        </w:rPr>
        <w:t>Lutetiae</w:t>
      </w:r>
      <w:proofErr w:type="spellEnd"/>
      <w:r w:rsidRPr="003037D2">
        <w:rPr>
          <w:rFonts w:ascii="Garamond" w:hAnsi="Garamond"/>
        </w:rPr>
        <w:t xml:space="preserve"> [Paris]: Roberti Stephani, 1568)</w:t>
      </w:r>
    </w:p>
    <w:p w14:paraId="7777573A" w14:textId="77777777" w:rsidR="00162224" w:rsidRPr="003037D2" w:rsidRDefault="00162224" w:rsidP="00A721D6">
      <w:pPr>
        <w:ind w:left="1361" w:hanging="720"/>
        <w:rPr>
          <w:rFonts w:ascii="Garamond" w:hAnsi="Garamond"/>
        </w:rPr>
      </w:pPr>
      <w:r w:rsidRPr="003037D2">
        <w:rPr>
          <w:rFonts w:ascii="Garamond" w:hAnsi="Garamond"/>
        </w:rPr>
        <w:t xml:space="preserve">Spenser, Edmund, A </w:t>
      </w:r>
      <w:r w:rsidRPr="003037D2">
        <w:rPr>
          <w:rFonts w:ascii="Garamond" w:hAnsi="Garamond"/>
          <w:i/>
          <w:iCs/>
        </w:rPr>
        <w:t>View of the State of Ireland, written dialogue-wise</w:t>
      </w:r>
      <w:r w:rsidRPr="003037D2">
        <w:rPr>
          <w:rFonts w:ascii="Garamond" w:hAnsi="Garamond"/>
        </w:rPr>
        <w:t xml:space="preserve"> (London: 1596)</w:t>
      </w:r>
    </w:p>
    <w:p w14:paraId="385A46E1" w14:textId="77777777" w:rsidR="00162224" w:rsidRPr="003037D2" w:rsidRDefault="00162224" w:rsidP="00A721D6">
      <w:pPr>
        <w:ind w:left="1361" w:hanging="720"/>
        <w:rPr>
          <w:rFonts w:ascii="Garamond" w:hAnsi="Garamond"/>
        </w:rPr>
      </w:pPr>
      <w:r w:rsidRPr="003037D2">
        <w:rPr>
          <w:rFonts w:ascii="Garamond" w:hAnsi="Garamond"/>
        </w:rPr>
        <w:t>Stevin, Simon, </w:t>
      </w:r>
      <w:proofErr w:type="spellStart"/>
      <w:r w:rsidRPr="003037D2">
        <w:rPr>
          <w:rFonts w:ascii="Garamond" w:hAnsi="Garamond"/>
          <w:i/>
        </w:rPr>
        <w:t>Disme</w:t>
      </w:r>
      <w:proofErr w:type="spellEnd"/>
      <w:r w:rsidRPr="003037D2">
        <w:rPr>
          <w:rFonts w:ascii="Garamond" w:hAnsi="Garamond"/>
          <w:i/>
        </w:rPr>
        <w:t xml:space="preserve">: the art of tenths, or </w:t>
      </w:r>
      <w:proofErr w:type="spellStart"/>
      <w:r w:rsidRPr="003037D2">
        <w:rPr>
          <w:rFonts w:ascii="Garamond" w:hAnsi="Garamond"/>
          <w:i/>
        </w:rPr>
        <w:t>decimall</w:t>
      </w:r>
      <w:proofErr w:type="spellEnd"/>
      <w:r w:rsidRPr="003037D2">
        <w:rPr>
          <w:rFonts w:ascii="Garamond" w:hAnsi="Garamond"/>
          <w:i/>
        </w:rPr>
        <w:t xml:space="preserve"> </w:t>
      </w:r>
      <w:proofErr w:type="spellStart"/>
      <w:r w:rsidRPr="003037D2">
        <w:rPr>
          <w:rFonts w:ascii="Garamond" w:hAnsi="Garamond"/>
          <w:i/>
        </w:rPr>
        <w:t>arithmetike</w:t>
      </w:r>
      <w:proofErr w:type="spellEnd"/>
      <w:r w:rsidRPr="003037D2">
        <w:rPr>
          <w:rFonts w:ascii="Garamond" w:hAnsi="Garamond"/>
          <w:i/>
        </w:rPr>
        <w:t xml:space="preserve"> </w:t>
      </w:r>
      <w:r w:rsidRPr="003037D2">
        <w:rPr>
          <w:rFonts w:ascii="Garamond" w:hAnsi="Garamond"/>
        </w:rPr>
        <w:t>(Gent: 1608)</w:t>
      </w:r>
    </w:p>
    <w:p w14:paraId="7A5DF47C" w14:textId="77777777" w:rsidR="00162224" w:rsidRPr="003037D2" w:rsidRDefault="00162224" w:rsidP="00A721D6">
      <w:pPr>
        <w:ind w:left="1361" w:hanging="720"/>
        <w:rPr>
          <w:rFonts w:ascii="Garamond" w:hAnsi="Garamond"/>
          <w:b/>
        </w:rPr>
      </w:pPr>
      <w:r w:rsidRPr="003037D2">
        <w:rPr>
          <w:rFonts w:ascii="Garamond" w:hAnsi="Garamond"/>
        </w:rPr>
        <w:t xml:space="preserve">Sydenham, Humphrey, </w:t>
      </w:r>
      <w:r w:rsidRPr="003037D2">
        <w:rPr>
          <w:rFonts w:ascii="Garamond" w:hAnsi="Garamond"/>
          <w:i/>
        </w:rPr>
        <w:t xml:space="preserve">Sermons upon </w:t>
      </w:r>
      <w:proofErr w:type="spellStart"/>
      <w:r w:rsidRPr="003037D2">
        <w:rPr>
          <w:rFonts w:ascii="Garamond" w:hAnsi="Garamond"/>
          <w:i/>
        </w:rPr>
        <w:t>solemne</w:t>
      </w:r>
      <w:proofErr w:type="spellEnd"/>
      <w:r w:rsidRPr="003037D2">
        <w:rPr>
          <w:rFonts w:ascii="Garamond" w:hAnsi="Garamond"/>
          <w:i/>
        </w:rPr>
        <w:t xml:space="preserve"> occasions preached in </w:t>
      </w:r>
      <w:proofErr w:type="spellStart"/>
      <w:r w:rsidRPr="003037D2">
        <w:rPr>
          <w:rFonts w:ascii="Garamond" w:hAnsi="Garamond"/>
          <w:i/>
        </w:rPr>
        <w:t>severall</w:t>
      </w:r>
      <w:proofErr w:type="spellEnd"/>
      <w:r w:rsidRPr="003037D2">
        <w:rPr>
          <w:rFonts w:ascii="Garamond" w:hAnsi="Garamond"/>
          <w:i/>
        </w:rPr>
        <w:t xml:space="preserve"> </w:t>
      </w:r>
      <w:proofErr w:type="spellStart"/>
      <w:r w:rsidRPr="003037D2">
        <w:rPr>
          <w:rFonts w:ascii="Garamond" w:hAnsi="Garamond"/>
          <w:i/>
        </w:rPr>
        <w:t>auditories</w:t>
      </w:r>
      <w:proofErr w:type="spellEnd"/>
      <w:r w:rsidRPr="003037D2">
        <w:rPr>
          <w:rFonts w:ascii="Garamond" w:hAnsi="Garamond"/>
        </w:rPr>
        <w:t xml:space="preserve"> (London: 1637)</w:t>
      </w:r>
    </w:p>
    <w:p w14:paraId="01793595" w14:textId="77777777" w:rsidR="00162224" w:rsidRPr="003037D2" w:rsidRDefault="00162224" w:rsidP="00A721D6">
      <w:pPr>
        <w:ind w:left="1361" w:hanging="720"/>
        <w:rPr>
          <w:rFonts w:ascii="Garamond" w:hAnsi="Garamond"/>
        </w:rPr>
      </w:pPr>
      <w:r w:rsidRPr="003037D2">
        <w:rPr>
          <w:rFonts w:ascii="Garamond" w:hAnsi="Garamond"/>
        </w:rPr>
        <w:t xml:space="preserve">Taylor, John, </w:t>
      </w:r>
      <w:r w:rsidRPr="003037D2">
        <w:rPr>
          <w:rFonts w:ascii="Garamond" w:hAnsi="Garamond"/>
          <w:i/>
          <w:iCs/>
        </w:rPr>
        <w:t xml:space="preserve">The </w:t>
      </w:r>
      <w:proofErr w:type="spellStart"/>
      <w:r w:rsidRPr="003037D2">
        <w:rPr>
          <w:rFonts w:ascii="Garamond" w:hAnsi="Garamond"/>
          <w:i/>
          <w:iCs/>
        </w:rPr>
        <w:t>Brownists</w:t>
      </w:r>
      <w:proofErr w:type="spellEnd"/>
      <w:r w:rsidRPr="003037D2">
        <w:rPr>
          <w:rFonts w:ascii="Garamond" w:hAnsi="Garamond"/>
          <w:i/>
          <w:iCs/>
        </w:rPr>
        <w:t xml:space="preserve"> conventicle, or, </w:t>
      </w:r>
      <w:proofErr w:type="gramStart"/>
      <w:r w:rsidRPr="003037D2">
        <w:rPr>
          <w:rFonts w:ascii="Garamond" w:hAnsi="Garamond"/>
          <w:i/>
          <w:iCs/>
        </w:rPr>
        <w:t>An</w:t>
      </w:r>
      <w:proofErr w:type="gramEnd"/>
      <w:r w:rsidRPr="003037D2">
        <w:rPr>
          <w:rFonts w:ascii="Garamond" w:hAnsi="Garamond"/>
          <w:i/>
          <w:iCs/>
        </w:rPr>
        <w:t xml:space="preserve"> assemble of </w:t>
      </w:r>
      <w:proofErr w:type="spellStart"/>
      <w:r w:rsidRPr="003037D2">
        <w:rPr>
          <w:rFonts w:ascii="Garamond" w:hAnsi="Garamond"/>
          <w:i/>
          <w:iCs/>
        </w:rPr>
        <w:t>Brownists</w:t>
      </w:r>
      <w:proofErr w:type="spellEnd"/>
      <w:r w:rsidRPr="003037D2">
        <w:rPr>
          <w:rFonts w:ascii="Garamond" w:hAnsi="Garamond"/>
          <w:i/>
          <w:iCs/>
        </w:rPr>
        <w:t xml:space="preserve">, separatists, and non-conformists… </w:t>
      </w:r>
      <w:r w:rsidRPr="003037D2">
        <w:rPr>
          <w:rFonts w:ascii="Garamond" w:hAnsi="Garamond"/>
        </w:rPr>
        <w:t>(London: 1641)</w:t>
      </w:r>
    </w:p>
    <w:p w14:paraId="22094469" w14:textId="77777777" w:rsidR="00162224" w:rsidRPr="003037D2" w:rsidRDefault="00162224" w:rsidP="00A721D6">
      <w:pPr>
        <w:ind w:left="1361" w:hanging="720"/>
        <w:rPr>
          <w:rFonts w:ascii="Garamond" w:hAnsi="Garamond"/>
        </w:rPr>
      </w:pPr>
      <w:r w:rsidRPr="003037D2">
        <w:rPr>
          <w:rFonts w:ascii="Garamond" w:hAnsi="Garamond"/>
          <w:color w:val="000000"/>
          <w:shd w:val="clear" w:color="auto" w:fill="FFFFFF"/>
        </w:rPr>
        <w:t>____</w:t>
      </w:r>
      <w:r w:rsidRPr="003037D2">
        <w:rPr>
          <w:rFonts w:ascii="Garamond" w:hAnsi="Garamond"/>
        </w:rPr>
        <w:t xml:space="preserve">, </w:t>
      </w:r>
      <w:r w:rsidRPr="003037D2">
        <w:rPr>
          <w:rFonts w:ascii="Garamond" w:hAnsi="Garamond"/>
          <w:i/>
        </w:rPr>
        <w:t xml:space="preserve">The old, old, very old man; or, The age and long life of Thomas Par, the son of John Parr of Winnington </w:t>
      </w:r>
      <w:r w:rsidRPr="003037D2">
        <w:rPr>
          <w:rFonts w:ascii="Garamond" w:hAnsi="Garamond"/>
        </w:rPr>
        <w:t>(London: 1635)</w:t>
      </w:r>
    </w:p>
    <w:p w14:paraId="58923B39" w14:textId="77777777" w:rsidR="00162224" w:rsidRPr="003037D2" w:rsidRDefault="00162224" w:rsidP="00A721D6">
      <w:pPr>
        <w:ind w:left="1361" w:hanging="720"/>
        <w:rPr>
          <w:rFonts w:ascii="Garamond" w:hAnsi="Garamond"/>
          <w:i/>
        </w:rPr>
      </w:pPr>
      <w:r w:rsidRPr="003037D2">
        <w:rPr>
          <w:rFonts w:ascii="Garamond" w:hAnsi="Garamond"/>
          <w:i/>
        </w:rPr>
        <w:lastRenderedPageBreak/>
        <w:t xml:space="preserve">The Two Books of Homilies Appointed to be Read in Churches, </w:t>
      </w:r>
      <w:r w:rsidRPr="003037D2">
        <w:rPr>
          <w:rFonts w:ascii="Garamond" w:hAnsi="Garamond"/>
        </w:rPr>
        <w:t>ed. by John Griffiths (Oxford: Oxford University Press, 1859)</w:t>
      </w:r>
    </w:p>
    <w:p w14:paraId="7CF6DF32" w14:textId="1829E0CF" w:rsidR="00162224" w:rsidRPr="003037D2" w:rsidRDefault="00162224" w:rsidP="00A721D6">
      <w:pPr>
        <w:ind w:left="1361" w:hanging="720"/>
        <w:rPr>
          <w:rFonts w:ascii="Garamond" w:hAnsi="Garamond"/>
        </w:rPr>
      </w:pPr>
      <w:r w:rsidRPr="003037D2">
        <w:rPr>
          <w:rFonts w:ascii="Garamond" w:hAnsi="Garamond"/>
        </w:rPr>
        <w:t>Walton,</w:t>
      </w:r>
      <w:r w:rsidRPr="003037D2">
        <w:rPr>
          <w:rFonts w:ascii="Garamond" w:hAnsi="Garamond"/>
          <w:i/>
        </w:rPr>
        <w:t xml:space="preserve"> </w:t>
      </w:r>
      <w:proofErr w:type="spellStart"/>
      <w:r w:rsidRPr="003037D2">
        <w:rPr>
          <w:rFonts w:ascii="Garamond" w:hAnsi="Garamond"/>
        </w:rPr>
        <w:t>Izaac</w:t>
      </w:r>
      <w:proofErr w:type="spellEnd"/>
      <w:r w:rsidRPr="003037D2">
        <w:rPr>
          <w:rFonts w:ascii="Garamond" w:hAnsi="Garamond"/>
        </w:rPr>
        <w:t>, ‘</w:t>
      </w:r>
      <w:r w:rsidRPr="003037D2">
        <w:rPr>
          <w:rFonts w:ascii="Garamond" w:hAnsi="Garamond"/>
          <w:iCs/>
        </w:rPr>
        <w:t xml:space="preserve">Life of </w:t>
      </w:r>
      <w:proofErr w:type="spellStart"/>
      <w:r w:rsidRPr="003037D2">
        <w:rPr>
          <w:rFonts w:ascii="Garamond" w:hAnsi="Garamond"/>
          <w:iCs/>
        </w:rPr>
        <w:t>Mr</w:t>
      </w:r>
      <w:proofErr w:type="spellEnd"/>
      <w:r w:rsidRPr="003037D2">
        <w:rPr>
          <w:rFonts w:ascii="Garamond" w:hAnsi="Garamond"/>
          <w:iCs/>
        </w:rPr>
        <w:t xml:space="preserve"> George Herbert’</w:t>
      </w:r>
      <w:r w:rsidRPr="003037D2">
        <w:rPr>
          <w:rFonts w:ascii="Garamond" w:hAnsi="Garamond"/>
          <w:i/>
        </w:rPr>
        <w:t xml:space="preserve"> </w:t>
      </w:r>
      <w:r w:rsidRPr="003037D2">
        <w:rPr>
          <w:rFonts w:ascii="Garamond" w:hAnsi="Garamond"/>
        </w:rPr>
        <w:t xml:space="preserve">in </w:t>
      </w:r>
      <w:r w:rsidRPr="003037D2">
        <w:rPr>
          <w:rFonts w:ascii="Garamond" w:hAnsi="Garamond"/>
          <w:i/>
          <w:iCs/>
        </w:rPr>
        <w:t>George Herbert: The Complete English Poems</w:t>
      </w:r>
      <w:r w:rsidR="0065623B">
        <w:rPr>
          <w:rFonts w:ascii="Garamond" w:hAnsi="Garamond"/>
          <w:i/>
          <w:iCs/>
        </w:rPr>
        <w:t>,</w:t>
      </w:r>
      <w:r w:rsidRPr="003037D2">
        <w:rPr>
          <w:rFonts w:ascii="Garamond" w:hAnsi="Garamond"/>
          <w:i/>
          <w:iCs/>
        </w:rPr>
        <w:t xml:space="preserve"> </w:t>
      </w:r>
      <w:r w:rsidRPr="003037D2">
        <w:rPr>
          <w:rFonts w:ascii="Garamond" w:hAnsi="Garamond"/>
          <w:iCs/>
        </w:rPr>
        <w:t>ed. by John Tobin</w:t>
      </w:r>
      <w:r w:rsidRPr="003037D2">
        <w:rPr>
          <w:rFonts w:ascii="Garamond" w:hAnsi="Garamond"/>
          <w:i/>
          <w:iCs/>
        </w:rPr>
        <w:t xml:space="preserve"> </w:t>
      </w:r>
      <w:r w:rsidRPr="003037D2">
        <w:rPr>
          <w:rFonts w:ascii="Garamond" w:hAnsi="Garamond"/>
        </w:rPr>
        <w:t xml:space="preserve">(London: Penguin, 2004), pp. 265-314 </w:t>
      </w:r>
    </w:p>
    <w:p w14:paraId="25DD6F76" w14:textId="77777777" w:rsidR="00162224" w:rsidRPr="003037D2" w:rsidRDefault="00162224" w:rsidP="00A721D6">
      <w:pPr>
        <w:ind w:left="1361" w:hanging="720"/>
        <w:rPr>
          <w:rFonts w:ascii="Garamond" w:hAnsi="Garamond"/>
        </w:rPr>
      </w:pPr>
      <w:r w:rsidRPr="003037D2">
        <w:rPr>
          <w:rFonts w:ascii="Garamond" w:hAnsi="Garamond"/>
        </w:rPr>
        <w:t xml:space="preserve">Watson, Robert, </w:t>
      </w:r>
      <w:r w:rsidRPr="003037D2">
        <w:rPr>
          <w:rFonts w:ascii="Garamond" w:hAnsi="Garamond"/>
          <w:i/>
        </w:rPr>
        <w:t xml:space="preserve">A </w:t>
      </w:r>
      <w:proofErr w:type="spellStart"/>
      <w:r w:rsidRPr="003037D2">
        <w:rPr>
          <w:rFonts w:ascii="Garamond" w:hAnsi="Garamond"/>
          <w:i/>
        </w:rPr>
        <w:t>doble</w:t>
      </w:r>
      <w:proofErr w:type="spellEnd"/>
      <w:r w:rsidRPr="003037D2">
        <w:rPr>
          <w:rFonts w:ascii="Garamond" w:hAnsi="Garamond"/>
          <w:i/>
        </w:rPr>
        <w:t xml:space="preserve"> </w:t>
      </w:r>
      <w:proofErr w:type="spellStart"/>
      <w:r w:rsidRPr="003037D2">
        <w:rPr>
          <w:rFonts w:ascii="Garamond" w:hAnsi="Garamond"/>
          <w:i/>
        </w:rPr>
        <w:t>almanacke</w:t>
      </w:r>
      <w:proofErr w:type="spellEnd"/>
      <w:r w:rsidRPr="003037D2">
        <w:rPr>
          <w:rFonts w:ascii="Garamond" w:hAnsi="Garamond"/>
          <w:i/>
        </w:rPr>
        <w:t xml:space="preserve"> or </w:t>
      </w:r>
      <w:proofErr w:type="spellStart"/>
      <w:r w:rsidRPr="003037D2">
        <w:rPr>
          <w:rFonts w:ascii="Garamond" w:hAnsi="Garamond"/>
          <w:i/>
        </w:rPr>
        <w:t>kalender</w:t>
      </w:r>
      <w:proofErr w:type="spellEnd"/>
      <w:r w:rsidRPr="003037D2">
        <w:rPr>
          <w:rFonts w:ascii="Garamond" w:hAnsi="Garamond"/>
          <w:i/>
        </w:rPr>
        <w:t xml:space="preserve"> </w:t>
      </w:r>
      <w:proofErr w:type="spellStart"/>
      <w:r w:rsidRPr="003037D2">
        <w:rPr>
          <w:rFonts w:ascii="Garamond" w:hAnsi="Garamond"/>
          <w:i/>
        </w:rPr>
        <w:t>drawne</w:t>
      </w:r>
      <w:proofErr w:type="spellEnd"/>
      <w:r w:rsidRPr="003037D2">
        <w:rPr>
          <w:rFonts w:ascii="Garamond" w:hAnsi="Garamond"/>
          <w:i/>
        </w:rPr>
        <w:t xml:space="preserve"> for this present </w:t>
      </w:r>
      <w:proofErr w:type="spellStart"/>
      <w:r w:rsidRPr="003037D2">
        <w:rPr>
          <w:rFonts w:ascii="Garamond" w:hAnsi="Garamond"/>
          <w:i/>
        </w:rPr>
        <w:t>yeere</w:t>
      </w:r>
      <w:proofErr w:type="spellEnd"/>
      <w:r w:rsidRPr="003037D2">
        <w:rPr>
          <w:rFonts w:ascii="Garamond" w:hAnsi="Garamond"/>
          <w:i/>
        </w:rPr>
        <w:t>, 1600</w:t>
      </w:r>
      <w:r w:rsidRPr="003037D2">
        <w:rPr>
          <w:rFonts w:ascii="Garamond" w:hAnsi="Garamond"/>
        </w:rPr>
        <w:t xml:space="preserve"> (London: Richard Watkins and James Robert, 1600), 30070, Huntington Library, CA </w:t>
      </w:r>
    </w:p>
    <w:p w14:paraId="3B09C3BB" w14:textId="77777777" w:rsidR="00162224" w:rsidRPr="003037D2" w:rsidRDefault="00162224" w:rsidP="00A721D6">
      <w:pPr>
        <w:ind w:left="1361" w:hanging="720"/>
        <w:rPr>
          <w:rFonts w:ascii="Garamond" w:hAnsi="Garamond"/>
        </w:rPr>
      </w:pPr>
      <w:r w:rsidRPr="003037D2">
        <w:rPr>
          <w:rFonts w:ascii="Garamond" w:hAnsi="Garamond"/>
        </w:rPr>
        <w:t xml:space="preserve">Watson, Thomas, </w:t>
      </w:r>
      <w:proofErr w:type="spellStart"/>
      <w:r w:rsidRPr="003037D2">
        <w:rPr>
          <w:rFonts w:ascii="Garamond" w:hAnsi="Garamond"/>
          <w:i/>
          <w:iCs/>
        </w:rPr>
        <w:t>Hekatompathia</w:t>
      </w:r>
      <w:proofErr w:type="spellEnd"/>
      <w:r w:rsidRPr="003037D2">
        <w:rPr>
          <w:rFonts w:ascii="Garamond" w:hAnsi="Garamond"/>
          <w:i/>
          <w:iCs/>
        </w:rPr>
        <w:t xml:space="preserve"> </w:t>
      </w:r>
      <w:r w:rsidRPr="003037D2">
        <w:rPr>
          <w:rFonts w:ascii="Garamond" w:hAnsi="Garamond"/>
          <w:iCs/>
        </w:rPr>
        <w:t>(London: 1582)</w:t>
      </w:r>
    </w:p>
    <w:p w14:paraId="00A6A9D0" w14:textId="77777777" w:rsidR="00162224" w:rsidRPr="003037D2" w:rsidRDefault="00162224" w:rsidP="00A721D6">
      <w:pPr>
        <w:ind w:left="1361" w:hanging="720"/>
        <w:rPr>
          <w:rFonts w:ascii="Garamond" w:hAnsi="Garamond"/>
        </w:rPr>
      </w:pPr>
      <w:r w:rsidRPr="003037D2">
        <w:rPr>
          <w:rFonts w:ascii="Garamond" w:hAnsi="Garamond"/>
        </w:rPr>
        <w:t xml:space="preserve">W.R., </w:t>
      </w:r>
      <w:r w:rsidRPr="003037D2">
        <w:rPr>
          <w:rFonts w:ascii="Garamond" w:hAnsi="Garamond"/>
          <w:i/>
        </w:rPr>
        <w:t>Mount Tabor or Private Exercises of a Penitent Sinner. Serving for a daily Practice of thee life of Faith</w:t>
      </w:r>
      <w:r w:rsidRPr="003037D2">
        <w:rPr>
          <w:rFonts w:ascii="Garamond" w:hAnsi="Garamond"/>
        </w:rPr>
        <w:t xml:space="preserve"> (London, 1639) </w:t>
      </w:r>
    </w:p>
    <w:p w14:paraId="14CD51FA" w14:textId="77777777" w:rsidR="00162224" w:rsidRPr="003037D2" w:rsidRDefault="00162224" w:rsidP="00A721D6">
      <w:pPr>
        <w:ind w:left="1361" w:hanging="720"/>
        <w:rPr>
          <w:rFonts w:ascii="Garamond" w:hAnsi="Garamond"/>
        </w:rPr>
      </w:pPr>
      <w:proofErr w:type="spellStart"/>
      <w:r w:rsidRPr="003037D2">
        <w:rPr>
          <w:rFonts w:ascii="Garamond" w:hAnsi="Garamond"/>
          <w:iCs/>
        </w:rPr>
        <w:t>Wilikins</w:t>
      </w:r>
      <w:proofErr w:type="spellEnd"/>
      <w:r w:rsidRPr="003037D2">
        <w:rPr>
          <w:rFonts w:ascii="Garamond" w:hAnsi="Garamond"/>
          <w:iCs/>
        </w:rPr>
        <w:t xml:space="preserve">, John, </w:t>
      </w:r>
      <w:r w:rsidRPr="003037D2">
        <w:rPr>
          <w:rFonts w:ascii="Garamond" w:hAnsi="Garamond"/>
          <w:i/>
          <w:iCs/>
        </w:rPr>
        <w:t xml:space="preserve">Ecclesiastes, or, A discourse concerning the gift of preaching </w:t>
      </w:r>
      <w:r w:rsidRPr="003037D2">
        <w:rPr>
          <w:rFonts w:ascii="Garamond" w:hAnsi="Garamond"/>
          <w:iCs/>
        </w:rPr>
        <w:t xml:space="preserve">(London, 1651) </w:t>
      </w:r>
    </w:p>
    <w:p w14:paraId="23CEAD41" w14:textId="77777777" w:rsidR="00162224" w:rsidRPr="003037D2" w:rsidRDefault="00162224" w:rsidP="00A721D6">
      <w:pPr>
        <w:ind w:left="1361" w:hanging="720"/>
        <w:rPr>
          <w:rFonts w:ascii="Garamond" w:hAnsi="Garamond"/>
        </w:rPr>
      </w:pPr>
      <w:r w:rsidRPr="003037D2">
        <w:rPr>
          <w:rFonts w:ascii="Garamond" w:hAnsi="Garamond"/>
        </w:rPr>
        <w:t>Wimbledon, Thomas,</w:t>
      </w:r>
      <w:r w:rsidRPr="003037D2">
        <w:rPr>
          <w:rFonts w:ascii="Garamond" w:hAnsi="Garamond"/>
          <w:i/>
          <w:iCs/>
        </w:rPr>
        <w:t xml:space="preserve"> A sermon no </w:t>
      </w:r>
      <w:proofErr w:type="spellStart"/>
      <w:r w:rsidRPr="003037D2">
        <w:rPr>
          <w:rFonts w:ascii="Garamond" w:hAnsi="Garamond"/>
          <w:i/>
          <w:iCs/>
        </w:rPr>
        <w:t>lesse</w:t>
      </w:r>
      <w:proofErr w:type="spellEnd"/>
      <w:r w:rsidRPr="003037D2">
        <w:rPr>
          <w:rFonts w:ascii="Garamond" w:hAnsi="Garamond"/>
          <w:i/>
          <w:iCs/>
        </w:rPr>
        <w:t xml:space="preserve"> </w:t>
      </w:r>
      <w:proofErr w:type="spellStart"/>
      <w:r w:rsidRPr="003037D2">
        <w:rPr>
          <w:rFonts w:ascii="Garamond" w:hAnsi="Garamond"/>
          <w:i/>
          <w:iCs/>
        </w:rPr>
        <w:t>fruitefull</w:t>
      </w:r>
      <w:proofErr w:type="spellEnd"/>
      <w:r w:rsidRPr="003037D2">
        <w:rPr>
          <w:rFonts w:ascii="Garamond" w:hAnsi="Garamond"/>
          <w:i/>
          <w:iCs/>
        </w:rPr>
        <w:t xml:space="preserve"> then famous Preached at Paules Crosse, on the Sunday of </w:t>
      </w:r>
      <w:proofErr w:type="spellStart"/>
      <w:r w:rsidRPr="003037D2">
        <w:rPr>
          <w:rFonts w:ascii="Garamond" w:hAnsi="Garamond"/>
          <w:i/>
          <w:iCs/>
        </w:rPr>
        <w:t>quinquagesima</w:t>
      </w:r>
      <w:proofErr w:type="spellEnd"/>
      <w:r w:rsidRPr="003037D2">
        <w:rPr>
          <w:rFonts w:ascii="Garamond" w:hAnsi="Garamond"/>
          <w:i/>
          <w:iCs/>
        </w:rPr>
        <w:t xml:space="preserve">, by R. Wimbledon, in the </w:t>
      </w:r>
      <w:proofErr w:type="spellStart"/>
      <w:r w:rsidRPr="003037D2">
        <w:rPr>
          <w:rFonts w:ascii="Garamond" w:hAnsi="Garamond"/>
          <w:i/>
          <w:iCs/>
        </w:rPr>
        <w:t>raigne</w:t>
      </w:r>
      <w:proofErr w:type="spellEnd"/>
      <w:r w:rsidRPr="003037D2">
        <w:rPr>
          <w:rFonts w:ascii="Garamond" w:hAnsi="Garamond"/>
          <w:i/>
          <w:iCs/>
        </w:rPr>
        <w:t xml:space="preserve"> of King Henry the fourth, in the </w:t>
      </w:r>
      <w:proofErr w:type="spellStart"/>
      <w:r w:rsidRPr="003037D2">
        <w:rPr>
          <w:rFonts w:ascii="Garamond" w:hAnsi="Garamond"/>
          <w:i/>
          <w:iCs/>
        </w:rPr>
        <w:t>yeere</w:t>
      </w:r>
      <w:proofErr w:type="spellEnd"/>
      <w:r w:rsidRPr="003037D2">
        <w:rPr>
          <w:rFonts w:ascii="Garamond" w:hAnsi="Garamond"/>
          <w:i/>
          <w:iCs/>
        </w:rPr>
        <w:t xml:space="preserve"> of our Lord. 1388. And found out hid in a wall. </w:t>
      </w:r>
      <w:r w:rsidRPr="003037D2">
        <w:rPr>
          <w:rFonts w:ascii="Garamond" w:hAnsi="Garamond"/>
        </w:rPr>
        <w:t xml:space="preserve"> (London: 1629) </w:t>
      </w:r>
    </w:p>
    <w:p w14:paraId="4AD955E4" w14:textId="77777777" w:rsidR="00162224" w:rsidRPr="003037D2" w:rsidRDefault="00162224" w:rsidP="00A721D6">
      <w:pPr>
        <w:ind w:left="1361" w:hanging="720"/>
        <w:rPr>
          <w:rFonts w:ascii="Garamond" w:hAnsi="Garamond"/>
        </w:rPr>
      </w:pPr>
      <w:r w:rsidRPr="003037D2">
        <w:rPr>
          <w:rFonts w:ascii="Garamond" w:hAnsi="Garamond"/>
        </w:rPr>
        <w:t xml:space="preserve">Wing, Vincent, </w:t>
      </w:r>
      <w:r w:rsidRPr="003037D2">
        <w:rPr>
          <w:rFonts w:ascii="Garamond" w:hAnsi="Garamond"/>
          <w:i/>
        </w:rPr>
        <w:t xml:space="preserve">An </w:t>
      </w:r>
      <w:proofErr w:type="gramStart"/>
      <w:r w:rsidRPr="003037D2">
        <w:rPr>
          <w:rFonts w:ascii="Garamond" w:hAnsi="Garamond"/>
          <w:i/>
        </w:rPr>
        <w:t>ephemerides</w:t>
      </w:r>
      <w:proofErr w:type="gramEnd"/>
      <w:r w:rsidRPr="003037D2">
        <w:rPr>
          <w:rFonts w:ascii="Garamond" w:hAnsi="Garamond"/>
          <w:i/>
        </w:rPr>
        <w:t xml:space="preserve"> of the </w:t>
      </w:r>
      <w:proofErr w:type="spellStart"/>
      <w:r w:rsidRPr="003037D2">
        <w:rPr>
          <w:rFonts w:ascii="Garamond" w:hAnsi="Garamond"/>
          <w:i/>
        </w:rPr>
        <w:t>coelestiall</w:t>
      </w:r>
      <w:proofErr w:type="spellEnd"/>
      <w:r w:rsidRPr="003037D2">
        <w:rPr>
          <w:rFonts w:ascii="Garamond" w:hAnsi="Garamond"/>
          <w:i/>
        </w:rPr>
        <w:t xml:space="preserve"> motions for XIII years. Beginning anno 1659. ending anno 1671 </w:t>
      </w:r>
      <w:r w:rsidRPr="003037D2">
        <w:rPr>
          <w:rFonts w:ascii="Garamond" w:hAnsi="Garamond"/>
        </w:rPr>
        <w:t xml:space="preserve">(London: R. &amp; W. </w:t>
      </w:r>
      <w:proofErr w:type="spellStart"/>
      <w:r w:rsidRPr="003037D2">
        <w:rPr>
          <w:rFonts w:ascii="Garamond" w:hAnsi="Garamond"/>
        </w:rPr>
        <w:t>Leybourn</w:t>
      </w:r>
      <w:proofErr w:type="spellEnd"/>
      <w:r w:rsidRPr="003037D2">
        <w:rPr>
          <w:rFonts w:ascii="Garamond" w:hAnsi="Garamond"/>
        </w:rPr>
        <w:t>, 1658) 433581 pt.2, Huntington Library, CA</w:t>
      </w:r>
    </w:p>
    <w:p w14:paraId="0EC0E1A9" w14:textId="77777777" w:rsidR="00162224" w:rsidRPr="003037D2" w:rsidRDefault="00162224" w:rsidP="00A721D6">
      <w:pPr>
        <w:ind w:left="1361" w:hanging="720"/>
        <w:rPr>
          <w:rFonts w:ascii="Garamond" w:hAnsi="Garamond"/>
        </w:rPr>
      </w:pPr>
      <w:r w:rsidRPr="003037D2">
        <w:rPr>
          <w:rFonts w:ascii="Garamond" w:hAnsi="Garamond"/>
        </w:rPr>
        <w:t xml:space="preserve">Wharton, George, </w:t>
      </w:r>
      <w:proofErr w:type="spellStart"/>
      <w:r w:rsidRPr="003037D2">
        <w:rPr>
          <w:rFonts w:ascii="Garamond" w:hAnsi="Garamond"/>
          <w:i/>
        </w:rPr>
        <w:t>Calendarium</w:t>
      </w:r>
      <w:proofErr w:type="spellEnd"/>
      <w:r w:rsidRPr="003037D2">
        <w:rPr>
          <w:rFonts w:ascii="Garamond" w:hAnsi="Garamond"/>
          <w:i/>
        </w:rPr>
        <w:t xml:space="preserve"> </w:t>
      </w:r>
      <w:proofErr w:type="spellStart"/>
      <w:r w:rsidRPr="003037D2">
        <w:rPr>
          <w:rFonts w:ascii="Garamond" w:hAnsi="Garamond"/>
          <w:i/>
        </w:rPr>
        <w:t>ecclesiasticum</w:t>
      </w:r>
      <w:proofErr w:type="spellEnd"/>
      <w:r w:rsidRPr="003037D2">
        <w:rPr>
          <w:rFonts w:ascii="Garamond" w:hAnsi="Garamond"/>
          <w:i/>
        </w:rPr>
        <w:t xml:space="preserve">: or, A new almanack after the old fashion </w:t>
      </w:r>
      <w:r w:rsidRPr="003037D2">
        <w:rPr>
          <w:rFonts w:ascii="Garamond" w:hAnsi="Garamond"/>
        </w:rPr>
        <w:t xml:space="preserve">(London: J. </w:t>
      </w:r>
      <w:proofErr w:type="spellStart"/>
      <w:r w:rsidRPr="003037D2">
        <w:rPr>
          <w:rFonts w:ascii="Garamond" w:hAnsi="Garamond"/>
        </w:rPr>
        <w:t>Grismond</w:t>
      </w:r>
      <w:proofErr w:type="spellEnd"/>
      <w:r w:rsidRPr="003037D2">
        <w:rPr>
          <w:rFonts w:ascii="Garamond" w:hAnsi="Garamond"/>
        </w:rPr>
        <w:t xml:space="preserve">, 1659), 479104, Huntington Library, CA </w:t>
      </w:r>
    </w:p>
    <w:p w14:paraId="189DD9AD" w14:textId="77777777" w:rsidR="00162224" w:rsidRPr="003037D2" w:rsidRDefault="00162224" w:rsidP="00A721D6">
      <w:pPr>
        <w:ind w:left="1361" w:hanging="720"/>
        <w:rPr>
          <w:rFonts w:ascii="Garamond" w:hAnsi="Garamond"/>
        </w:rPr>
      </w:pPr>
      <w:r w:rsidRPr="003037D2">
        <w:rPr>
          <w:rFonts w:ascii="Garamond" w:hAnsi="Garamond"/>
          <w:color w:val="000000"/>
          <w:shd w:val="clear" w:color="auto" w:fill="FFFFFF"/>
        </w:rPr>
        <w:t>___</w:t>
      </w:r>
      <w:proofErr w:type="gramStart"/>
      <w:r w:rsidRPr="003037D2">
        <w:rPr>
          <w:rFonts w:ascii="Garamond" w:hAnsi="Garamond"/>
          <w:color w:val="000000"/>
          <w:shd w:val="clear" w:color="auto" w:fill="FFFFFF"/>
        </w:rPr>
        <w:t>_ ,</w:t>
      </w:r>
      <w:proofErr w:type="gramEnd"/>
      <w:r w:rsidRPr="003037D2">
        <w:rPr>
          <w:rFonts w:ascii="Garamond" w:hAnsi="Garamond"/>
          <w:color w:val="000000"/>
          <w:shd w:val="clear" w:color="auto" w:fill="FFFFFF"/>
        </w:rPr>
        <w:t xml:space="preserve"> </w:t>
      </w:r>
      <w:proofErr w:type="spellStart"/>
      <w:r w:rsidRPr="003037D2">
        <w:rPr>
          <w:rFonts w:ascii="Garamond" w:hAnsi="Garamond"/>
          <w:i/>
        </w:rPr>
        <w:t>Hemeroscopeion</w:t>
      </w:r>
      <w:proofErr w:type="spellEnd"/>
      <w:r w:rsidRPr="003037D2">
        <w:rPr>
          <w:rFonts w:ascii="Garamond" w:hAnsi="Garamond"/>
          <w:i/>
        </w:rPr>
        <w:t xml:space="preserve"> </w:t>
      </w:r>
      <w:proofErr w:type="spellStart"/>
      <w:r w:rsidRPr="003037D2">
        <w:rPr>
          <w:rFonts w:ascii="Garamond" w:hAnsi="Garamond"/>
          <w:i/>
        </w:rPr>
        <w:t>anni</w:t>
      </w:r>
      <w:proofErr w:type="spellEnd"/>
      <w:r w:rsidRPr="003037D2">
        <w:rPr>
          <w:rFonts w:ascii="Garamond" w:hAnsi="Garamond"/>
          <w:i/>
        </w:rPr>
        <w:t xml:space="preserve"> </w:t>
      </w:r>
      <w:proofErr w:type="spellStart"/>
      <w:r w:rsidRPr="003037D2">
        <w:rPr>
          <w:rFonts w:ascii="Garamond" w:hAnsi="Garamond"/>
          <w:i/>
        </w:rPr>
        <w:t>aerae</w:t>
      </w:r>
      <w:proofErr w:type="spellEnd"/>
      <w:r w:rsidRPr="003037D2">
        <w:rPr>
          <w:rFonts w:ascii="Garamond" w:hAnsi="Garamond"/>
          <w:i/>
        </w:rPr>
        <w:t xml:space="preserve"> </w:t>
      </w:r>
      <w:proofErr w:type="spellStart"/>
      <w:r w:rsidRPr="003037D2">
        <w:rPr>
          <w:rFonts w:ascii="Garamond" w:hAnsi="Garamond"/>
          <w:i/>
        </w:rPr>
        <w:t>Christianae</w:t>
      </w:r>
      <w:proofErr w:type="spellEnd"/>
      <w:r w:rsidRPr="003037D2">
        <w:rPr>
          <w:rFonts w:ascii="Garamond" w:hAnsi="Garamond"/>
          <w:i/>
        </w:rPr>
        <w:t xml:space="preserve">, 1654 </w:t>
      </w:r>
      <w:r w:rsidRPr="003037D2">
        <w:rPr>
          <w:rFonts w:ascii="Garamond" w:hAnsi="Garamond"/>
        </w:rPr>
        <w:t>(London: J.G., 1654), 148533, Huntington Library, CA</w:t>
      </w:r>
    </w:p>
    <w:p w14:paraId="7AB48E0C" w14:textId="77777777" w:rsidR="00162224" w:rsidRPr="003037D2" w:rsidRDefault="00162224" w:rsidP="00A721D6">
      <w:pPr>
        <w:ind w:left="1361" w:hanging="720"/>
        <w:rPr>
          <w:rFonts w:ascii="Garamond" w:hAnsi="Garamond"/>
        </w:rPr>
      </w:pPr>
      <w:r w:rsidRPr="003037D2">
        <w:rPr>
          <w:rFonts w:ascii="Garamond" w:hAnsi="Garamond"/>
        </w:rPr>
        <w:t xml:space="preserve">Whitgift, John, A </w:t>
      </w:r>
      <w:proofErr w:type="spellStart"/>
      <w:r w:rsidRPr="003037D2">
        <w:rPr>
          <w:rFonts w:ascii="Garamond" w:hAnsi="Garamond"/>
        </w:rPr>
        <w:t>Godlie</w:t>
      </w:r>
      <w:proofErr w:type="spellEnd"/>
      <w:r w:rsidRPr="003037D2">
        <w:rPr>
          <w:rFonts w:ascii="Garamond" w:hAnsi="Garamond"/>
        </w:rPr>
        <w:t xml:space="preserve"> Sermon (London: 1574)</w:t>
      </w:r>
    </w:p>
    <w:p w14:paraId="7BBA5825" w14:textId="77777777" w:rsidR="00162224" w:rsidRPr="003037D2" w:rsidRDefault="00162224" w:rsidP="00A721D6">
      <w:pPr>
        <w:ind w:left="1361" w:hanging="720"/>
        <w:rPr>
          <w:rFonts w:ascii="Garamond" w:hAnsi="Garamond"/>
        </w:rPr>
      </w:pPr>
      <w:r w:rsidRPr="003037D2">
        <w:rPr>
          <w:rFonts w:ascii="Garamond" w:hAnsi="Garamond"/>
        </w:rPr>
        <w:t xml:space="preserve">Willan, Edward, </w:t>
      </w:r>
      <w:r w:rsidRPr="003037D2">
        <w:rPr>
          <w:rFonts w:ascii="Garamond" w:hAnsi="Garamond"/>
          <w:i/>
        </w:rPr>
        <w:t xml:space="preserve">Six Sermons </w:t>
      </w:r>
      <w:r w:rsidRPr="003037D2">
        <w:rPr>
          <w:rFonts w:ascii="Garamond" w:hAnsi="Garamond"/>
        </w:rPr>
        <w:t>(London: 1651)</w:t>
      </w:r>
    </w:p>
    <w:p w14:paraId="36D471F6" w14:textId="77777777" w:rsidR="00162224" w:rsidRPr="003037D2" w:rsidRDefault="00162224" w:rsidP="00A721D6">
      <w:pPr>
        <w:ind w:left="1361" w:hanging="720"/>
        <w:rPr>
          <w:rFonts w:ascii="Garamond" w:hAnsi="Garamond"/>
        </w:rPr>
      </w:pPr>
      <w:r w:rsidRPr="003037D2">
        <w:rPr>
          <w:rFonts w:ascii="Garamond" w:hAnsi="Garamond"/>
        </w:rPr>
        <w:t xml:space="preserve">Woodhouse, John, </w:t>
      </w:r>
      <w:r w:rsidRPr="003037D2">
        <w:rPr>
          <w:rFonts w:ascii="Garamond" w:hAnsi="Garamond"/>
          <w:i/>
        </w:rPr>
        <w:t xml:space="preserve">A </w:t>
      </w:r>
      <w:proofErr w:type="spellStart"/>
      <w:r w:rsidRPr="003037D2">
        <w:rPr>
          <w:rFonts w:ascii="Garamond" w:hAnsi="Garamond"/>
          <w:i/>
        </w:rPr>
        <w:t>plaine</w:t>
      </w:r>
      <w:proofErr w:type="spellEnd"/>
      <w:r w:rsidRPr="003037D2">
        <w:rPr>
          <w:rFonts w:ascii="Garamond" w:hAnsi="Garamond"/>
          <w:i/>
        </w:rPr>
        <w:t xml:space="preserve"> almanack or prognostication, for the </w:t>
      </w:r>
      <w:proofErr w:type="spellStart"/>
      <w:r w:rsidRPr="003037D2">
        <w:rPr>
          <w:rFonts w:ascii="Garamond" w:hAnsi="Garamond"/>
          <w:i/>
        </w:rPr>
        <w:t>yeare</w:t>
      </w:r>
      <w:proofErr w:type="spellEnd"/>
      <w:r w:rsidRPr="003037D2">
        <w:rPr>
          <w:rFonts w:ascii="Garamond" w:hAnsi="Garamond"/>
          <w:i/>
        </w:rPr>
        <w:t xml:space="preserve"> of our Lord God</w:t>
      </w:r>
      <w:r w:rsidRPr="003037D2">
        <w:rPr>
          <w:rFonts w:ascii="Garamond" w:hAnsi="Garamond"/>
        </w:rPr>
        <w:t xml:space="preserve"> (London: Company of Stationers, 1617) 59332, Huntington Library, CA </w:t>
      </w:r>
    </w:p>
    <w:p w14:paraId="0F24C136" w14:textId="77777777" w:rsidR="00162224" w:rsidRPr="003037D2" w:rsidRDefault="00162224" w:rsidP="00A721D6">
      <w:pPr>
        <w:ind w:left="1361" w:hanging="720"/>
        <w:rPr>
          <w:rFonts w:ascii="Garamond" w:hAnsi="Garamond"/>
        </w:rPr>
      </w:pPr>
      <w:r w:rsidRPr="003037D2">
        <w:rPr>
          <w:rFonts w:ascii="Garamond" w:hAnsi="Garamond"/>
        </w:rPr>
        <w:t xml:space="preserve">Vaughan, Edward, </w:t>
      </w:r>
      <w:r w:rsidRPr="003037D2">
        <w:rPr>
          <w:rFonts w:ascii="Garamond" w:hAnsi="Garamond"/>
          <w:i/>
          <w:iCs/>
        </w:rPr>
        <w:t xml:space="preserve">A </w:t>
      </w:r>
      <w:proofErr w:type="spellStart"/>
      <w:r w:rsidRPr="003037D2">
        <w:rPr>
          <w:rFonts w:ascii="Garamond" w:hAnsi="Garamond"/>
          <w:i/>
          <w:iCs/>
        </w:rPr>
        <w:t>plaine</w:t>
      </w:r>
      <w:proofErr w:type="spellEnd"/>
      <w:r w:rsidRPr="003037D2">
        <w:rPr>
          <w:rFonts w:ascii="Garamond" w:hAnsi="Garamond"/>
          <w:i/>
          <w:iCs/>
        </w:rPr>
        <w:t xml:space="preserve"> and perfect method </w:t>
      </w:r>
      <w:r w:rsidRPr="003037D2">
        <w:rPr>
          <w:rFonts w:ascii="Garamond" w:hAnsi="Garamond"/>
        </w:rPr>
        <w:t>(London: 1617)</w:t>
      </w:r>
    </w:p>
    <w:p w14:paraId="1014FC1A" w14:textId="77777777" w:rsidR="00162224" w:rsidRPr="003037D2" w:rsidRDefault="00162224" w:rsidP="00A721D6">
      <w:pPr>
        <w:ind w:left="1361" w:hanging="720"/>
        <w:rPr>
          <w:rFonts w:ascii="Garamond" w:hAnsi="Garamond"/>
        </w:rPr>
      </w:pPr>
      <w:r w:rsidRPr="003037D2">
        <w:rPr>
          <w:rFonts w:ascii="Garamond" w:hAnsi="Garamond"/>
        </w:rPr>
        <w:t xml:space="preserve">Vaughan, Lewes, </w:t>
      </w:r>
      <w:r w:rsidRPr="003037D2">
        <w:rPr>
          <w:rFonts w:ascii="Garamond" w:hAnsi="Garamond"/>
          <w:i/>
        </w:rPr>
        <w:t xml:space="preserve">A new </w:t>
      </w:r>
      <w:proofErr w:type="spellStart"/>
      <w:r w:rsidRPr="003037D2">
        <w:rPr>
          <w:rFonts w:ascii="Garamond" w:hAnsi="Garamond"/>
          <w:i/>
        </w:rPr>
        <w:t>almanacke</w:t>
      </w:r>
      <w:proofErr w:type="spellEnd"/>
      <w:r w:rsidRPr="003037D2">
        <w:rPr>
          <w:rFonts w:ascii="Garamond" w:hAnsi="Garamond"/>
          <w:i/>
        </w:rPr>
        <w:t xml:space="preserve"> and prognostication, collected for the </w:t>
      </w:r>
      <w:proofErr w:type="spellStart"/>
      <w:r w:rsidRPr="003037D2">
        <w:rPr>
          <w:rFonts w:ascii="Garamond" w:hAnsi="Garamond"/>
          <w:i/>
        </w:rPr>
        <w:t>yeare</w:t>
      </w:r>
      <w:proofErr w:type="spellEnd"/>
      <w:r w:rsidRPr="003037D2">
        <w:rPr>
          <w:rFonts w:ascii="Garamond" w:hAnsi="Garamond"/>
          <w:i/>
        </w:rPr>
        <w:t xml:space="preserve"> of our Lord God </w:t>
      </w:r>
      <w:r w:rsidRPr="003037D2">
        <w:rPr>
          <w:rFonts w:ascii="Garamond" w:hAnsi="Garamond"/>
        </w:rPr>
        <w:t xml:space="preserve">(London: Thomas </w:t>
      </w:r>
      <w:proofErr w:type="spellStart"/>
      <w:r w:rsidRPr="003037D2">
        <w:rPr>
          <w:rFonts w:ascii="Garamond" w:hAnsi="Garamond"/>
        </w:rPr>
        <w:t>Marshe</w:t>
      </w:r>
      <w:proofErr w:type="spellEnd"/>
      <w:r w:rsidRPr="003037D2">
        <w:rPr>
          <w:rFonts w:ascii="Garamond" w:hAnsi="Garamond"/>
        </w:rPr>
        <w:t xml:space="preserve">, 1559), 59523, Huntington Library, CA </w:t>
      </w:r>
    </w:p>
    <w:p w14:paraId="10182FDD" w14:textId="77777777" w:rsidR="00162224" w:rsidRPr="003037D2" w:rsidRDefault="00162224" w:rsidP="00A721D6">
      <w:pPr>
        <w:ind w:left="1361" w:hanging="720"/>
        <w:rPr>
          <w:rFonts w:ascii="Garamond" w:hAnsi="Garamond"/>
        </w:rPr>
      </w:pPr>
      <w:r w:rsidRPr="003037D2">
        <w:rPr>
          <w:rFonts w:ascii="Garamond" w:hAnsi="Garamond"/>
          <w:i/>
          <w:iCs/>
        </w:rPr>
        <w:t xml:space="preserve">The Vindication of the </w:t>
      </w:r>
      <w:proofErr w:type="spellStart"/>
      <w:r w:rsidRPr="003037D2">
        <w:rPr>
          <w:rFonts w:ascii="Garamond" w:hAnsi="Garamond"/>
          <w:i/>
          <w:iCs/>
        </w:rPr>
        <w:t>cobler</w:t>
      </w:r>
      <w:proofErr w:type="spellEnd"/>
      <w:r w:rsidRPr="003037D2">
        <w:rPr>
          <w:rFonts w:ascii="Garamond" w:hAnsi="Garamond"/>
          <w:i/>
          <w:iCs/>
        </w:rPr>
        <w:t xml:space="preserve">, being a </w:t>
      </w:r>
      <w:proofErr w:type="spellStart"/>
      <w:r w:rsidRPr="003037D2">
        <w:rPr>
          <w:rFonts w:ascii="Garamond" w:hAnsi="Garamond"/>
          <w:i/>
          <w:iCs/>
        </w:rPr>
        <w:t>briefe</w:t>
      </w:r>
      <w:proofErr w:type="spellEnd"/>
      <w:r w:rsidRPr="003037D2">
        <w:rPr>
          <w:rFonts w:ascii="Garamond" w:hAnsi="Garamond"/>
          <w:i/>
          <w:iCs/>
        </w:rPr>
        <w:t xml:space="preserve"> publication of his doctrine, or, </w:t>
      </w:r>
      <w:proofErr w:type="spellStart"/>
      <w:r w:rsidRPr="003037D2">
        <w:rPr>
          <w:rFonts w:ascii="Garamond" w:hAnsi="Garamond"/>
          <w:i/>
          <w:iCs/>
        </w:rPr>
        <w:t>Certaine</w:t>
      </w:r>
      <w:proofErr w:type="spellEnd"/>
      <w:r w:rsidRPr="003037D2">
        <w:rPr>
          <w:rFonts w:ascii="Garamond" w:hAnsi="Garamond"/>
          <w:i/>
          <w:iCs/>
        </w:rPr>
        <w:t xml:space="preserve"> </w:t>
      </w:r>
      <w:proofErr w:type="spellStart"/>
      <w:r w:rsidRPr="003037D2">
        <w:rPr>
          <w:rFonts w:ascii="Garamond" w:hAnsi="Garamond"/>
          <w:i/>
          <w:iCs/>
        </w:rPr>
        <w:t>tenents</w:t>
      </w:r>
      <w:proofErr w:type="spellEnd"/>
      <w:r w:rsidRPr="003037D2">
        <w:rPr>
          <w:rFonts w:ascii="Garamond" w:hAnsi="Garamond"/>
          <w:i/>
          <w:iCs/>
        </w:rPr>
        <w:t xml:space="preserve"> collected out of the sermon of Samuel How, a </w:t>
      </w:r>
      <w:proofErr w:type="spellStart"/>
      <w:r w:rsidRPr="003037D2">
        <w:rPr>
          <w:rFonts w:ascii="Garamond" w:hAnsi="Garamond"/>
          <w:i/>
          <w:iCs/>
        </w:rPr>
        <w:t>cobler</w:t>
      </w:r>
      <w:proofErr w:type="spellEnd"/>
      <w:r w:rsidRPr="003037D2">
        <w:rPr>
          <w:rFonts w:ascii="Garamond" w:hAnsi="Garamond"/>
          <w:i/>
          <w:iCs/>
        </w:rPr>
        <w:t xml:space="preserve"> in Long Ally in </w:t>
      </w:r>
      <w:proofErr w:type="spellStart"/>
      <w:r w:rsidRPr="003037D2">
        <w:rPr>
          <w:rFonts w:ascii="Garamond" w:hAnsi="Garamond"/>
          <w:i/>
          <w:iCs/>
        </w:rPr>
        <w:t>Morefields</w:t>
      </w:r>
      <w:proofErr w:type="spellEnd"/>
      <w:r w:rsidRPr="003037D2">
        <w:rPr>
          <w:rFonts w:ascii="Garamond" w:hAnsi="Garamond"/>
          <w:i/>
          <w:iCs/>
        </w:rPr>
        <w:t xml:space="preserve"> </w:t>
      </w:r>
      <w:r w:rsidRPr="003037D2">
        <w:rPr>
          <w:rFonts w:ascii="Garamond" w:hAnsi="Garamond"/>
        </w:rPr>
        <w:t>(London: 1640)</w:t>
      </w:r>
    </w:p>
    <w:p w14:paraId="0AF0F087" w14:textId="77777777" w:rsidR="00162224" w:rsidRPr="003037D2" w:rsidRDefault="00162224" w:rsidP="00A721D6">
      <w:pPr>
        <w:ind w:left="1361" w:hanging="720"/>
        <w:rPr>
          <w:rFonts w:ascii="Garamond" w:hAnsi="Garamond"/>
        </w:rPr>
      </w:pPr>
    </w:p>
    <w:p w14:paraId="58482A35" w14:textId="77777777" w:rsidR="00162224" w:rsidRPr="003037D2" w:rsidRDefault="00162224" w:rsidP="00A721D6">
      <w:pPr>
        <w:ind w:left="1361" w:hanging="720"/>
        <w:rPr>
          <w:rFonts w:ascii="Garamond" w:hAnsi="Garamond"/>
        </w:rPr>
      </w:pPr>
    </w:p>
    <w:p w14:paraId="638811D0" w14:textId="77777777" w:rsidR="00162224" w:rsidRPr="003037D2" w:rsidRDefault="00162224" w:rsidP="00A721D6">
      <w:pPr>
        <w:pStyle w:val="Heading2"/>
        <w:numPr>
          <w:ilvl w:val="0"/>
          <w:numId w:val="44"/>
        </w:numPr>
        <w:spacing w:line="240" w:lineRule="auto"/>
        <w:ind w:left="1361"/>
        <w:rPr>
          <w:bCs w:val="0"/>
          <w:i w:val="0"/>
          <w:iCs/>
          <w:sz w:val="22"/>
          <w:szCs w:val="22"/>
        </w:rPr>
      </w:pPr>
      <w:bookmarkStart w:id="255" w:name="_Toc3967204"/>
      <w:r w:rsidRPr="003037D2">
        <w:rPr>
          <w:bCs w:val="0"/>
          <w:i w:val="0"/>
          <w:iCs/>
          <w:sz w:val="22"/>
          <w:szCs w:val="22"/>
        </w:rPr>
        <w:t>Manuscripts</w:t>
      </w:r>
      <w:bookmarkEnd w:id="255"/>
      <w:r w:rsidRPr="003037D2">
        <w:rPr>
          <w:bCs w:val="0"/>
          <w:i w:val="0"/>
          <w:iCs/>
          <w:sz w:val="22"/>
          <w:szCs w:val="22"/>
        </w:rPr>
        <w:t xml:space="preserve"> </w:t>
      </w:r>
    </w:p>
    <w:p w14:paraId="76203B3D" w14:textId="77777777" w:rsidR="00162224" w:rsidRPr="003037D2" w:rsidRDefault="00162224" w:rsidP="00A721D6">
      <w:pPr>
        <w:ind w:left="1361" w:hanging="720"/>
        <w:rPr>
          <w:rFonts w:ascii="Garamond" w:hAnsi="Garamond"/>
        </w:rPr>
      </w:pPr>
    </w:p>
    <w:p w14:paraId="4D8D9BD4" w14:textId="77777777" w:rsidR="00162224" w:rsidRPr="003037D2" w:rsidRDefault="00162224" w:rsidP="00A721D6">
      <w:pPr>
        <w:ind w:left="1361" w:hanging="720"/>
        <w:rPr>
          <w:rFonts w:ascii="Garamond" w:hAnsi="Garamond"/>
        </w:rPr>
      </w:pPr>
      <w:r w:rsidRPr="003037D2">
        <w:rPr>
          <w:rFonts w:ascii="Garamond" w:hAnsi="Garamond"/>
        </w:rPr>
        <w:t>Edinburgh, New College Library, MS PAT2, Sermons by Covenanters transcribed by Robert Patterson</w:t>
      </w:r>
    </w:p>
    <w:p w14:paraId="4C9FF9D8" w14:textId="77777777" w:rsidR="00162224" w:rsidRPr="003037D2" w:rsidRDefault="00162224" w:rsidP="00A721D6">
      <w:pPr>
        <w:ind w:left="1361" w:hanging="720"/>
        <w:rPr>
          <w:rFonts w:ascii="Garamond" w:hAnsi="Garamond"/>
        </w:rPr>
      </w:pPr>
      <w:r w:rsidRPr="003037D2">
        <w:rPr>
          <w:rFonts w:ascii="Garamond" w:hAnsi="Garamond"/>
        </w:rPr>
        <w:t xml:space="preserve">Leeds, Brotherton Library, Yorkshire Archaeological Society records, Sermons of Rev. Francis </w:t>
      </w:r>
      <w:proofErr w:type="spellStart"/>
      <w:r w:rsidRPr="003037D2">
        <w:rPr>
          <w:rFonts w:ascii="Garamond" w:hAnsi="Garamond"/>
        </w:rPr>
        <w:t>Nevile</w:t>
      </w:r>
      <w:proofErr w:type="spellEnd"/>
      <w:r w:rsidRPr="003037D2">
        <w:rPr>
          <w:rFonts w:ascii="Garamond" w:hAnsi="Garamond"/>
        </w:rPr>
        <w:t xml:space="preserve"> of Chevet Park, MD335/3/12/5</w:t>
      </w:r>
    </w:p>
    <w:p w14:paraId="3040A78A" w14:textId="77777777" w:rsidR="00162224" w:rsidRPr="003037D2" w:rsidRDefault="00162224" w:rsidP="00A721D6">
      <w:pPr>
        <w:ind w:left="1361" w:hanging="720"/>
        <w:rPr>
          <w:rFonts w:ascii="Garamond" w:hAnsi="Garamond"/>
        </w:rPr>
      </w:pPr>
      <w:r w:rsidRPr="003037D2">
        <w:rPr>
          <w:rFonts w:ascii="Garamond" w:hAnsi="Garamond"/>
        </w:rPr>
        <w:t>London, British Library, Add MS 18044</w:t>
      </w:r>
    </w:p>
    <w:p w14:paraId="3B682B54" w14:textId="77777777" w:rsidR="00162224" w:rsidRPr="003037D2" w:rsidRDefault="00162224" w:rsidP="00A721D6">
      <w:pPr>
        <w:ind w:left="1361" w:hanging="720"/>
        <w:rPr>
          <w:rFonts w:ascii="Garamond" w:hAnsi="Garamond"/>
        </w:rPr>
      </w:pPr>
      <w:r w:rsidRPr="003037D2">
        <w:rPr>
          <w:rFonts w:ascii="Garamond" w:hAnsi="Garamond"/>
        </w:rPr>
        <w:t xml:space="preserve">London, British Library, Add MS 22602 </w:t>
      </w:r>
    </w:p>
    <w:p w14:paraId="26531952" w14:textId="77777777" w:rsidR="00162224" w:rsidRPr="003037D2" w:rsidRDefault="00162224" w:rsidP="00A721D6">
      <w:pPr>
        <w:ind w:left="1361" w:hanging="720"/>
        <w:rPr>
          <w:rFonts w:ascii="Garamond" w:hAnsi="Garamond"/>
        </w:rPr>
      </w:pPr>
      <w:r w:rsidRPr="003037D2">
        <w:rPr>
          <w:rFonts w:ascii="Garamond" w:hAnsi="Garamond"/>
        </w:rPr>
        <w:t>London, British Library, Add MS 45964</w:t>
      </w:r>
    </w:p>
    <w:p w14:paraId="5CFF3687" w14:textId="77777777" w:rsidR="00162224" w:rsidRPr="003037D2" w:rsidRDefault="00162224" w:rsidP="00A721D6">
      <w:pPr>
        <w:ind w:left="1361" w:hanging="720"/>
        <w:rPr>
          <w:rFonts w:ascii="Garamond" w:hAnsi="Garamond"/>
        </w:rPr>
      </w:pPr>
      <w:r w:rsidRPr="003037D2">
        <w:rPr>
          <w:rFonts w:ascii="Garamond" w:hAnsi="Garamond"/>
        </w:rPr>
        <w:t>London, British Library, Add MS 45965, The diary of Rev. Oliver Heywood</w:t>
      </w:r>
    </w:p>
    <w:p w14:paraId="45DBCDC8" w14:textId="688A7455" w:rsidR="00162224" w:rsidRPr="003037D2" w:rsidRDefault="00162224" w:rsidP="00A721D6">
      <w:pPr>
        <w:ind w:left="1361" w:hanging="720"/>
        <w:rPr>
          <w:rFonts w:ascii="Garamond" w:hAnsi="Garamond"/>
        </w:rPr>
      </w:pPr>
      <w:r w:rsidRPr="003037D2">
        <w:rPr>
          <w:rFonts w:ascii="Garamond" w:hAnsi="Garamond"/>
        </w:rPr>
        <w:t xml:space="preserve">London, </w:t>
      </w:r>
      <w:bookmarkStart w:id="256" w:name="_Hlk532771181"/>
      <w:r w:rsidRPr="003037D2">
        <w:rPr>
          <w:rFonts w:ascii="Garamond" w:hAnsi="Garamond"/>
        </w:rPr>
        <w:t>Dr</w:t>
      </w:r>
      <w:r w:rsidR="00667CD5">
        <w:rPr>
          <w:rFonts w:ascii="Garamond" w:hAnsi="Garamond"/>
        </w:rPr>
        <w:t>.</w:t>
      </w:r>
      <w:r w:rsidRPr="003037D2">
        <w:rPr>
          <w:rFonts w:ascii="Garamond" w:hAnsi="Garamond"/>
        </w:rPr>
        <w:t xml:space="preserve"> Williams Library, MS Jones B 62 </w:t>
      </w:r>
      <w:bookmarkEnd w:id="256"/>
    </w:p>
    <w:p w14:paraId="1C724B59" w14:textId="77777777" w:rsidR="00162224" w:rsidRPr="003037D2" w:rsidRDefault="00162224" w:rsidP="00A721D6">
      <w:pPr>
        <w:ind w:left="1361" w:hanging="720"/>
        <w:rPr>
          <w:rFonts w:ascii="Garamond" w:hAnsi="Garamond"/>
        </w:rPr>
      </w:pPr>
      <w:r w:rsidRPr="003037D2">
        <w:rPr>
          <w:rFonts w:ascii="Garamond" w:hAnsi="Garamond"/>
        </w:rPr>
        <w:t xml:space="preserve">London, </w:t>
      </w:r>
      <w:proofErr w:type="spellStart"/>
      <w:r w:rsidRPr="003037D2">
        <w:rPr>
          <w:rFonts w:ascii="Garamond" w:hAnsi="Garamond"/>
        </w:rPr>
        <w:t>Wellcome</w:t>
      </w:r>
      <w:proofErr w:type="spellEnd"/>
      <w:r w:rsidRPr="003037D2">
        <w:rPr>
          <w:rFonts w:ascii="Garamond" w:hAnsi="Garamond"/>
        </w:rPr>
        <w:t xml:space="preserve"> Library, MS MSL/36 </w:t>
      </w:r>
    </w:p>
    <w:p w14:paraId="67C15911" w14:textId="77777777" w:rsidR="00162224" w:rsidRPr="003037D2" w:rsidRDefault="00162224" w:rsidP="00A721D6">
      <w:pPr>
        <w:ind w:left="1361" w:hanging="720"/>
        <w:rPr>
          <w:rFonts w:ascii="Garamond" w:hAnsi="Garamond"/>
        </w:rPr>
      </w:pPr>
      <w:r w:rsidRPr="003037D2">
        <w:rPr>
          <w:rFonts w:ascii="Garamond" w:hAnsi="Garamond"/>
        </w:rPr>
        <w:t>Northallerton, North Yorkshire Record Office, ZAZ 1286/8282-89</w:t>
      </w:r>
    </w:p>
    <w:p w14:paraId="7F82C2CE" w14:textId="77777777" w:rsidR="00162224" w:rsidRPr="003037D2" w:rsidRDefault="00162224" w:rsidP="00A721D6">
      <w:pPr>
        <w:ind w:left="1361" w:hanging="720"/>
        <w:rPr>
          <w:rFonts w:ascii="Garamond" w:hAnsi="Garamond"/>
          <w:b/>
          <w:bCs/>
        </w:rPr>
      </w:pPr>
      <w:r w:rsidRPr="003037D2">
        <w:rPr>
          <w:rFonts w:ascii="Garamond" w:hAnsi="Garamond"/>
        </w:rPr>
        <w:t>Oxford, Bodleian Library, MS Tanner 307</w:t>
      </w:r>
    </w:p>
    <w:p w14:paraId="56784CAD" w14:textId="77777777" w:rsidR="00162224" w:rsidRPr="003037D2" w:rsidRDefault="00162224" w:rsidP="00A721D6">
      <w:pPr>
        <w:ind w:left="1361" w:hanging="720"/>
        <w:rPr>
          <w:rFonts w:ascii="Garamond" w:hAnsi="Garamond"/>
        </w:rPr>
      </w:pPr>
      <w:r w:rsidRPr="003037D2">
        <w:rPr>
          <w:rFonts w:ascii="Garamond" w:hAnsi="Garamond"/>
        </w:rPr>
        <w:t xml:space="preserve">San Marino, CA, Huntington Library, MSS Hap Box 18, Item 1, Lucy Hasting’s Memorandum Book  </w:t>
      </w:r>
    </w:p>
    <w:p w14:paraId="60225BCB" w14:textId="77777777" w:rsidR="00162224" w:rsidRPr="003037D2" w:rsidRDefault="00162224" w:rsidP="00A721D6">
      <w:pPr>
        <w:ind w:left="1361" w:hanging="720"/>
        <w:rPr>
          <w:rFonts w:ascii="Garamond" w:hAnsi="Garamond"/>
        </w:rPr>
      </w:pPr>
      <w:r w:rsidRPr="003037D2">
        <w:rPr>
          <w:rFonts w:ascii="Garamond" w:hAnsi="Garamond"/>
        </w:rPr>
        <w:t>San Marino, CA, Huntington Library, Ellesmere MS 34/B/26</w:t>
      </w:r>
    </w:p>
    <w:p w14:paraId="21285782" w14:textId="77777777" w:rsidR="00162224" w:rsidRPr="003037D2" w:rsidRDefault="00162224" w:rsidP="00A721D6">
      <w:pPr>
        <w:ind w:left="1361" w:hanging="720"/>
        <w:rPr>
          <w:rFonts w:ascii="Garamond" w:hAnsi="Garamond"/>
        </w:rPr>
      </w:pPr>
      <w:r w:rsidRPr="003037D2">
        <w:rPr>
          <w:rFonts w:ascii="Garamond" w:hAnsi="Garamond"/>
        </w:rPr>
        <w:t>San Marino, CA, Huntington Library, Ellesmere MS 35/C/54</w:t>
      </w:r>
    </w:p>
    <w:p w14:paraId="23B1EB1F" w14:textId="77777777" w:rsidR="00162224" w:rsidRPr="003037D2" w:rsidRDefault="00162224" w:rsidP="00A721D6">
      <w:pPr>
        <w:ind w:left="1361" w:hanging="720"/>
        <w:rPr>
          <w:rFonts w:ascii="Garamond" w:hAnsi="Garamond"/>
        </w:rPr>
      </w:pPr>
      <w:r w:rsidRPr="003037D2">
        <w:rPr>
          <w:rFonts w:ascii="Garamond" w:hAnsi="Garamond"/>
        </w:rPr>
        <w:t>San Marino, CA, Huntington Library, Ellesmere MS 1024</w:t>
      </w:r>
    </w:p>
    <w:p w14:paraId="7B95D661" w14:textId="77777777" w:rsidR="00162224" w:rsidRPr="003037D2" w:rsidRDefault="00162224" w:rsidP="00A721D6">
      <w:pPr>
        <w:ind w:left="1361" w:hanging="720"/>
        <w:rPr>
          <w:rFonts w:ascii="Garamond" w:hAnsi="Garamond"/>
        </w:rPr>
      </w:pPr>
      <w:r w:rsidRPr="003037D2">
        <w:rPr>
          <w:rFonts w:ascii="Garamond" w:hAnsi="Garamond"/>
        </w:rPr>
        <w:lastRenderedPageBreak/>
        <w:t>San Marino, CA, Huntington Library, Ellesmere MS 1027</w:t>
      </w:r>
    </w:p>
    <w:p w14:paraId="3E4E4A70" w14:textId="77777777" w:rsidR="00162224" w:rsidRPr="003037D2" w:rsidRDefault="00162224" w:rsidP="00A721D6">
      <w:pPr>
        <w:ind w:left="1361" w:hanging="720"/>
        <w:rPr>
          <w:rFonts w:ascii="Garamond" w:hAnsi="Garamond"/>
        </w:rPr>
      </w:pPr>
      <w:r w:rsidRPr="003037D2">
        <w:rPr>
          <w:rFonts w:ascii="Garamond" w:hAnsi="Garamond"/>
        </w:rPr>
        <w:t xml:space="preserve">San Marino, CA, Huntington Library, Ellesmere MS 1029 </w:t>
      </w:r>
    </w:p>
    <w:p w14:paraId="5C8A86A0" w14:textId="77777777" w:rsidR="00162224" w:rsidRPr="003037D2" w:rsidRDefault="00162224" w:rsidP="00A721D6">
      <w:pPr>
        <w:ind w:left="1361" w:hanging="720"/>
        <w:rPr>
          <w:rFonts w:ascii="Garamond" w:hAnsi="Garamond"/>
        </w:rPr>
      </w:pPr>
      <w:r w:rsidRPr="003037D2">
        <w:rPr>
          <w:rFonts w:ascii="Garamond" w:hAnsi="Garamond"/>
        </w:rPr>
        <w:t>San Marino, CA, Huntington Library, Ellesmere MS 1030</w:t>
      </w:r>
    </w:p>
    <w:p w14:paraId="495B7D18" w14:textId="77777777" w:rsidR="00162224" w:rsidRPr="003037D2" w:rsidRDefault="00162224" w:rsidP="00A721D6">
      <w:pPr>
        <w:ind w:left="1361" w:hanging="720"/>
        <w:rPr>
          <w:rFonts w:ascii="Garamond" w:hAnsi="Garamond"/>
        </w:rPr>
      </w:pPr>
      <w:r w:rsidRPr="003037D2">
        <w:rPr>
          <w:rFonts w:ascii="Garamond" w:hAnsi="Garamond"/>
        </w:rPr>
        <w:t xml:space="preserve">San Marino, CA, Huntington Library, Ellesmere MS 1031 </w:t>
      </w:r>
    </w:p>
    <w:p w14:paraId="55DADACF" w14:textId="77777777" w:rsidR="00162224" w:rsidRPr="003037D2" w:rsidRDefault="00162224" w:rsidP="00A721D6">
      <w:pPr>
        <w:ind w:left="1361" w:hanging="720"/>
        <w:rPr>
          <w:rFonts w:ascii="Garamond" w:hAnsi="Garamond"/>
        </w:rPr>
      </w:pPr>
      <w:r w:rsidRPr="003037D2">
        <w:rPr>
          <w:rFonts w:ascii="Garamond" w:hAnsi="Garamond"/>
        </w:rPr>
        <w:t>Sheffield, Sheffield City Archives, Item 1, X90, Sermons of the Wilson and Alderson Families</w:t>
      </w:r>
    </w:p>
    <w:p w14:paraId="48090FEA" w14:textId="77777777" w:rsidR="00162224" w:rsidRPr="003037D2" w:rsidRDefault="00162224" w:rsidP="00A721D6">
      <w:pPr>
        <w:ind w:left="1361" w:hanging="720"/>
        <w:rPr>
          <w:rFonts w:ascii="Garamond" w:hAnsi="Garamond"/>
        </w:rPr>
      </w:pPr>
      <w:r w:rsidRPr="003037D2">
        <w:rPr>
          <w:rFonts w:ascii="Garamond" w:hAnsi="Garamond"/>
        </w:rPr>
        <w:t>Wakefield, West Yorkshire Archive Service, WDP143/30</w:t>
      </w:r>
    </w:p>
    <w:p w14:paraId="1EB4603F" w14:textId="77777777" w:rsidR="00162224" w:rsidRPr="003037D2" w:rsidRDefault="00162224" w:rsidP="00A721D6">
      <w:pPr>
        <w:ind w:left="1361" w:hanging="720"/>
        <w:rPr>
          <w:rFonts w:ascii="Garamond" w:hAnsi="Garamond"/>
        </w:rPr>
      </w:pPr>
    </w:p>
    <w:p w14:paraId="08DD1B5E" w14:textId="77777777" w:rsidR="00162224" w:rsidRPr="003037D2" w:rsidRDefault="00162224" w:rsidP="00A721D6">
      <w:pPr>
        <w:ind w:left="1361" w:hanging="720"/>
        <w:rPr>
          <w:rFonts w:ascii="Garamond" w:hAnsi="Garamond"/>
        </w:rPr>
      </w:pPr>
    </w:p>
    <w:p w14:paraId="256FADC2" w14:textId="77777777" w:rsidR="00162224" w:rsidRPr="003037D2" w:rsidRDefault="00162224" w:rsidP="00A721D6">
      <w:pPr>
        <w:ind w:left="1361" w:hanging="720"/>
        <w:rPr>
          <w:rFonts w:ascii="Garamond" w:hAnsi="Garamond"/>
        </w:rPr>
      </w:pPr>
    </w:p>
    <w:p w14:paraId="48699F54" w14:textId="77777777" w:rsidR="00162224" w:rsidRPr="003037D2" w:rsidRDefault="00162224" w:rsidP="00A721D6">
      <w:pPr>
        <w:pStyle w:val="Heading2"/>
        <w:numPr>
          <w:ilvl w:val="0"/>
          <w:numId w:val="43"/>
        </w:numPr>
        <w:spacing w:line="240" w:lineRule="auto"/>
        <w:ind w:left="1361"/>
        <w:rPr>
          <w:bCs w:val="0"/>
          <w:i w:val="0"/>
          <w:iCs/>
          <w:sz w:val="22"/>
          <w:szCs w:val="22"/>
        </w:rPr>
      </w:pPr>
      <w:bookmarkStart w:id="257" w:name="_Toc3967205"/>
      <w:r w:rsidRPr="003037D2">
        <w:rPr>
          <w:bCs w:val="0"/>
          <w:i w:val="0"/>
          <w:iCs/>
          <w:sz w:val="22"/>
          <w:szCs w:val="22"/>
        </w:rPr>
        <w:t>Secondary Literature</w:t>
      </w:r>
      <w:bookmarkEnd w:id="257"/>
      <w:r w:rsidRPr="003037D2">
        <w:rPr>
          <w:bCs w:val="0"/>
          <w:i w:val="0"/>
          <w:iCs/>
          <w:sz w:val="22"/>
          <w:szCs w:val="22"/>
        </w:rPr>
        <w:t xml:space="preserve">  </w:t>
      </w:r>
    </w:p>
    <w:p w14:paraId="171227AB" w14:textId="77777777" w:rsidR="00162224" w:rsidRPr="003037D2" w:rsidRDefault="00162224" w:rsidP="00A721D6">
      <w:pPr>
        <w:ind w:left="1361" w:hanging="720"/>
        <w:rPr>
          <w:rFonts w:ascii="Garamond" w:hAnsi="Garamond"/>
        </w:rPr>
      </w:pPr>
    </w:p>
    <w:p w14:paraId="2E888FE8" w14:textId="77777777" w:rsidR="00162224" w:rsidRPr="003037D2" w:rsidRDefault="00162224" w:rsidP="00A721D6">
      <w:pPr>
        <w:shd w:val="clear" w:color="auto" w:fill="FFFFFF"/>
        <w:ind w:left="1361" w:hanging="720"/>
        <w:rPr>
          <w:rFonts w:ascii="Garamond" w:eastAsia="Times New Roman" w:hAnsi="Garamond" w:cstheme="minorHAnsi"/>
          <w:color w:val="000000"/>
          <w:lang w:eastAsia="en-GB"/>
        </w:rPr>
      </w:pPr>
      <w:r w:rsidRPr="003037D2">
        <w:rPr>
          <w:rFonts w:ascii="Garamond" w:eastAsia="Times New Roman" w:hAnsi="Garamond" w:cstheme="minorHAnsi"/>
          <w:color w:val="000000"/>
          <w:lang w:eastAsia="en-GB"/>
        </w:rPr>
        <w:t>Acheson, Katherine, ‘Military Illustration, Garden Design, and Marvell’s </w:t>
      </w:r>
      <w:r w:rsidRPr="003037D2">
        <w:rPr>
          <w:rFonts w:ascii="Garamond" w:eastAsia="Times New Roman" w:hAnsi="Garamond" w:cstheme="minorHAnsi"/>
          <w:i/>
          <w:iCs/>
          <w:color w:val="000000"/>
          <w:lang w:eastAsia="en-GB"/>
        </w:rPr>
        <w:t>Upon Appleton House</w:t>
      </w:r>
      <w:r w:rsidRPr="003037D2">
        <w:rPr>
          <w:rFonts w:ascii="Garamond" w:eastAsia="Times New Roman" w:hAnsi="Garamond" w:cstheme="minorHAnsi"/>
          <w:color w:val="000000"/>
          <w:lang w:eastAsia="en-GB"/>
        </w:rPr>
        <w:t xml:space="preserve">’ in </w:t>
      </w:r>
      <w:r w:rsidRPr="003037D2">
        <w:rPr>
          <w:rFonts w:ascii="Garamond" w:eastAsia="Times New Roman" w:hAnsi="Garamond" w:cstheme="minorHAnsi"/>
          <w:i/>
          <w:iCs/>
          <w:color w:val="000000"/>
          <w:lang w:eastAsia="en-GB"/>
        </w:rPr>
        <w:t>English Literary Renaissance</w:t>
      </w:r>
      <w:r w:rsidRPr="003037D2">
        <w:rPr>
          <w:rFonts w:ascii="Garamond" w:eastAsia="Times New Roman" w:hAnsi="Garamond" w:cstheme="minorHAnsi"/>
          <w:color w:val="000000"/>
          <w:lang w:eastAsia="en-GB"/>
        </w:rPr>
        <w:t>, 41.1 (2011), pp. 146-188</w:t>
      </w:r>
    </w:p>
    <w:p w14:paraId="48058761" w14:textId="77777777" w:rsidR="00162224" w:rsidRPr="003037D2" w:rsidRDefault="00162224" w:rsidP="00A721D6">
      <w:pPr>
        <w:shd w:val="clear" w:color="auto" w:fill="FFFFFF"/>
        <w:ind w:left="1361" w:hanging="720"/>
        <w:rPr>
          <w:rFonts w:ascii="Garamond" w:hAnsi="Garamond"/>
        </w:rPr>
      </w:pPr>
      <w:proofErr w:type="spellStart"/>
      <w:r w:rsidRPr="003037D2">
        <w:rPr>
          <w:rFonts w:ascii="Garamond" w:hAnsi="Garamond"/>
        </w:rPr>
        <w:t>Achinstein</w:t>
      </w:r>
      <w:proofErr w:type="spellEnd"/>
      <w:r w:rsidRPr="003037D2">
        <w:rPr>
          <w:rFonts w:ascii="Garamond" w:hAnsi="Garamond"/>
        </w:rPr>
        <w:t xml:space="preserve">, Sharon, ‘Reading George Herbert in the Restoration’ in </w:t>
      </w:r>
      <w:r w:rsidRPr="003037D2">
        <w:rPr>
          <w:rFonts w:ascii="Garamond" w:hAnsi="Garamond"/>
          <w:i/>
        </w:rPr>
        <w:t>English Literary Renaissance</w:t>
      </w:r>
      <w:r w:rsidRPr="003037D2">
        <w:rPr>
          <w:rFonts w:ascii="Garamond" w:hAnsi="Garamond"/>
        </w:rPr>
        <w:t xml:space="preserve">, 36.3 (2006), pp. 430-465 </w:t>
      </w:r>
    </w:p>
    <w:p w14:paraId="172774C0" w14:textId="44CC4375" w:rsidR="00162224" w:rsidRPr="003037D2" w:rsidRDefault="00162224" w:rsidP="00A721D6">
      <w:pPr>
        <w:ind w:left="1361" w:hanging="720"/>
        <w:rPr>
          <w:rFonts w:ascii="Garamond" w:eastAsia="Calibri" w:hAnsi="Garamond" w:cs="Times New Roman"/>
        </w:rPr>
      </w:pPr>
      <w:r w:rsidRPr="003037D2">
        <w:rPr>
          <w:rFonts w:ascii="Garamond" w:eastAsia="Calibri" w:hAnsi="Garamond" w:cs="Times New Roman"/>
        </w:rPr>
        <w:t xml:space="preserve">Adams, Thomas R. and Nicholas Barker ‘A new model for the study of the book’ in </w:t>
      </w:r>
      <w:r w:rsidRPr="003037D2">
        <w:rPr>
          <w:rFonts w:ascii="Garamond" w:eastAsia="Calibri" w:hAnsi="Garamond" w:cs="Times New Roman"/>
          <w:i/>
        </w:rPr>
        <w:t xml:space="preserve">A </w:t>
      </w:r>
      <w:proofErr w:type="spellStart"/>
      <w:r w:rsidRPr="003037D2">
        <w:rPr>
          <w:rFonts w:ascii="Garamond" w:eastAsia="Calibri" w:hAnsi="Garamond" w:cs="Times New Roman"/>
          <w:i/>
        </w:rPr>
        <w:t>Potencie</w:t>
      </w:r>
      <w:proofErr w:type="spellEnd"/>
      <w:r w:rsidRPr="003037D2">
        <w:rPr>
          <w:rFonts w:ascii="Garamond" w:eastAsia="Calibri" w:hAnsi="Garamond" w:cs="Times New Roman"/>
          <w:i/>
        </w:rPr>
        <w:t xml:space="preserve"> of Life: Books in Society (The Clark Lectures 1986-1987</w:t>
      </w:r>
      <w:r w:rsidR="0065623B">
        <w:rPr>
          <w:rFonts w:ascii="Garamond" w:eastAsia="Calibri" w:hAnsi="Garamond" w:cs="Times New Roman"/>
          <w:i/>
        </w:rPr>
        <w:t xml:space="preserve">), </w:t>
      </w:r>
      <w:r w:rsidRPr="003037D2">
        <w:rPr>
          <w:rFonts w:ascii="Garamond" w:eastAsia="Calibri" w:hAnsi="Garamond" w:cs="Times New Roman"/>
        </w:rPr>
        <w:t xml:space="preserve">ed. by Nicholas Barker (The British Library: London, 1993), pp. 5-44 </w:t>
      </w:r>
    </w:p>
    <w:p w14:paraId="5FB69B6D" w14:textId="77777777" w:rsidR="00162224" w:rsidRPr="003037D2" w:rsidRDefault="00162224" w:rsidP="00A721D6">
      <w:pPr>
        <w:ind w:left="1361" w:hanging="720"/>
        <w:rPr>
          <w:rFonts w:ascii="Garamond" w:eastAsia="Calibri" w:hAnsi="Garamond" w:cs="Times New Roman"/>
        </w:rPr>
      </w:pPr>
      <w:proofErr w:type="spellStart"/>
      <w:r w:rsidRPr="003037D2">
        <w:rPr>
          <w:rFonts w:ascii="Garamond" w:hAnsi="Garamond"/>
        </w:rPr>
        <w:t>Ahnert</w:t>
      </w:r>
      <w:proofErr w:type="spellEnd"/>
      <w:r w:rsidRPr="003037D2">
        <w:rPr>
          <w:rFonts w:ascii="Garamond" w:hAnsi="Garamond"/>
        </w:rPr>
        <w:t xml:space="preserve">, Ruth, </w:t>
      </w:r>
      <w:r w:rsidRPr="003037D2">
        <w:rPr>
          <w:rFonts w:ascii="Garamond" w:hAnsi="Garamond"/>
          <w:i/>
        </w:rPr>
        <w:t>The Rise of Prison Literature in the Sixteenth Century</w:t>
      </w:r>
      <w:r w:rsidRPr="003037D2">
        <w:rPr>
          <w:rFonts w:ascii="Garamond" w:hAnsi="Garamond"/>
        </w:rPr>
        <w:t xml:space="preserve"> (Cambridge: Cambridge University Press, 2013)</w:t>
      </w:r>
    </w:p>
    <w:p w14:paraId="7B758ED8" w14:textId="57CF7DBA" w:rsidR="00162224" w:rsidRPr="003037D2" w:rsidRDefault="00162224" w:rsidP="00A721D6">
      <w:pPr>
        <w:ind w:left="1361" w:hanging="720"/>
        <w:rPr>
          <w:rFonts w:ascii="Garamond" w:hAnsi="Garamond"/>
          <w:lang w:val="en"/>
        </w:rPr>
      </w:pPr>
      <w:proofErr w:type="spellStart"/>
      <w:r w:rsidRPr="003037D2">
        <w:rPr>
          <w:rFonts w:ascii="Garamond" w:eastAsia="Calibri" w:hAnsi="Garamond" w:cs="Times New Roman"/>
        </w:rPr>
        <w:t>Algar</w:t>
      </w:r>
      <w:proofErr w:type="spellEnd"/>
      <w:r w:rsidRPr="003037D2">
        <w:rPr>
          <w:rFonts w:ascii="Garamond" w:eastAsia="Calibri" w:hAnsi="Garamond" w:cs="Times New Roman"/>
        </w:rPr>
        <w:t>, Christian,</w:t>
      </w:r>
      <w:r w:rsidRPr="003037D2">
        <w:rPr>
          <w:rFonts w:ascii="Garamond" w:hAnsi="Garamond"/>
          <w:lang w:val="en"/>
        </w:rPr>
        <w:t xml:space="preserve"> ‘Visual Verses: John </w:t>
      </w:r>
      <w:proofErr w:type="spellStart"/>
      <w:r w:rsidRPr="003037D2">
        <w:rPr>
          <w:rFonts w:ascii="Garamond" w:hAnsi="Garamond"/>
          <w:lang w:val="en"/>
        </w:rPr>
        <w:t>Vicars’s</w:t>
      </w:r>
      <w:proofErr w:type="spellEnd"/>
      <w:r w:rsidRPr="003037D2">
        <w:rPr>
          <w:rFonts w:ascii="Garamond" w:hAnsi="Garamond"/>
          <w:lang w:val="en"/>
        </w:rPr>
        <w:t xml:space="preserve"> </w:t>
      </w:r>
      <w:r w:rsidRPr="003037D2">
        <w:rPr>
          <w:rFonts w:ascii="Garamond" w:hAnsi="Garamond"/>
          <w:i/>
          <w:lang w:val="en"/>
        </w:rPr>
        <w:t xml:space="preserve">God in the Mount, or </w:t>
      </w:r>
      <w:proofErr w:type="spellStart"/>
      <w:r w:rsidRPr="003037D2">
        <w:rPr>
          <w:rFonts w:ascii="Garamond" w:hAnsi="Garamond"/>
          <w:i/>
          <w:lang w:val="en"/>
        </w:rPr>
        <w:t>Jehova-jireh</w:t>
      </w:r>
      <w:proofErr w:type="spellEnd"/>
      <w:r w:rsidRPr="003037D2">
        <w:rPr>
          <w:rFonts w:ascii="Garamond" w:hAnsi="Garamond"/>
          <w:lang w:val="en"/>
        </w:rPr>
        <w:t>, 1641’ blogpost on the British Library website &lt;</w:t>
      </w:r>
      <w:hyperlink r:id="rId74" w:history="1">
        <w:r w:rsidRPr="003037D2">
          <w:rPr>
            <w:rStyle w:val="Hyperlink"/>
            <w:rFonts w:ascii="Garamond" w:hAnsi="Garamond"/>
            <w:lang w:val="en"/>
          </w:rPr>
          <w:t>http://blogs.bl.uk/english-and-drama/2017/03/visual-verses-john-vicarss-god-in-the-mount-or-jehova-jireh-1641.html</w:t>
        </w:r>
      </w:hyperlink>
      <w:r w:rsidRPr="003037D2">
        <w:rPr>
          <w:rFonts w:ascii="Garamond" w:hAnsi="Garamond"/>
          <w:lang w:val="en"/>
        </w:rPr>
        <w:t xml:space="preserve">&gt; [accessed 20 April 2018] </w:t>
      </w:r>
    </w:p>
    <w:p w14:paraId="67F5E409" w14:textId="4E171D04" w:rsidR="00162224" w:rsidRPr="003037D2" w:rsidRDefault="00162224" w:rsidP="00A721D6">
      <w:pPr>
        <w:ind w:left="1361" w:hanging="720"/>
        <w:rPr>
          <w:rFonts w:ascii="Garamond" w:hAnsi="Garamond"/>
        </w:rPr>
      </w:pPr>
      <w:r w:rsidRPr="003037D2">
        <w:rPr>
          <w:rFonts w:ascii="Garamond" w:hAnsi="Garamond"/>
          <w:color w:val="000000"/>
          <w:shd w:val="clear" w:color="auto" w:fill="FFFFFF"/>
        </w:rPr>
        <w:t xml:space="preserve">____ </w:t>
      </w:r>
      <w:r w:rsidRPr="003037D2">
        <w:rPr>
          <w:rFonts w:ascii="Garamond" w:hAnsi="Garamond"/>
        </w:rPr>
        <w:t xml:space="preserve">, </w:t>
      </w:r>
      <w:r w:rsidRPr="003037D2">
        <w:rPr>
          <w:rFonts w:ascii="Garamond" w:eastAsia="Calibri" w:hAnsi="Garamond" w:cs="Times New Roman"/>
        </w:rPr>
        <w:t xml:space="preserve">‘Visual Verses: Thomas Watson’s </w:t>
      </w:r>
      <w:proofErr w:type="spellStart"/>
      <w:r w:rsidRPr="003037D2">
        <w:rPr>
          <w:rFonts w:ascii="Garamond" w:eastAsia="Calibri" w:hAnsi="Garamond" w:cs="Times New Roman"/>
          <w:i/>
        </w:rPr>
        <w:t>Hekatompathia</w:t>
      </w:r>
      <w:proofErr w:type="spellEnd"/>
      <w:r w:rsidRPr="003037D2">
        <w:rPr>
          <w:rFonts w:ascii="Garamond" w:eastAsia="Calibri" w:hAnsi="Garamond" w:cs="Times New Roman"/>
        </w:rPr>
        <w:t xml:space="preserve">, </w:t>
      </w:r>
      <w:r w:rsidRPr="003037D2">
        <w:rPr>
          <w:rFonts w:ascii="Garamond" w:eastAsia="Calibri" w:hAnsi="Garamond" w:cs="Times New Roman"/>
          <w:i/>
        </w:rPr>
        <w:t>or Passionate Century of Love</w:t>
      </w:r>
      <w:r w:rsidRPr="003037D2">
        <w:rPr>
          <w:rFonts w:ascii="Garamond" w:eastAsia="Calibri" w:hAnsi="Garamond" w:cs="Times New Roman"/>
        </w:rPr>
        <w:t>, 1582’ blogpost on the British Library website, &lt;</w:t>
      </w:r>
      <w:hyperlink r:id="rId75" w:history="1">
        <w:r w:rsidRPr="003037D2">
          <w:rPr>
            <w:rStyle w:val="Hyperlink"/>
            <w:rFonts w:ascii="Garamond" w:hAnsi="Garamond"/>
          </w:rPr>
          <w:t>http://blogs.bl.uk/english-and-drama/2016/08/visual-verses-thomas-watsons-hekatompathia-or-passionate-century-of-love-1582.html</w:t>
        </w:r>
      </w:hyperlink>
      <w:r w:rsidRPr="003037D2">
        <w:rPr>
          <w:rFonts w:ascii="Garamond" w:hAnsi="Garamond"/>
        </w:rPr>
        <w:t xml:space="preserve">&gt; [accessed </w:t>
      </w:r>
      <w:r w:rsidRPr="003037D2">
        <w:rPr>
          <w:rFonts w:ascii="Garamond" w:hAnsi="Garamond"/>
          <w:lang w:val="en"/>
        </w:rPr>
        <w:t>20 April 2018</w:t>
      </w:r>
      <w:r w:rsidRPr="003037D2">
        <w:rPr>
          <w:rFonts w:ascii="Garamond" w:hAnsi="Garamond"/>
        </w:rPr>
        <w:t xml:space="preserve">] </w:t>
      </w:r>
    </w:p>
    <w:p w14:paraId="5F3A18F1" w14:textId="24E406F8" w:rsidR="00162224" w:rsidRPr="003037D2" w:rsidRDefault="00162224" w:rsidP="00A721D6">
      <w:pPr>
        <w:ind w:left="1361" w:hanging="720"/>
        <w:rPr>
          <w:rFonts w:ascii="Garamond" w:hAnsi="Garamond"/>
        </w:rPr>
      </w:pPr>
      <w:r w:rsidRPr="003037D2">
        <w:rPr>
          <w:rFonts w:ascii="Garamond" w:hAnsi="Garamond"/>
        </w:rPr>
        <w:t>Allen Brand, Clinton, ‘</w:t>
      </w:r>
      <w:r w:rsidR="00ED0F4C">
        <w:rPr>
          <w:rFonts w:ascii="Garamond" w:hAnsi="Garamond"/>
        </w:rPr>
        <w:t>“</w:t>
      </w:r>
      <w:r w:rsidRPr="003037D2">
        <w:rPr>
          <w:rFonts w:ascii="Garamond" w:hAnsi="Garamond"/>
        </w:rPr>
        <w:t>Upon Appleton House</w:t>
      </w:r>
      <w:r w:rsidR="00ED0F4C">
        <w:rPr>
          <w:rFonts w:ascii="Garamond" w:hAnsi="Garamond"/>
        </w:rPr>
        <w:t>”</w:t>
      </w:r>
      <w:r w:rsidRPr="003037D2">
        <w:rPr>
          <w:rFonts w:ascii="Garamond" w:hAnsi="Garamond"/>
        </w:rPr>
        <w:t xml:space="preserve"> and the Decomposition of Protestant Historiography’ in </w:t>
      </w:r>
      <w:r w:rsidRPr="003037D2">
        <w:rPr>
          <w:rFonts w:ascii="Garamond" w:hAnsi="Garamond"/>
          <w:i/>
        </w:rPr>
        <w:t>English Literary Renaissance</w:t>
      </w:r>
      <w:r w:rsidRPr="003037D2">
        <w:rPr>
          <w:rFonts w:ascii="Garamond" w:hAnsi="Garamond"/>
        </w:rPr>
        <w:t xml:space="preserve">, 31.3 (Autumn 2001) pp. 477-510 </w:t>
      </w:r>
    </w:p>
    <w:p w14:paraId="52DBB010" w14:textId="6B44B871" w:rsidR="00162224" w:rsidRPr="003037D2" w:rsidRDefault="00162224" w:rsidP="00A721D6">
      <w:pPr>
        <w:ind w:left="1361" w:hanging="720"/>
        <w:rPr>
          <w:rFonts w:ascii="Garamond" w:hAnsi="Garamond"/>
        </w:rPr>
      </w:pPr>
      <w:r w:rsidRPr="003037D2">
        <w:rPr>
          <w:rFonts w:ascii="Garamond" w:hAnsi="Garamond"/>
        </w:rPr>
        <w:t>Archer, Jayne Elisabeth, Elizabeth Goldring, &amp; Sarah Knight</w:t>
      </w:r>
      <w:r w:rsidR="0065623B">
        <w:rPr>
          <w:rFonts w:ascii="Garamond" w:hAnsi="Garamond"/>
        </w:rPr>
        <w:t>,</w:t>
      </w:r>
      <w:r w:rsidRPr="003037D2">
        <w:rPr>
          <w:rFonts w:ascii="Garamond" w:hAnsi="Garamond"/>
        </w:rPr>
        <w:t xml:space="preserve"> ed. </w:t>
      </w:r>
      <w:r w:rsidRPr="003037D2">
        <w:rPr>
          <w:rFonts w:ascii="Garamond" w:hAnsi="Garamond"/>
          <w:i/>
        </w:rPr>
        <w:t>The Progresses, Pageants, &amp; Entertainments of Queen Elizabeth I</w:t>
      </w:r>
      <w:r w:rsidRPr="003037D2">
        <w:rPr>
          <w:rFonts w:ascii="Garamond" w:hAnsi="Garamond"/>
        </w:rPr>
        <w:t xml:space="preserve"> (Oxford: Oxford University Press, 2007)</w:t>
      </w:r>
    </w:p>
    <w:p w14:paraId="50FE3FD6" w14:textId="4664B831" w:rsidR="00162224" w:rsidRPr="003037D2" w:rsidRDefault="00162224" w:rsidP="00A721D6">
      <w:pPr>
        <w:ind w:left="1361" w:hanging="720"/>
        <w:rPr>
          <w:rFonts w:ascii="Garamond" w:hAnsi="Garamond"/>
        </w:rPr>
      </w:pPr>
      <w:r w:rsidRPr="003037D2">
        <w:rPr>
          <w:rFonts w:ascii="Garamond" w:hAnsi="Garamond"/>
          <w:lang w:val="sv-SE"/>
        </w:rPr>
        <w:t>Austern, Linda, Kari Boyd McBride, and David L. Orvis</w:t>
      </w:r>
      <w:r w:rsidR="0065623B">
        <w:rPr>
          <w:rFonts w:ascii="Garamond" w:hAnsi="Garamond"/>
          <w:lang w:val="sv-SE"/>
        </w:rPr>
        <w:t>,</w:t>
      </w:r>
      <w:r w:rsidRPr="003037D2">
        <w:rPr>
          <w:rFonts w:ascii="Garamond" w:hAnsi="Garamond"/>
          <w:lang w:val="sv-SE"/>
        </w:rPr>
        <w:t xml:space="preserve"> ed. </w:t>
      </w:r>
      <w:r w:rsidRPr="003037D2">
        <w:rPr>
          <w:rFonts w:ascii="Garamond" w:hAnsi="Garamond"/>
          <w:i/>
          <w:iCs/>
        </w:rPr>
        <w:t xml:space="preserve">Psalms in the Early Modern World </w:t>
      </w:r>
      <w:r w:rsidRPr="003037D2">
        <w:rPr>
          <w:rFonts w:ascii="Garamond" w:hAnsi="Garamond"/>
        </w:rPr>
        <w:t>(</w:t>
      </w:r>
      <w:proofErr w:type="spellStart"/>
      <w:r w:rsidRPr="003037D2">
        <w:rPr>
          <w:rFonts w:ascii="Garamond" w:hAnsi="Garamond"/>
        </w:rPr>
        <w:t>Farnham</w:t>
      </w:r>
      <w:proofErr w:type="spellEnd"/>
      <w:r w:rsidRPr="003037D2">
        <w:rPr>
          <w:rFonts w:ascii="Garamond" w:hAnsi="Garamond"/>
        </w:rPr>
        <w:t>: Ashgate, 2011)</w:t>
      </w:r>
    </w:p>
    <w:p w14:paraId="44E3CF68" w14:textId="20FB146F" w:rsidR="00162224" w:rsidRPr="003037D2" w:rsidRDefault="00162224" w:rsidP="00A721D6">
      <w:pPr>
        <w:ind w:left="1361" w:hanging="720"/>
        <w:rPr>
          <w:rFonts w:ascii="Garamond" w:hAnsi="Garamond"/>
        </w:rPr>
      </w:pPr>
      <w:r w:rsidRPr="003037D2">
        <w:rPr>
          <w:rFonts w:ascii="Garamond" w:hAnsi="Garamond"/>
        </w:rPr>
        <w:t xml:space="preserve">Bakhtin, </w:t>
      </w:r>
      <w:proofErr w:type="spellStart"/>
      <w:r w:rsidRPr="003037D2">
        <w:rPr>
          <w:rFonts w:ascii="Garamond" w:hAnsi="Garamond"/>
        </w:rPr>
        <w:t>Mikahil</w:t>
      </w:r>
      <w:proofErr w:type="spellEnd"/>
      <w:r w:rsidRPr="003037D2">
        <w:rPr>
          <w:rFonts w:ascii="Garamond" w:hAnsi="Garamond"/>
        </w:rPr>
        <w:t xml:space="preserve">, </w:t>
      </w:r>
      <w:r w:rsidRPr="003037D2">
        <w:rPr>
          <w:rFonts w:ascii="Garamond" w:hAnsi="Garamond"/>
          <w:i/>
          <w:iCs/>
        </w:rPr>
        <w:t>The Dialogic Imagination: Four Essays</w:t>
      </w:r>
      <w:r w:rsidR="0065623B">
        <w:rPr>
          <w:rFonts w:ascii="Garamond" w:hAnsi="Garamond"/>
          <w:i/>
          <w:iCs/>
        </w:rPr>
        <w:t>,</w:t>
      </w:r>
      <w:r w:rsidRPr="003037D2">
        <w:rPr>
          <w:rFonts w:ascii="Garamond" w:hAnsi="Garamond"/>
          <w:i/>
          <w:iCs/>
        </w:rPr>
        <w:t xml:space="preserve"> </w:t>
      </w:r>
      <w:r w:rsidRPr="003037D2">
        <w:rPr>
          <w:rFonts w:ascii="Garamond" w:hAnsi="Garamond"/>
        </w:rPr>
        <w:t xml:space="preserve">ed. by Michael </w:t>
      </w:r>
      <w:proofErr w:type="spellStart"/>
      <w:r w:rsidRPr="003037D2">
        <w:rPr>
          <w:rFonts w:ascii="Garamond" w:hAnsi="Garamond"/>
        </w:rPr>
        <w:t>Holquist</w:t>
      </w:r>
      <w:proofErr w:type="spellEnd"/>
      <w:r w:rsidRPr="003037D2">
        <w:rPr>
          <w:rFonts w:ascii="Garamond" w:hAnsi="Garamond"/>
        </w:rPr>
        <w:t xml:space="preserve">, translated by Caryl Emerson and Michael </w:t>
      </w:r>
      <w:proofErr w:type="spellStart"/>
      <w:r w:rsidRPr="003037D2">
        <w:rPr>
          <w:rFonts w:ascii="Garamond" w:hAnsi="Garamond"/>
        </w:rPr>
        <w:t>Holquist</w:t>
      </w:r>
      <w:proofErr w:type="spellEnd"/>
      <w:r w:rsidRPr="003037D2">
        <w:rPr>
          <w:rFonts w:ascii="Garamond" w:hAnsi="Garamond"/>
          <w:i/>
          <w:iCs/>
        </w:rPr>
        <w:t xml:space="preserve"> </w:t>
      </w:r>
      <w:r w:rsidRPr="003037D2">
        <w:rPr>
          <w:rFonts w:ascii="Garamond" w:hAnsi="Garamond"/>
        </w:rPr>
        <w:t>(Austin: University of Texas Press, 1990)</w:t>
      </w:r>
    </w:p>
    <w:p w14:paraId="72989A60" w14:textId="77777777" w:rsidR="00162224" w:rsidRPr="003037D2" w:rsidRDefault="00162224" w:rsidP="00A721D6">
      <w:pPr>
        <w:ind w:left="1361" w:hanging="720"/>
        <w:rPr>
          <w:rFonts w:ascii="Garamond" w:hAnsi="Garamond"/>
        </w:rPr>
      </w:pPr>
      <w:r w:rsidRPr="003037D2">
        <w:rPr>
          <w:rFonts w:ascii="Garamond" w:hAnsi="Garamond"/>
        </w:rPr>
        <w:t xml:space="preserve">Bald, R.C., </w:t>
      </w:r>
      <w:r w:rsidRPr="003037D2">
        <w:rPr>
          <w:rFonts w:ascii="Garamond" w:hAnsi="Garamond"/>
          <w:i/>
        </w:rPr>
        <w:t xml:space="preserve">John Donne: </w:t>
      </w:r>
      <w:proofErr w:type="gramStart"/>
      <w:r w:rsidRPr="003037D2">
        <w:rPr>
          <w:rFonts w:ascii="Garamond" w:hAnsi="Garamond"/>
          <w:i/>
        </w:rPr>
        <w:t>a</w:t>
      </w:r>
      <w:proofErr w:type="gramEnd"/>
      <w:r w:rsidRPr="003037D2">
        <w:rPr>
          <w:rFonts w:ascii="Garamond" w:hAnsi="Garamond"/>
          <w:i/>
        </w:rPr>
        <w:t xml:space="preserve"> Life </w:t>
      </w:r>
      <w:r w:rsidRPr="003037D2">
        <w:rPr>
          <w:rFonts w:ascii="Garamond" w:hAnsi="Garamond"/>
        </w:rPr>
        <w:t>(Oxford: Oxford University Press, 1986)</w:t>
      </w:r>
    </w:p>
    <w:p w14:paraId="63674DA8" w14:textId="77777777" w:rsidR="00162224" w:rsidRPr="003037D2" w:rsidRDefault="00162224" w:rsidP="00A721D6">
      <w:pPr>
        <w:ind w:left="1361" w:hanging="720"/>
        <w:rPr>
          <w:rFonts w:ascii="Garamond" w:hAnsi="Garamond"/>
        </w:rPr>
      </w:pPr>
      <w:r w:rsidRPr="003037D2">
        <w:rPr>
          <w:rFonts w:ascii="Garamond" w:hAnsi="Garamond"/>
        </w:rPr>
        <w:t xml:space="preserve">Barker, Naomi J., ‘Music, antiquity and self-fashioning in the Accademia </w:t>
      </w:r>
      <w:proofErr w:type="spellStart"/>
      <w:r w:rsidRPr="003037D2">
        <w:rPr>
          <w:rFonts w:ascii="Garamond" w:hAnsi="Garamond"/>
        </w:rPr>
        <w:t>dei</w:t>
      </w:r>
      <w:proofErr w:type="spellEnd"/>
      <w:r w:rsidRPr="003037D2">
        <w:rPr>
          <w:rFonts w:ascii="Garamond" w:hAnsi="Garamond"/>
        </w:rPr>
        <w:t xml:space="preserve"> </w:t>
      </w:r>
      <w:proofErr w:type="spellStart"/>
      <w:r w:rsidRPr="003037D2">
        <w:rPr>
          <w:rFonts w:ascii="Garamond" w:hAnsi="Garamond"/>
        </w:rPr>
        <w:t>Lincei</w:t>
      </w:r>
      <w:proofErr w:type="spellEnd"/>
      <w:r w:rsidRPr="003037D2">
        <w:rPr>
          <w:rFonts w:ascii="Garamond" w:hAnsi="Garamond"/>
        </w:rPr>
        <w:t xml:space="preserve">’ in </w:t>
      </w:r>
      <w:r w:rsidRPr="003037D2">
        <w:rPr>
          <w:rFonts w:ascii="Garamond" w:hAnsi="Garamond"/>
          <w:i/>
        </w:rPr>
        <w:t>The Seventeenth Century</w:t>
      </w:r>
      <w:r w:rsidRPr="003037D2">
        <w:rPr>
          <w:rFonts w:ascii="Garamond" w:hAnsi="Garamond"/>
        </w:rPr>
        <w:t xml:space="preserve">, 30.4 (2015), pp. 375-390 </w:t>
      </w:r>
    </w:p>
    <w:p w14:paraId="0D1B1EBF" w14:textId="77777777" w:rsidR="00162224" w:rsidRPr="003037D2" w:rsidRDefault="00162224" w:rsidP="00A721D6">
      <w:pPr>
        <w:ind w:left="1361" w:hanging="720"/>
        <w:rPr>
          <w:rFonts w:ascii="Garamond" w:hAnsi="Garamond"/>
        </w:rPr>
      </w:pPr>
      <w:r w:rsidRPr="003037D2">
        <w:rPr>
          <w:rFonts w:ascii="Garamond" w:hAnsi="Garamond"/>
        </w:rPr>
        <w:t xml:space="preserve">Barret, J.K., ‘Vacant Time in </w:t>
      </w:r>
      <w:r w:rsidRPr="003037D2">
        <w:rPr>
          <w:rFonts w:ascii="Garamond" w:hAnsi="Garamond"/>
          <w:i/>
        </w:rPr>
        <w:t xml:space="preserve">The Faerie </w:t>
      </w:r>
      <w:proofErr w:type="spellStart"/>
      <w:r w:rsidRPr="003037D2">
        <w:rPr>
          <w:rFonts w:ascii="Garamond" w:hAnsi="Garamond"/>
          <w:i/>
        </w:rPr>
        <w:t>Queene</w:t>
      </w:r>
      <w:proofErr w:type="spellEnd"/>
      <w:r w:rsidRPr="003037D2">
        <w:rPr>
          <w:rFonts w:ascii="Garamond" w:hAnsi="Garamond"/>
        </w:rPr>
        <w:t xml:space="preserve">’ in </w:t>
      </w:r>
      <w:r w:rsidRPr="003037D2">
        <w:rPr>
          <w:rFonts w:ascii="Garamond" w:hAnsi="Garamond"/>
          <w:i/>
        </w:rPr>
        <w:t xml:space="preserve">English Literary History, </w:t>
      </w:r>
      <w:r w:rsidRPr="003037D2">
        <w:rPr>
          <w:rFonts w:ascii="Garamond" w:hAnsi="Garamond"/>
        </w:rPr>
        <w:t>8.1 (Spring 2014), pp. 1-27</w:t>
      </w:r>
    </w:p>
    <w:p w14:paraId="64772A66" w14:textId="77777777" w:rsidR="00162224" w:rsidRPr="003037D2" w:rsidRDefault="00162224" w:rsidP="00A721D6">
      <w:pPr>
        <w:ind w:left="1361" w:hanging="720"/>
        <w:rPr>
          <w:rFonts w:ascii="Garamond" w:hAnsi="Garamond"/>
        </w:rPr>
      </w:pPr>
      <w:r w:rsidRPr="003037D2">
        <w:rPr>
          <w:rFonts w:ascii="Garamond" w:hAnsi="Garamond"/>
        </w:rPr>
        <w:t xml:space="preserve">Beal, Peter, ‘Notions in Garrison: The Seventeenth-Century Commonplace Book’ in </w:t>
      </w:r>
      <w:r w:rsidRPr="003037D2">
        <w:rPr>
          <w:rFonts w:ascii="Garamond" w:hAnsi="Garamond"/>
          <w:i/>
        </w:rPr>
        <w:t xml:space="preserve">New Ways of Looking at Old Texts: Papers of the Renaissance English Text Society, 1985-1991, </w:t>
      </w:r>
      <w:r w:rsidRPr="003037D2">
        <w:rPr>
          <w:rFonts w:ascii="Garamond" w:hAnsi="Garamond"/>
        </w:rPr>
        <w:t>ed. by William Speed-Hill (Binghamton, NY: Renaissance English Text Society, 1993), pp. 131-47</w:t>
      </w:r>
    </w:p>
    <w:p w14:paraId="4AA280EB" w14:textId="77777777" w:rsidR="00162224" w:rsidRPr="003037D2" w:rsidRDefault="00162224" w:rsidP="00A721D6">
      <w:pPr>
        <w:ind w:left="1361" w:hanging="720"/>
        <w:rPr>
          <w:rFonts w:ascii="Garamond" w:hAnsi="Garamond"/>
        </w:rPr>
      </w:pPr>
      <w:proofErr w:type="spellStart"/>
      <w:r w:rsidRPr="003037D2">
        <w:rPr>
          <w:rFonts w:ascii="Garamond" w:hAnsi="Garamond"/>
        </w:rPr>
        <w:t>Bedini</w:t>
      </w:r>
      <w:proofErr w:type="spellEnd"/>
      <w:r w:rsidRPr="003037D2">
        <w:rPr>
          <w:rFonts w:ascii="Garamond" w:hAnsi="Garamond"/>
        </w:rPr>
        <w:t xml:space="preserve">, Silvio A., ‘The Map of Time’ in </w:t>
      </w:r>
      <w:r w:rsidRPr="003037D2">
        <w:rPr>
          <w:rFonts w:ascii="Garamond" w:hAnsi="Garamond"/>
          <w:i/>
          <w:iCs/>
        </w:rPr>
        <w:t>Time: The Greatest Innovator, Timekeeping and Time Consciousness in Early Modern Europe,</w:t>
      </w:r>
      <w:r w:rsidRPr="003037D2">
        <w:rPr>
          <w:rFonts w:ascii="Garamond" w:hAnsi="Garamond"/>
        </w:rPr>
        <w:t xml:space="preserve"> ed. by Rachel Doggett, Susan </w:t>
      </w:r>
      <w:proofErr w:type="spellStart"/>
      <w:r w:rsidRPr="003037D2">
        <w:rPr>
          <w:rFonts w:ascii="Garamond" w:hAnsi="Garamond"/>
        </w:rPr>
        <w:t>Jaskot</w:t>
      </w:r>
      <w:proofErr w:type="spellEnd"/>
      <w:r w:rsidRPr="003037D2">
        <w:rPr>
          <w:rFonts w:ascii="Garamond" w:hAnsi="Garamond"/>
        </w:rPr>
        <w:t xml:space="preserve"> </w:t>
      </w:r>
      <w:r w:rsidRPr="003037D2">
        <w:rPr>
          <w:rFonts w:ascii="Garamond" w:hAnsi="Garamond"/>
        </w:rPr>
        <w:lastRenderedPageBreak/>
        <w:t>and Robert Rand (1986, The Folger Shakespeare Library, Washington DC), pp. 10-23</w:t>
      </w:r>
    </w:p>
    <w:p w14:paraId="5738867F" w14:textId="77777777" w:rsidR="00162224" w:rsidRPr="003037D2" w:rsidRDefault="00162224" w:rsidP="00A721D6">
      <w:pPr>
        <w:ind w:left="1361" w:hanging="720"/>
        <w:rPr>
          <w:rFonts w:ascii="Garamond" w:hAnsi="Garamond"/>
        </w:rPr>
      </w:pPr>
      <w:r w:rsidRPr="003037D2">
        <w:rPr>
          <w:rFonts w:ascii="Garamond" w:hAnsi="Garamond"/>
        </w:rPr>
        <w:t xml:space="preserve">Ben-Amos, Dan, and Liliane Weisberg edited </w:t>
      </w:r>
      <w:r w:rsidRPr="003037D2">
        <w:rPr>
          <w:rFonts w:ascii="Garamond" w:hAnsi="Garamond"/>
          <w:i/>
          <w:iCs/>
        </w:rPr>
        <w:t xml:space="preserve">Cultural Memory and the Construction of Identity </w:t>
      </w:r>
      <w:r w:rsidRPr="003037D2">
        <w:rPr>
          <w:rFonts w:ascii="Garamond" w:hAnsi="Garamond"/>
        </w:rPr>
        <w:t xml:space="preserve">(Detroit: Wayne State University Press, 1999) </w:t>
      </w:r>
    </w:p>
    <w:p w14:paraId="2E8C88C9" w14:textId="1338328C" w:rsidR="00162224" w:rsidRPr="003037D2" w:rsidRDefault="00162224" w:rsidP="00A721D6">
      <w:pPr>
        <w:ind w:left="1361" w:hanging="720"/>
        <w:rPr>
          <w:rFonts w:ascii="Garamond" w:hAnsi="Garamond"/>
        </w:rPr>
      </w:pPr>
      <w:r w:rsidRPr="003037D2">
        <w:rPr>
          <w:rFonts w:ascii="Garamond" w:hAnsi="Garamond"/>
        </w:rPr>
        <w:t xml:space="preserve">Benet, Diana, </w:t>
      </w:r>
      <w:r w:rsidRPr="003037D2">
        <w:rPr>
          <w:rFonts w:ascii="Garamond" w:hAnsi="Garamond"/>
          <w:i/>
          <w:iCs/>
        </w:rPr>
        <w:t>Secretary of Praise: The Poetic Vocation of George He</w:t>
      </w:r>
      <w:r w:rsidR="00814479">
        <w:rPr>
          <w:rFonts w:ascii="Garamond" w:hAnsi="Garamond"/>
          <w:i/>
          <w:iCs/>
        </w:rPr>
        <w:t>r</w:t>
      </w:r>
      <w:r w:rsidRPr="003037D2">
        <w:rPr>
          <w:rFonts w:ascii="Garamond" w:hAnsi="Garamond"/>
          <w:i/>
          <w:iCs/>
        </w:rPr>
        <w:t xml:space="preserve">bert </w:t>
      </w:r>
      <w:r w:rsidRPr="003037D2">
        <w:rPr>
          <w:rFonts w:ascii="Garamond" w:hAnsi="Garamond"/>
        </w:rPr>
        <w:t>(Columbia: University of Missouri Press, 1984)</w:t>
      </w:r>
    </w:p>
    <w:p w14:paraId="606847E8" w14:textId="69602A70" w:rsidR="00162224" w:rsidRPr="003037D2" w:rsidRDefault="00162224" w:rsidP="00A721D6">
      <w:pPr>
        <w:ind w:left="1361" w:hanging="720"/>
        <w:rPr>
          <w:rFonts w:ascii="Garamond" w:hAnsi="Garamond"/>
          <w:bCs/>
        </w:rPr>
      </w:pPr>
      <w:r w:rsidRPr="003037D2">
        <w:rPr>
          <w:rFonts w:ascii="Garamond" w:hAnsi="Garamond"/>
          <w:bCs/>
        </w:rPr>
        <w:t>Binda, Hilary, ‘</w:t>
      </w:r>
      <w:r w:rsidR="00ED0F4C">
        <w:rPr>
          <w:rFonts w:ascii="Garamond" w:hAnsi="Garamond"/>
          <w:bCs/>
        </w:rPr>
        <w:t>“</w:t>
      </w:r>
      <w:r w:rsidRPr="003037D2">
        <w:rPr>
          <w:rFonts w:ascii="Garamond" w:hAnsi="Garamond"/>
          <w:bCs/>
        </w:rPr>
        <w:t xml:space="preserve">My Name </w:t>
      </w:r>
      <w:proofErr w:type="spellStart"/>
      <w:r w:rsidRPr="003037D2">
        <w:rPr>
          <w:rFonts w:ascii="Garamond" w:hAnsi="Garamond"/>
          <w:bCs/>
        </w:rPr>
        <w:t>Engrav'd</w:t>
      </w:r>
      <w:proofErr w:type="spellEnd"/>
      <w:r w:rsidRPr="003037D2">
        <w:rPr>
          <w:rFonts w:ascii="Garamond" w:hAnsi="Garamond"/>
          <w:bCs/>
        </w:rPr>
        <w:t xml:space="preserve"> Herein</w:t>
      </w:r>
      <w:r w:rsidR="00ED0F4C">
        <w:rPr>
          <w:rFonts w:ascii="Garamond" w:hAnsi="Garamond"/>
          <w:bCs/>
        </w:rPr>
        <w:t>”</w:t>
      </w:r>
      <w:r w:rsidRPr="003037D2">
        <w:rPr>
          <w:rFonts w:ascii="Garamond" w:hAnsi="Garamond"/>
          <w:bCs/>
        </w:rPr>
        <w:t xml:space="preserve">: John Donne's Sacramental Temporality’ in </w:t>
      </w:r>
      <w:proofErr w:type="spellStart"/>
      <w:r w:rsidRPr="003037D2">
        <w:rPr>
          <w:rFonts w:ascii="Garamond" w:hAnsi="Garamond"/>
          <w:bCs/>
          <w:i/>
          <w:iCs/>
        </w:rPr>
        <w:t>Exemplaria</w:t>
      </w:r>
      <w:proofErr w:type="spellEnd"/>
      <w:r w:rsidRPr="003037D2">
        <w:rPr>
          <w:rFonts w:ascii="Garamond" w:hAnsi="Garamond"/>
          <w:bCs/>
          <w:i/>
          <w:iCs/>
        </w:rPr>
        <w:t>,</w:t>
      </w:r>
      <w:r w:rsidRPr="003037D2">
        <w:rPr>
          <w:rFonts w:ascii="Garamond" w:hAnsi="Garamond"/>
          <w:bCs/>
        </w:rPr>
        <w:t xml:space="preserve"> 23.4 (2011) pp. 390-414 </w:t>
      </w:r>
    </w:p>
    <w:p w14:paraId="1B9B74A9" w14:textId="77777777" w:rsidR="00162224" w:rsidRPr="003037D2" w:rsidRDefault="00162224" w:rsidP="00A721D6">
      <w:pPr>
        <w:ind w:left="1361" w:hanging="720"/>
        <w:rPr>
          <w:rFonts w:ascii="Garamond" w:hAnsi="Garamond"/>
          <w:bCs/>
        </w:rPr>
      </w:pPr>
      <w:r w:rsidRPr="003037D2">
        <w:rPr>
          <w:rFonts w:ascii="Garamond" w:hAnsi="Garamond"/>
          <w:bCs/>
        </w:rPr>
        <w:t xml:space="preserve">Bjorklund, N.C., ‘Matthew Parker and the reform of the English church during the reigns of Henry VIII and Edward VI’ (unpublished Doctoral dissertation, University of California, Irvine, 1987) </w:t>
      </w:r>
    </w:p>
    <w:p w14:paraId="35D74805" w14:textId="77777777" w:rsidR="00162224" w:rsidRPr="003037D2" w:rsidRDefault="00162224" w:rsidP="00A721D6">
      <w:pPr>
        <w:ind w:left="1361" w:hanging="720"/>
        <w:rPr>
          <w:rFonts w:ascii="Garamond" w:hAnsi="Garamond" w:cs="Times New Roman"/>
          <w:color w:val="333333"/>
          <w:shd w:val="clear" w:color="auto" w:fill="FFFFFF"/>
        </w:rPr>
      </w:pPr>
      <w:r w:rsidRPr="003037D2">
        <w:rPr>
          <w:rFonts w:ascii="Garamond" w:hAnsi="Garamond" w:cs="Times New Roman"/>
          <w:color w:val="333333"/>
          <w:shd w:val="clear" w:color="auto" w:fill="FFFFFF"/>
        </w:rPr>
        <w:t>Blair, Ann. ‘Reading Strategies for Coping with Information Overload Ca. 1550-1700</w:t>
      </w:r>
      <w:proofErr w:type="gramStart"/>
      <w:r w:rsidRPr="003037D2">
        <w:rPr>
          <w:rFonts w:ascii="Garamond" w:hAnsi="Garamond" w:cs="Times New Roman"/>
          <w:color w:val="333333"/>
          <w:shd w:val="clear" w:color="auto" w:fill="FFFFFF"/>
        </w:rPr>
        <w:t>’  in</w:t>
      </w:r>
      <w:proofErr w:type="gramEnd"/>
      <w:r w:rsidRPr="003037D2">
        <w:rPr>
          <w:rFonts w:ascii="Garamond" w:hAnsi="Garamond" w:cs="Times New Roman"/>
          <w:color w:val="333333"/>
          <w:shd w:val="clear" w:color="auto" w:fill="FFFFFF"/>
        </w:rPr>
        <w:t xml:space="preserve"> </w:t>
      </w:r>
      <w:r w:rsidRPr="003037D2">
        <w:rPr>
          <w:rFonts w:ascii="Garamond" w:hAnsi="Garamond" w:cs="Times New Roman"/>
          <w:i/>
          <w:iCs/>
          <w:color w:val="333333"/>
          <w:shd w:val="clear" w:color="auto" w:fill="FFFFFF"/>
        </w:rPr>
        <w:t>Journal of the History of Ideas</w:t>
      </w:r>
      <w:r w:rsidRPr="003037D2">
        <w:rPr>
          <w:rFonts w:ascii="Garamond" w:hAnsi="Garamond" w:cs="Times New Roman"/>
          <w:color w:val="333333"/>
          <w:shd w:val="clear" w:color="auto" w:fill="FFFFFF"/>
        </w:rPr>
        <w:t>, 64.1 (2003), pp. 11–28</w:t>
      </w:r>
    </w:p>
    <w:p w14:paraId="1EF2AC61" w14:textId="77777777" w:rsidR="00162224" w:rsidRPr="003037D2" w:rsidRDefault="00162224" w:rsidP="00A721D6">
      <w:pPr>
        <w:ind w:left="1361" w:hanging="720"/>
        <w:rPr>
          <w:rFonts w:ascii="Garamond" w:hAnsi="Garamond"/>
        </w:rPr>
      </w:pPr>
      <w:proofErr w:type="spellStart"/>
      <w:r w:rsidRPr="003037D2">
        <w:rPr>
          <w:rFonts w:ascii="Garamond" w:hAnsi="Garamond"/>
        </w:rPr>
        <w:t>Blau</w:t>
      </w:r>
      <w:proofErr w:type="spellEnd"/>
      <w:r w:rsidRPr="003037D2">
        <w:rPr>
          <w:rFonts w:ascii="Garamond" w:hAnsi="Garamond"/>
        </w:rPr>
        <w:t xml:space="preserve">, Sheridan, ‘The Poet as Casuist’ in </w:t>
      </w:r>
      <w:r w:rsidRPr="003037D2">
        <w:rPr>
          <w:rFonts w:ascii="Garamond" w:hAnsi="Garamond"/>
          <w:i/>
          <w:iCs/>
        </w:rPr>
        <w:t xml:space="preserve">Genre, </w:t>
      </w:r>
      <w:r w:rsidRPr="003037D2">
        <w:rPr>
          <w:rFonts w:ascii="Garamond" w:hAnsi="Garamond"/>
        </w:rPr>
        <w:t xml:space="preserve">4 (1971) pp. 142-52 </w:t>
      </w:r>
    </w:p>
    <w:p w14:paraId="5ECBC06E" w14:textId="77777777" w:rsidR="00162224" w:rsidRPr="003037D2" w:rsidRDefault="00162224" w:rsidP="00A721D6">
      <w:pPr>
        <w:ind w:left="1361" w:hanging="720"/>
        <w:rPr>
          <w:rFonts w:ascii="Garamond" w:hAnsi="Garamond" w:cs="Times"/>
          <w:color w:val="222222"/>
          <w:shd w:val="clear" w:color="auto" w:fill="FFFFFF"/>
        </w:rPr>
      </w:pPr>
      <w:r w:rsidRPr="003037D2">
        <w:rPr>
          <w:rFonts w:ascii="Garamond" w:hAnsi="Garamond"/>
        </w:rPr>
        <w:t xml:space="preserve">Blayney, Peter, </w:t>
      </w:r>
      <w:r w:rsidRPr="003037D2">
        <w:rPr>
          <w:rFonts w:ascii="Garamond" w:hAnsi="Garamond" w:cs="Times"/>
          <w:color w:val="222222"/>
          <w:shd w:val="clear" w:color="auto" w:fill="FFFFFF"/>
        </w:rPr>
        <w:t>‘The alleged popularity of playbooks’, in </w:t>
      </w:r>
      <w:r w:rsidRPr="003037D2">
        <w:rPr>
          <w:rFonts w:ascii="Garamond" w:hAnsi="Garamond" w:cs="Times"/>
          <w:i/>
          <w:iCs/>
          <w:color w:val="222222"/>
          <w:shd w:val="clear" w:color="auto" w:fill="FFFFFF"/>
        </w:rPr>
        <w:t>Shakespeare Quarterly</w:t>
      </w:r>
      <w:r w:rsidRPr="003037D2">
        <w:rPr>
          <w:rFonts w:ascii="Garamond" w:hAnsi="Garamond" w:cs="Times"/>
          <w:color w:val="222222"/>
          <w:shd w:val="clear" w:color="auto" w:fill="FFFFFF"/>
        </w:rPr>
        <w:t>, 56/1 (2005), pp. 33-50</w:t>
      </w:r>
    </w:p>
    <w:p w14:paraId="49A228D5" w14:textId="77777777" w:rsidR="00162224" w:rsidRPr="003037D2" w:rsidRDefault="00162224" w:rsidP="00A721D6">
      <w:pPr>
        <w:ind w:left="1361" w:hanging="720"/>
        <w:rPr>
          <w:rFonts w:ascii="Garamond" w:hAnsi="Garamond" w:cs="Times New Roman"/>
          <w:color w:val="333333"/>
          <w:shd w:val="clear" w:color="auto" w:fill="FFFFFF"/>
        </w:rPr>
      </w:pPr>
      <w:r w:rsidRPr="003037D2">
        <w:rPr>
          <w:rFonts w:ascii="Garamond" w:hAnsi="Garamond" w:cs="Times"/>
          <w:color w:val="222222"/>
          <w:shd w:val="clear" w:color="auto" w:fill="FFFFFF"/>
        </w:rPr>
        <w:softHyphen/>
      </w:r>
      <w:r w:rsidRPr="003037D2">
        <w:rPr>
          <w:rFonts w:ascii="Garamond" w:hAnsi="Garamond" w:cs="Times"/>
          <w:color w:val="222222"/>
          <w:shd w:val="clear" w:color="auto" w:fill="FFFFFF"/>
        </w:rPr>
        <w:softHyphen/>
      </w:r>
      <w:r w:rsidRPr="003037D2">
        <w:rPr>
          <w:rFonts w:ascii="Garamond" w:hAnsi="Garamond" w:cs="Times"/>
          <w:color w:val="222222"/>
          <w:shd w:val="clear" w:color="auto" w:fill="FFFFFF"/>
        </w:rPr>
        <w:softHyphen/>
        <w:t>____</w:t>
      </w:r>
      <w:proofErr w:type="gramStart"/>
      <w:r w:rsidRPr="003037D2">
        <w:rPr>
          <w:rFonts w:ascii="Garamond" w:hAnsi="Garamond" w:cs="Times"/>
          <w:color w:val="222222"/>
          <w:shd w:val="clear" w:color="auto" w:fill="FFFFFF"/>
        </w:rPr>
        <w:t>_ ,</w:t>
      </w:r>
      <w:proofErr w:type="gramEnd"/>
      <w:r w:rsidRPr="003037D2">
        <w:rPr>
          <w:rFonts w:ascii="Garamond" w:hAnsi="Garamond" w:cs="Times"/>
          <w:color w:val="222222"/>
          <w:shd w:val="clear" w:color="auto" w:fill="FFFFFF"/>
        </w:rPr>
        <w:t xml:space="preserve"> </w:t>
      </w:r>
      <w:r w:rsidRPr="003037D2">
        <w:rPr>
          <w:rFonts w:ascii="Garamond" w:hAnsi="Garamond"/>
          <w:i/>
        </w:rPr>
        <w:t xml:space="preserve">The Bookshops in Paul’s Cross Churchyard </w:t>
      </w:r>
      <w:r w:rsidRPr="003037D2">
        <w:rPr>
          <w:rFonts w:ascii="Garamond" w:hAnsi="Garamond"/>
        </w:rPr>
        <w:t>(London: Bibliographical Society, 1990)</w:t>
      </w:r>
    </w:p>
    <w:p w14:paraId="6D054A4B" w14:textId="77777777" w:rsidR="00162224" w:rsidRPr="003037D2" w:rsidRDefault="00162224" w:rsidP="00A721D6">
      <w:pPr>
        <w:ind w:left="1361" w:hanging="720"/>
        <w:rPr>
          <w:rFonts w:ascii="Garamond" w:hAnsi="Garamond" w:cs="Times New Roman"/>
          <w:color w:val="333333"/>
          <w:shd w:val="clear" w:color="auto" w:fill="FFFFFF"/>
        </w:rPr>
      </w:pPr>
      <w:r w:rsidRPr="003037D2">
        <w:rPr>
          <w:rFonts w:ascii="Garamond" w:hAnsi="Garamond" w:cs="Times New Roman"/>
          <w:iCs/>
          <w:color w:val="333333"/>
          <w:shd w:val="clear" w:color="auto" w:fill="FFFFFF"/>
        </w:rPr>
        <w:t xml:space="preserve">Brandon, S.G.F., </w:t>
      </w:r>
      <w:r w:rsidRPr="003037D2">
        <w:rPr>
          <w:rFonts w:ascii="Garamond" w:hAnsi="Garamond" w:cs="Times New Roman"/>
          <w:i/>
          <w:iCs/>
          <w:color w:val="333333"/>
          <w:shd w:val="clear" w:color="auto" w:fill="FFFFFF"/>
        </w:rPr>
        <w:t xml:space="preserve">History, Time, and Deity </w:t>
      </w:r>
      <w:r w:rsidRPr="003037D2">
        <w:rPr>
          <w:rFonts w:ascii="Garamond" w:hAnsi="Garamond" w:cs="Times New Roman"/>
          <w:color w:val="333333"/>
          <w:shd w:val="clear" w:color="auto" w:fill="FFFFFF"/>
        </w:rPr>
        <w:t xml:space="preserve">(Manchester: Manchester University Press, 1965) </w:t>
      </w:r>
    </w:p>
    <w:p w14:paraId="7F00140E" w14:textId="77777777" w:rsidR="00162224" w:rsidRPr="003037D2" w:rsidRDefault="00162224" w:rsidP="00A721D6">
      <w:pPr>
        <w:ind w:left="1361" w:hanging="720"/>
        <w:rPr>
          <w:rFonts w:ascii="Garamond" w:hAnsi="Garamond"/>
        </w:rPr>
      </w:pPr>
      <w:proofErr w:type="spellStart"/>
      <w:r w:rsidRPr="003037D2">
        <w:rPr>
          <w:rFonts w:ascii="Garamond" w:hAnsi="Garamond"/>
        </w:rPr>
        <w:t>Brayman</w:t>
      </w:r>
      <w:proofErr w:type="spellEnd"/>
      <w:r w:rsidRPr="003037D2">
        <w:rPr>
          <w:rFonts w:ascii="Garamond" w:hAnsi="Garamond"/>
        </w:rPr>
        <w:t xml:space="preserve"> </w:t>
      </w:r>
      <w:proofErr w:type="spellStart"/>
      <w:r w:rsidRPr="003037D2">
        <w:rPr>
          <w:rFonts w:ascii="Garamond" w:hAnsi="Garamond"/>
        </w:rPr>
        <w:t>Hackel</w:t>
      </w:r>
      <w:proofErr w:type="spellEnd"/>
      <w:r w:rsidRPr="003037D2">
        <w:rPr>
          <w:rFonts w:ascii="Garamond" w:hAnsi="Garamond"/>
        </w:rPr>
        <w:t xml:space="preserve">, Heidi, </w:t>
      </w:r>
      <w:r w:rsidRPr="003037D2">
        <w:rPr>
          <w:rFonts w:ascii="Garamond" w:hAnsi="Garamond"/>
          <w:i/>
        </w:rPr>
        <w:t xml:space="preserve">Reading Material in Early Modern England: Print, Gender, and Literacy </w:t>
      </w:r>
      <w:r w:rsidRPr="003037D2">
        <w:rPr>
          <w:rFonts w:ascii="Garamond" w:hAnsi="Garamond"/>
        </w:rPr>
        <w:t>(Cambridge: Cambridge University Press, 2005)</w:t>
      </w:r>
    </w:p>
    <w:p w14:paraId="410E642F" w14:textId="77777777" w:rsidR="00162224" w:rsidRPr="003037D2" w:rsidRDefault="00162224" w:rsidP="00A721D6">
      <w:pPr>
        <w:ind w:left="1361" w:hanging="720"/>
        <w:rPr>
          <w:rFonts w:ascii="Garamond" w:hAnsi="Garamond"/>
        </w:rPr>
      </w:pPr>
      <w:proofErr w:type="spellStart"/>
      <w:r w:rsidRPr="003037D2">
        <w:rPr>
          <w:rFonts w:ascii="Garamond" w:hAnsi="Garamond"/>
        </w:rPr>
        <w:t>Breisach</w:t>
      </w:r>
      <w:proofErr w:type="spellEnd"/>
      <w:r w:rsidRPr="003037D2">
        <w:rPr>
          <w:rFonts w:ascii="Garamond" w:hAnsi="Garamond"/>
        </w:rPr>
        <w:t xml:space="preserve">, Ernst, </w:t>
      </w:r>
      <w:r w:rsidRPr="003037D2">
        <w:rPr>
          <w:rFonts w:ascii="Garamond" w:hAnsi="Garamond"/>
          <w:i/>
          <w:iCs/>
        </w:rPr>
        <w:t>Historiography: Ancient, Medieval, and Modern</w:t>
      </w:r>
      <w:r w:rsidRPr="003037D2">
        <w:rPr>
          <w:rFonts w:ascii="Garamond" w:hAnsi="Garamond"/>
        </w:rPr>
        <w:t xml:space="preserve"> (Chicago: University of Chicago Press, 2007) </w:t>
      </w:r>
    </w:p>
    <w:p w14:paraId="602625BB" w14:textId="77777777" w:rsidR="00162224" w:rsidRPr="003037D2" w:rsidRDefault="00162224" w:rsidP="00A721D6">
      <w:pPr>
        <w:ind w:left="1361" w:hanging="720"/>
        <w:rPr>
          <w:rFonts w:ascii="Garamond" w:hAnsi="Garamond"/>
        </w:rPr>
      </w:pPr>
      <w:r w:rsidRPr="003037D2">
        <w:rPr>
          <w:rFonts w:ascii="Garamond" w:hAnsi="Garamond"/>
        </w:rPr>
        <w:t xml:space="preserve">Brown, Matthew P., </w:t>
      </w:r>
      <w:r w:rsidRPr="003037D2">
        <w:rPr>
          <w:rFonts w:ascii="Garamond" w:hAnsi="Garamond"/>
          <w:i/>
          <w:iCs/>
        </w:rPr>
        <w:t xml:space="preserve">The Pilgrim and the Bee: Reading rituals and book culture in early New England </w:t>
      </w:r>
      <w:r w:rsidRPr="003037D2">
        <w:rPr>
          <w:rFonts w:ascii="Garamond" w:hAnsi="Garamond"/>
        </w:rPr>
        <w:t xml:space="preserve">(Philadelphia: University of Pennsylvania Press, 2007) </w:t>
      </w:r>
    </w:p>
    <w:p w14:paraId="32825BCA" w14:textId="77777777" w:rsidR="00162224" w:rsidRPr="003037D2" w:rsidRDefault="00162224" w:rsidP="00A721D6">
      <w:pPr>
        <w:ind w:left="1361" w:hanging="720"/>
        <w:rPr>
          <w:rFonts w:ascii="Garamond" w:hAnsi="Garamond"/>
        </w:rPr>
      </w:pPr>
      <w:r w:rsidRPr="003037D2">
        <w:rPr>
          <w:rFonts w:ascii="Garamond" w:hAnsi="Garamond"/>
        </w:rPr>
        <w:t xml:space="preserve">Brown, Piers, </w:t>
      </w:r>
      <w:r w:rsidRPr="003037D2">
        <w:rPr>
          <w:rFonts w:ascii="Garamond" w:hAnsi="Garamond"/>
          <w:i/>
        </w:rPr>
        <w:t>‘</w:t>
      </w:r>
      <w:r w:rsidRPr="003037D2">
        <w:rPr>
          <w:rFonts w:ascii="Garamond" w:hAnsi="Garamond"/>
        </w:rPr>
        <w:t xml:space="preserve">Donne's </w:t>
      </w:r>
      <w:proofErr w:type="spellStart"/>
      <w:r w:rsidRPr="003037D2">
        <w:rPr>
          <w:rFonts w:ascii="Garamond" w:hAnsi="Garamond"/>
        </w:rPr>
        <w:t>Hawkings</w:t>
      </w:r>
      <w:proofErr w:type="spellEnd"/>
      <w:r w:rsidRPr="003037D2">
        <w:rPr>
          <w:rFonts w:ascii="Garamond" w:hAnsi="Garamond"/>
        </w:rPr>
        <w:t xml:space="preserve">’ in </w:t>
      </w:r>
      <w:r w:rsidRPr="003037D2">
        <w:rPr>
          <w:rFonts w:ascii="Garamond" w:hAnsi="Garamond"/>
          <w:i/>
        </w:rPr>
        <w:t>Studies in English Literature</w:t>
      </w:r>
      <w:r w:rsidRPr="003037D2">
        <w:rPr>
          <w:rFonts w:ascii="Garamond" w:hAnsi="Garamond"/>
        </w:rPr>
        <w:t xml:space="preserve">, </w:t>
      </w:r>
      <w:r w:rsidRPr="003037D2">
        <w:rPr>
          <w:rFonts w:ascii="Garamond" w:hAnsi="Garamond"/>
          <w:i/>
          <w:iCs/>
        </w:rPr>
        <w:t>1500-1900</w:t>
      </w:r>
      <w:r w:rsidRPr="003037D2">
        <w:rPr>
          <w:rFonts w:ascii="Garamond" w:hAnsi="Garamond"/>
        </w:rPr>
        <w:t xml:space="preserve">, 49.1 (Winter, 2009), pp. 67-86 </w:t>
      </w:r>
    </w:p>
    <w:p w14:paraId="4E081A97" w14:textId="77777777" w:rsidR="00162224" w:rsidRPr="003037D2" w:rsidRDefault="00162224" w:rsidP="00A721D6">
      <w:pPr>
        <w:ind w:left="1361" w:hanging="720"/>
        <w:rPr>
          <w:rFonts w:ascii="Garamond" w:hAnsi="Garamond"/>
        </w:rPr>
      </w:pPr>
      <w:r w:rsidRPr="003037D2">
        <w:rPr>
          <w:rFonts w:ascii="Garamond" w:hAnsi="Garamond"/>
        </w:rPr>
        <w:t xml:space="preserve">Buber, Martin, </w:t>
      </w:r>
      <w:r w:rsidRPr="003037D2">
        <w:rPr>
          <w:rFonts w:ascii="Garamond" w:hAnsi="Garamond"/>
          <w:i/>
        </w:rPr>
        <w:t xml:space="preserve">I and thou (Ich and Du), </w:t>
      </w:r>
      <w:r w:rsidRPr="003037D2">
        <w:rPr>
          <w:rFonts w:ascii="Garamond" w:hAnsi="Garamond"/>
        </w:rPr>
        <w:t>translated by Ronald Gregor Smith (Edinburgh: Clark, 1994)</w:t>
      </w:r>
    </w:p>
    <w:p w14:paraId="27F0F444" w14:textId="4C3EBE46" w:rsidR="00162224" w:rsidRPr="003037D2" w:rsidRDefault="00162224" w:rsidP="00A721D6">
      <w:pPr>
        <w:ind w:left="1361" w:hanging="720"/>
        <w:rPr>
          <w:rStyle w:val="apple-converted-space"/>
          <w:rFonts w:ascii="Garamond" w:hAnsi="Garamond"/>
          <w:color w:val="32322F"/>
          <w:shd w:val="clear" w:color="auto" w:fill="FFFFFF"/>
        </w:rPr>
      </w:pPr>
      <w:r w:rsidRPr="003037D2">
        <w:rPr>
          <w:rFonts w:ascii="Garamond" w:hAnsi="Garamond"/>
        </w:rPr>
        <w:t xml:space="preserve">Burke, Mary, Jane </w:t>
      </w:r>
      <w:proofErr w:type="spellStart"/>
      <w:r w:rsidRPr="003037D2">
        <w:rPr>
          <w:rFonts w:ascii="Garamond" w:hAnsi="Garamond"/>
        </w:rPr>
        <w:t>Donawerth</w:t>
      </w:r>
      <w:proofErr w:type="spellEnd"/>
      <w:r w:rsidRPr="003037D2">
        <w:rPr>
          <w:rFonts w:ascii="Garamond" w:hAnsi="Garamond"/>
        </w:rPr>
        <w:t xml:space="preserve">, Linda L. Dove, and Karen Nelson eds, </w:t>
      </w:r>
      <w:r w:rsidRPr="003037D2">
        <w:rPr>
          <w:rFonts w:ascii="Garamond" w:hAnsi="Garamond"/>
          <w:i/>
          <w:iCs/>
        </w:rPr>
        <w:t>W</w:t>
      </w:r>
      <w:r w:rsidRPr="003037D2">
        <w:rPr>
          <w:rFonts w:ascii="Garamond" w:hAnsi="Garamond"/>
          <w:i/>
          <w:color w:val="32322F"/>
          <w:shd w:val="clear" w:color="auto" w:fill="FFFFFF"/>
        </w:rPr>
        <w:t>omen, writing, and the reproduction of culture in Tudor and Stuart Britain</w:t>
      </w:r>
      <w:r w:rsidRPr="003037D2">
        <w:rPr>
          <w:rStyle w:val="apple-converted-space"/>
          <w:rFonts w:ascii="Garamond" w:hAnsi="Garamond"/>
          <w:i/>
          <w:color w:val="32322F"/>
          <w:shd w:val="clear" w:color="auto" w:fill="FFFFFF"/>
        </w:rPr>
        <w:t> </w:t>
      </w:r>
      <w:r w:rsidRPr="003037D2">
        <w:rPr>
          <w:rStyle w:val="apple-converted-space"/>
          <w:rFonts w:ascii="Garamond" w:hAnsi="Garamond"/>
          <w:color w:val="32322F"/>
          <w:shd w:val="clear" w:color="auto" w:fill="FFFFFF"/>
        </w:rPr>
        <w:t xml:space="preserve">(New York: </w:t>
      </w:r>
      <w:proofErr w:type="spellStart"/>
      <w:r w:rsidRPr="003037D2">
        <w:rPr>
          <w:rStyle w:val="apple-converted-space"/>
          <w:rFonts w:ascii="Garamond" w:hAnsi="Garamond"/>
          <w:color w:val="32322F"/>
          <w:shd w:val="clear" w:color="auto" w:fill="FFFFFF"/>
        </w:rPr>
        <w:t>Sycarus</w:t>
      </w:r>
      <w:proofErr w:type="spellEnd"/>
      <w:r w:rsidRPr="003037D2">
        <w:rPr>
          <w:rStyle w:val="apple-converted-space"/>
          <w:rFonts w:ascii="Garamond" w:hAnsi="Garamond"/>
          <w:color w:val="32322F"/>
          <w:shd w:val="clear" w:color="auto" w:fill="FFFFFF"/>
        </w:rPr>
        <w:t xml:space="preserve"> University Press, 2000) </w:t>
      </w:r>
    </w:p>
    <w:p w14:paraId="61D78D46" w14:textId="77777777" w:rsidR="00162224" w:rsidRPr="003037D2" w:rsidRDefault="00162224" w:rsidP="00A721D6">
      <w:pPr>
        <w:ind w:left="1361" w:hanging="720"/>
        <w:rPr>
          <w:rStyle w:val="apple-converted-space"/>
          <w:rFonts w:ascii="Garamond" w:hAnsi="Garamond"/>
          <w:b/>
          <w:bCs/>
          <w:color w:val="32322F"/>
          <w:shd w:val="clear" w:color="auto" w:fill="FFFFFF"/>
        </w:rPr>
      </w:pPr>
      <w:r w:rsidRPr="003037D2">
        <w:rPr>
          <w:rFonts w:ascii="Garamond" w:hAnsi="Garamond"/>
        </w:rPr>
        <w:t xml:space="preserve">Burke, Victoria E., ‘Recent Studies in Commonplace Books’ in </w:t>
      </w:r>
      <w:r w:rsidRPr="003037D2">
        <w:rPr>
          <w:rFonts w:ascii="Garamond" w:hAnsi="Garamond"/>
          <w:i/>
        </w:rPr>
        <w:t xml:space="preserve">English Literary Renaissance, </w:t>
      </w:r>
      <w:r w:rsidRPr="003037D2">
        <w:rPr>
          <w:rFonts w:ascii="Garamond" w:hAnsi="Garamond"/>
          <w:iCs/>
        </w:rPr>
        <w:t>43</w:t>
      </w:r>
      <w:r w:rsidRPr="003037D2">
        <w:rPr>
          <w:rFonts w:ascii="Garamond" w:hAnsi="Garamond"/>
          <w:i/>
        </w:rPr>
        <w:t xml:space="preserve"> </w:t>
      </w:r>
      <w:r w:rsidRPr="003037D2">
        <w:rPr>
          <w:rFonts w:ascii="Garamond" w:hAnsi="Garamond"/>
        </w:rPr>
        <w:t>(2013), pp. 153-77</w:t>
      </w:r>
    </w:p>
    <w:p w14:paraId="25539597" w14:textId="5B4B97A0" w:rsidR="00162224" w:rsidRPr="003037D2" w:rsidRDefault="00162224" w:rsidP="00A721D6">
      <w:pPr>
        <w:ind w:left="1361" w:hanging="720"/>
        <w:rPr>
          <w:rFonts w:ascii="Garamond" w:hAnsi="Garamond"/>
        </w:rPr>
      </w:pPr>
      <w:proofErr w:type="spellStart"/>
      <w:r w:rsidRPr="003037D2">
        <w:rPr>
          <w:rFonts w:ascii="Garamond" w:hAnsi="Garamond"/>
          <w:iCs/>
        </w:rPr>
        <w:t>Callender</w:t>
      </w:r>
      <w:proofErr w:type="spellEnd"/>
      <w:r w:rsidRPr="003037D2">
        <w:rPr>
          <w:rFonts w:ascii="Garamond" w:hAnsi="Garamond"/>
          <w:iCs/>
        </w:rPr>
        <w:t>, Craig</w:t>
      </w:r>
      <w:r w:rsidR="0065623B">
        <w:rPr>
          <w:rFonts w:ascii="Garamond" w:hAnsi="Garamond"/>
          <w:iCs/>
        </w:rPr>
        <w:t>,</w:t>
      </w:r>
      <w:r w:rsidRPr="003037D2">
        <w:rPr>
          <w:rFonts w:ascii="Garamond" w:hAnsi="Garamond"/>
          <w:iCs/>
        </w:rPr>
        <w:t xml:space="preserve"> ed., </w:t>
      </w:r>
      <w:r w:rsidRPr="003037D2">
        <w:rPr>
          <w:rFonts w:ascii="Garamond" w:hAnsi="Garamond"/>
          <w:i/>
          <w:iCs/>
        </w:rPr>
        <w:t xml:space="preserve">The Oxford Handbook of Philosophy of Time </w:t>
      </w:r>
      <w:r w:rsidRPr="003037D2">
        <w:rPr>
          <w:rFonts w:ascii="Garamond" w:hAnsi="Garamond"/>
        </w:rPr>
        <w:t xml:space="preserve">(Oxford: Oxford University Press, 2011) </w:t>
      </w:r>
    </w:p>
    <w:p w14:paraId="129E8F8F" w14:textId="77777777" w:rsidR="00162224" w:rsidRPr="003037D2" w:rsidRDefault="00162224" w:rsidP="00A721D6">
      <w:pPr>
        <w:ind w:left="1361" w:hanging="720"/>
        <w:rPr>
          <w:rFonts w:ascii="Garamond" w:hAnsi="Garamond"/>
        </w:rPr>
      </w:pPr>
      <w:r w:rsidRPr="003037D2">
        <w:rPr>
          <w:rFonts w:ascii="Garamond" w:hAnsi="Garamond"/>
        </w:rPr>
        <w:t xml:space="preserve">Cannon, James, ‘Reverent Donne: The Double Quickening of Lincoln’s Inn Chapel’ in </w:t>
      </w:r>
      <w:r w:rsidRPr="003037D2">
        <w:rPr>
          <w:rFonts w:ascii="Garamond" w:hAnsi="Garamond"/>
          <w:i/>
        </w:rPr>
        <w:t xml:space="preserve">John Donne’s Professional Lives, </w:t>
      </w:r>
      <w:r w:rsidRPr="003037D2">
        <w:rPr>
          <w:rFonts w:ascii="Garamond" w:hAnsi="Garamond"/>
          <w:iCs/>
        </w:rPr>
        <w:t xml:space="preserve">ed. by </w:t>
      </w:r>
      <w:r w:rsidRPr="003037D2">
        <w:rPr>
          <w:rFonts w:ascii="Garamond" w:hAnsi="Garamond"/>
        </w:rPr>
        <w:t>David Colclough (Cambridge: D.S. Brewer, 2003) pp. 207-214</w:t>
      </w:r>
    </w:p>
    <w:p w14:paraId="67F62249" w14:textId="46E9A097" w:rsidR="00162224" w:rsidRPr="003037D2" w:rsidRDefault="00162224" w:rsidP="00A721D6">
      <w:pPr>
        <w:ind w:left="1361" w:hanging="720"/>
        <w:rPr>
          <w:rFonts w:ascii="Garamond" w:hAnsi="Garamond"/>
        </w:rPr>
      </w:pPr>
      <w:r w:rsidRPr="003037D2">
        <w:rPr>
          <w:rFonts w:ascii="Garamond" w:hAnsi="Garamond"/>
        </w:rPr>
        <w:t xml:space="preserve">Canny, Nicholas P., </w:t>
      </w:r>
      <w:r w:rsidRPr="003037D2">
        <w:rPr>
          <w:rFonts w:ascii="Garamond" w:hAnsi="Garamond"/>
          <w:i/>
          <w:iCs/>
        </w:rPr>
        <w:t xml:space="preserve">Making Ireland British, 1580-1630 </w:t>
      </w:r>
      <w:r w:rsidRPr="003037D2">
        <w:rPr>
          <w:rFonts w:ascii="Garamond" w:hAnsi="Garamond"/>
        </w:rPr>
        <w:t>(Oxford: Oxford University Press, 2000)</w:t>
      </w:r>
    </w:p>
    <w:p w14:paraId="0BC2A1AB" w14:textId="343BAC6F" w:rsidR="00896124" w:rsidRPr="003037D2" w:rsidRDefault="00896124" w:rsidP="00A721D6">
      <w:pPr>
        <w:ind w:left="1361" w:hanging="720"/>
        <w:rPr>
          <w:rFonts w:ascii="Garamond" w:hAnsi="Garamond"/>
        </w:rPr>
      </w:pPr>
      <w:r w:rsidRPr="003037D2">
        <w:rPr>
          <w:rFonts w:ascii="Garamond" w:hAnsi="Garamond"/>
        </w:rPr>
        <w:t>Cano-</w:t>
      </w:r>
      <w:proofErr w:type="spellStart"/>
      <w:r w:rsidRPr="003037D2">
        <w:rPr>
          <w:rFonts w:ascii="Garamond" w:hAnsi="Garamond"/>
        </w:rPr>
        <w:t>Echevarría</w:t>
      </w:r>
      <w:proofErr w:type="spellEnd"/>
      <w:r w:rsidRPr="003037D2">
        <w:rPr>
          <w:rFonts w:ascii="Garamond" w:hAnsi="Garamond"/>
        </w:rPr>
        <w:t>, Berta, ‘</w:t>
      </w:r>
      <w:proofErr w:type="spellStart"/>
      <w:r w:rsidRPr="003037D2">
        <w:rPr>
          <w:rFonts w:ascii="Garamond" w:hAnsi="Garamond"/>
        </w:rPr>
        <w:t>Puttenham’s</w:t>
      </w:r>
      <w:proofErr w:type="spellEnd"/>
      <w:r w:rsidRPr="003037D2">
        <w:rPr>
          <w:rFonts w:ascii="Garamond" w:hAnsi="Garamond"/>
        </w:rPr>
        <w:t xml:space="preserve"> failed design: The fake genealogy of English pattern poetry’ in </w:t>
      </w:r>
      <w:r w:rsidRPr="003037D2">
        <w:rPr>
          <w:rFonts w:ascii="Garamond" w:hAnsi="Garamond"/>
          <w:i/>
          <w:iCs/>
        </w:rPr>
        <w:t xml:space="preserve">Cahiers </w:t>
      </w:r>
      <w:proofErr w:type="spellStart"/>
      <w:r w:rsidRPr="003037D2">
        <w:rPr>
          <w:rFonts w:ascii="Garamond" w:hAnsi="Garamond"/>
          <w:i/>
          <w:iCs/>
        </w:rPr>
        <w:t>Élisabéthains</w:t>
      </w:r>
      <w:proofErr w:type="spellEnd"/>
      <w:r w:rsidRPr="003037D2">
        <w:rPr>
          <w:rFonts w:ascii="Garamond" w:hAnsi="Garamond"/>
        </w:rPr>
        <w:t>, </w:t>
      </w:r>
      <w:r w:rsidRPr="003037D2">
        <w:rPr>
          <w:rFonts w:ascii="Garamond" w:hAnsi="Garamond"/>
          <w:iCs/>
        </w:rPr>
        <w:t>94</w:t>
      </w:r>
      <w:r w:rsidRPr="003037D2">
        <w:rPr>
          <w:rFonts w:ascii="Garamond" w:hAnsi="Garamond"/>
        </w:rPr>
        <w:t xml:space="preserve"> (2017), pp. 57–73</w:t>
      </w:r>
    </w:p>
    <w:p w14:paraId="688E3358" w14:textId="77777777" w:rsidR="00162224" w:rsidRPr="003037D2" w:rsidRDefault="00162224" w:rsidP="00A721D6">
      <w:pPr>
        <w:ind w:left="1361" w:hanging="720"/>
        <w:rPr>
          <w:rFonts w:ascii="Garamond" w:hAnsi="Garamond"/>
        </w:rPr>
      </w:pPr>
      <w:r w:rsidRPr="003037D2">
        <w:rPr>
          <w:rFonts w:ascii="Garamond" w:hAnsi="Garamond"/>
        </w:rPr>
        <w:t xml:space="preserve">Capp, Bernard, </w:t>
      </w:r>
      <w:r w:rsidRPr="003037D2">
        <w:rPr>
          <w:rFonts w:ascii="Garamond" w:hAnsi="Garamond"/>
          <w:i/>
        </w:rPr>
        <w:t xml:space="preserve">English Almanacs 1500-1800: Astrology and the Popular Press </w:t>
      </w:r>
      <w:r w:rsidRPr="003037D2">
        <w:rPr>
          <w:rFonts w:ascii="Garamond" w:hAnsi="Garamond"/>
        </w:rPr>
        <w:t xml:space="preserve">(Ithaca, NY: Cornell University Press, 1979) </w:t>
      </w:r>
    </w:p>
    <w:p w14:paraId="3254953B" w14:textId="67C0F120" w:rsidR="00162224" w:rsidRPr="003037D2" w:rsidRDefault="00162224" w:rsidP="00A721D6">
      <w:pPr>
        <w:ind w:left="1361" w:hanging="720"/>
        <w:rPr>
          <w:rFonts w:ascii="Garamond" w:hAnsi="Garamond"/>
        </w:rPr>
      </w:pPr>
      <w:proofErr w:type="spellStart"/>
      <w:r w:rsidRPr="003037D2">
        <w:rPr>
          <w:rFonts w:ascii="Garamond" w:hAnsi="Garamond"/>
        </w:rPr>
        <w:t>Catto</w:t>
      </w:r>
      <w:proofErr w:type="spellEnd"/>
      <w:r w:rsidRPr="003037D2">
        <w:rPr>
          <w:rFonts w:ascii="Garamond" w:hAnsi="Garamond"/>
        </w:rPr>
        <w:t xml:space="preserve">, Jeremy, ‘Day, John (1566–1628), Aristotelian scholar and Church of England clergyman’ in </w:t>
      </w:r>
      <w:r w:rsidRPr="003037D2">
        <w:rPr>
          <w:rFonts w:ascii="Garamond" w:hAnsi="Garamond"/>
          <w:i/>
          <w:iCs/>
        </w:rPr>
        <w:t>Oxford Dictionary of National Biography</w:t>
      </w:r>
      <w:r w:rsidRPr="003037D2">
        <w:rPr>
          <w:rFonts w:ascii="Garamond" w:hAnsi="Garamond"/>
        </w:rPr>
        <w:t>, Oxford University Press, 2004 &lt;</w:t>
      </w:r>
      <w:hyperlink r:id="rId76" w:history="1">
        <w:r w:rsidRPr="003037D2">
          <w:rPr>
            <w:rStyle w:val="Hyperlink"/>
            <w:rFonts w:ascii="Garamond" w:hAnsi="Garamond"/>
          </w:rPr>
          <w:t>http://www.oxforddnb.com/view/10.1093/ref:odnb/9780198614128.001.0001/odnb-9780198614128-e-7369</w:t>
        </w:r>
      </w:hyperlink>
      <w:r w:rsidRPr="003037D2">
        <w:rPr>
          <w:rFonts w:ascii="Garamond" w:hAnsi="Garamond"/>
        </w:rPr>
        <w:t xml:space="preserve">&gt; [accessed 10 July 2018] </w:t>
      </w:r>
    </w:p>
    <w:p w14:paraId="71EDBF3D" w14:textId="77777777" w:rsidR="00162224" w:rsidRPr="003037D2" w:rsidRDefault="00162224" w:rsidP="00A721D6">
      <w:pPr>
        <w:ind w:left="1361" w:hanging="720"/>
        <w:rPr>
          <w:rFonts w:ascii="Garamond" w:hAnsi="Garamond"/>
        </w:rPr>
      </w:pPr>
      <w:r w:rsidRPr="003037D2">
        <w:rPr>
          <w:rFonts w:ascii="Garamond" w:hAnsi="Garamond"/>
        </w:rPr>
        <w:lastRenderedPageBreak/>
        <w:t xml:space="preserve">Caws, Mary Ann, ‘Seeing the Snag: Optical poetry and beyond’ in </w:t>
      </w:r>
      <w:r w:rsidRPr="003037D2">
        <w:rPr>
          <w:rFonts w:ascii="Garamond" w:hAnsi="Garamond"/>
          <w:i/>
          <w:iCs/>
        </w:rPr>
        <w:t xml:space="preserve">The Poetry of </w:t>
      </w:r>
      <w:r w:rsidRPr="003037D2">
        <w:rPr>
          <w:rFonts w:ascii="Garamond" w:hAnsi="Garamond"/>
          <w:i/>
        </w:rPr>
        <w:t xml:space="preserve">Dada and Surrealism </w:t>
      </w:r>
      <w:r w:rsidRPr="003037D2">
        <w:rPr>
          <w:rFonts w:ascii="Garamond" w:hAnsi="Garamond"/>
          <w:iCs/>
        </w:rPr>
        <w:t>(Princeton: Princeton University Press, 1970),</w:t>
      </w:r>
      <w:r w:rsidRPr="003037D2">
        <w:rPr>
          <w:rFonts w:ascii="Garamond" w:hAnsi="Garamond"/>
          <w:i/>
        </w:rPr>
        <w:t xml:space="preserve"> </w:t>
      </w:r>
      <w:r w:rsidRPr="003037D2">
        <w:rPr>
          <w:rFonts w:ascii="Garamond" w:hAnsi="Garamond"/>
        </w:rPr>
        <w:t>pp. 81-89</w:t>
      </w:r>
    </w:p>
    <w:p w14:paraId="48CE79F3" w14:textId="77777777" w:rsidR="00162224" w:rsidRPr="003037D2" w:rsidRDefault="00162224" w:rsidP="00A721D6">
      <w:pPr>
        <w:ind w:left="1361" w:hanging="720"/>
        <w:rPr>
          <w:rFonts w:ascii="Garamond" w:hAnsi="Garamond"/>
        </w:rPr>
      </w:pPr>
      <w:proofErr w:type="spellStart"/>
      <w:r w:rsidRPr="003037D2">
        <w:rPr>
          <w:rFonts w:ascii="Garamond" w:hAnsi="Garamond"/>
        </w:rPr>
        <w:t>Cefalu</w:t>
      </w:r>
      <w:proofErr w:type="spellEnd"/>
      <w:r w:rsidRPr="003037D2">
        <w:rPr>
          <w:rFonts w:ascii="Garamond" w:hAnsi="Garamond"/>
        </w:rPr>
        <w:t xml:space="preserve">, Paul ‘Johannine Poetics in George Herbert’s Devotional Lyrics’ </w:t>
      </w:r>
      <w:r w:rsidRPr="003037D2">
        <w:rPr>
          <w:rFonts w:ascii="Garamond" w:hAnsi="Garamond"/>
          <w:iCs/>
        </w:rPr>
        <w:t xml:space="preserve">in </w:t>
      </w:r>
      <w:r w:rsidRPr="003037D2">
        <w:rPr>
          <w:rFonts w:ascii="Garamond" w:hAnsi="Garamond"/>
          <w:i/>
          <w:iCs/>
        </w:rPr>
        <w:t>English Literary History</w:t>
      </w:r>
      <w:r w:rsidRPr="003037D2">
        <w:rPr>
          <w:rFonts w:ascii="Garamond" w:hAnsi="Garamond"/>
          <w:iCs/>
        </w:rPr>
        <w:t>,</w:t>
      </w:r>
      <w:r w:rsidRPr="003037D2">
        <w:rPr>
          <w:rFonts w:ascii="Garamond" w:hAnsi="Garamond"/>
          <w:i/>
          <w:iCs/>
        </w:rPr>
        <w:t xml:space="preserve"> </w:t>
      </w:r>
      <w:r w:rsidRPr="003037D2">
        <w:rPr>
          <w:rFonts w:ascii="Garamond" w:hAnsi="Garamond"/>
        </w:rPr>
        <w:t xml:space="preserve">82.4 (Winter 2015), pp. 1041-1071 </w:t>
      </w:r>
    </w:p>
    <w:p w14:paraId="3429439B" w14:textId="77777777" w:rsidR="00162224" w:rsidRPr="003037D2" w:rsidRDefault="00162224" w:rsidP="00A721D6">
      <w:pPr>
        <w:ind w:left="1361" w:hanging="720"/>
        <w:rPr>
          <w:rFonts w:ascii="Garamond" w:hAnsi="Garamond"/>
        </w:rPr>
      </w:pPr>
      <w:r w:rsidRPr="003037D2">
        <w:rPr>
          <w:rFonts w:ascii="Garamond" w:hAnsi="Garamond"/>
        </w:rPr>
        <w:t xml:space="preserve">Chapman, Alison, ‘Marking Time: Astrology, Almanacs, and English Protestantism’ in </w:t>
      </w:r>
      <w:r w:rsidRPr="003037D2">
        <w:rPr>
          <w:rFonts w:ascii="Garamond" w:hAnsi="Garamond"/>
          <w:i/>
        </w:rPr>
        <w:t>Renaissance Quarterly</w:t>
      </w:r>
      <w:r w:rsidRPr="003037D2">
        <w:rPr>
          <w:rFonts w:ascii="Garamond" w:hAnsi="Garamond"/>
        </w:rPr>
        <w:t>, 60.4 (Winter 2007), pp. 1257-1290</w:t>
      </w:r>
    </w:p>
    <w:p w14:paraId="2E137377" w14:textId="77777777" w:rsidR="00162224" w:rsidRPr="003037D2" w:rsidRDefault="00162224" w:rsidP="00A721D6">
      <w:pPr>
        <w:ind w:left="1361" w:hanging="720"/>
        <w:rPr>
          <w:rFonts w:ascii="Garamond" w:hAnsi="Garamond"/>
        </w:rPr>
      </w:pPr>
      <w:r w:rsidRPr="003037D2">
        <w:rPr>
          <w:rFonts w:ascii="Garamond" w:hAnsi="Garamond"/>
          <w:color w:val="000000"/>
          <w:shd w:val="clear" w:color="auto" w:fill="FFFFFF"/>
        </w:rPr>
        <w:t>___</w:t>
      </w:r>
      <w:proofErr w:type="gramStart"/>
      <w:r w:rsidRPr="003037D2">
        <w:rPr>
          <w:rFonts w:ascii="Garamond" w:hAnsi="Garamond"/>
          <w:color w:val="000000"/>
          <w:shd w:val="clear" w:color="auto" w:fill="FFFFFF"/>
        </w:rPr>
        <w:t>_ ,</w:t>
      </w:r>
      <w:proofErr w:type="gramEnd"/>
      <w:r w:rsidRPr="003037D2">
        <w:rPr>
          <w:rFonts w:ascii="Garamond" w:hAnsi="Garamond"/>
        </w:rPr>
        <w:t xml:space="preserve">  ‘Now and Then: Sequencing the Sacred in Two Protestant Calendars’ in </w:t>
      </w:r>
      <w:r w:rsidRPr="003037D2">
        <w:rPr>
          <w:rFonts w:ascii="Garamond" w:hAnsi="Garamond"/>
          <w:i/>
          <w:iCs/>
        </w:rPr>
        <w:t xml:space="preserve">Journal of Medieval and Early Modern Studies, </w:t>
      </w:r>
      <w:r w:rsidRPr="003037D2">
        <w:rPr>
          <w:rFonts w:ascii="Garamond" w:hAnsi="Garamond"/>
        </w:rPr>
        <w:t xml:space="preserve">53.1 (Winter 2003), pp. 91-123 </w:t>
      </w:r>
    </w:p>
    <w:p w14:paraId="3B41741F" w14:textId="77777777" w:rsidR="00162224" w:rsidRPr="003037D2" w:rsidRDefault="00162224" w:rsidP="00A721D6">
      <w:pPr>
        <w:ind w:left="1361" w:hanging="720"/>
        <w:rPr>
          <w:rFonts w:ascii="Garamond" w:hAnsi="Garamond"/>
        </w:rPr>
      </w:pPr>
      <w:r w:rsidRPr="003037D2">
        <w:rPr>
          <w:rFonts w:ascii="Garamond" w:hAnsi="Garamond"/>
        </w:rPr>
        <w:t xml:space="preserve">Charles, Amy, </w:t>
      </w:r>
      <w:r w:rsidRPr="003037D2">
        <w:rPr>
          <w:rFonts w:ascii="Garamond" w:hAnsi="Garamond"/>
          <w:i/>
          <w:iCs/>
        </w:rPr>
        <w:t xml:space="preserve">A Life of George Herbert </w:t>
      </w:r>
      <w:r w:rsidRPr="003037D2">
        <w:rPr>
          <w:rFonts w:ascii="Garamond" w:hAnsi="Garamond"/>
        </w:rPr>
        <w:t>(</w:t>
      </w:r>
      <w:proofErr w:type="spellStart"/>
      <w:r w:rsidRPr="003037D2">
        <w:rPr>
          <w:rFonts w:ascii="Garamond" w:hAnsi="Garamond"/>
        </w:rPr>
        <w:t>Ithica</w:t>
      </w:r>
      <w:proofErr w:type="spellEnd"/>
      <w:r w:rsidRPr="003037D2">
        <w:rPr>
          <w:rFonts w:ascii="Garamond" w:hAnsi="Garamond"/>
        </w:rPr>
        <w:t>: Cornell University Press, 1977)</w:t>
      </w:r>
    </w:p>
    <w:p w14:paraId="5910A592" w14:textId="5A98E4DE" w:rsidR="00162224" w:rsidRPr="003037D2" w:rsidRDefault="00162224" w:rsidP="00A721D6">
      <w:pPr>
        <w:ind w:left="1361" w:hanging="720"/>
        <w:rPr>
          <w:rFonts w:ascii="Garamond" w:hAnsi="Garamond"/>
        </w:rPr>
      </w:pPr>
      <w:r w:rsidRPr="003037D2">
        <w:rPr>
          <w:rFonts w:ascii="Garamond" w:hAnsi="Garamond"/>
        </w:rPr>
        <w:t xml:space="preserve">Clark, Andy, and David Chalmers, ‘The Extended Mind’ in Richard </w:t>
      </w:r>
      <w:proofErr w:type="spellStart"/>
      <w:r w:rsidRPr="003037D2">
        <w:rPr>
          <w:rFonts w:ascii="Garamond" w:hAnsi="Garamond"/>
        </w:rPr>
        <w:t>Menary</w:t>
      </w:r>
      <w:proofErr w:type="spellEnd"/>
      <w:r w:rsidR="0065623B">
        <w:rPr>
          <w:rFonts w:ascii="Garamond" w:hAnsi="Garamond"/>
        </w:rPr>
        <w:t>,</w:t>
      </w:r>
      <w:r w:rsidRPr="003037D2">
        <w:rPr>
          <w:rFonts w:ascii="Garamond" w:hAnsi="Garamond"/>
        </w:rPr>
        <w:t xml:space="preserve"> ed. </w:t>
      </w:r>
      <w:r w:rsidRPr="003037D2">
        <w:rPr>
          <w:rFonts w:ascii="Garamond" w:hAnsi="Garamond"/>
          <w:i/>
        </w:rPr>
        <w:t xml:space="preserve">The Extended Mind </w:t>
      </w:r>
      <w:r w:rsidRPr="003037D2">
        <w:rPr>
          <w:rFonts w:ascii="Garamond" w:hAnsi="Garamond"/>
        </w:rPr>
        <w:t>(Cambridge, MA: MIT Press, 2010), pp. 10-23</w:t>
      </w:r>
    </w:p>
    <w:p w14:paraId="6EACC9D9" w14:textId="0178BC2D" w:rsidR="00162224" w:rsidRPr="003037D2" w:rsidRDefault="00162224" w:rsidP="00A721D6">
      <w:pPr>
        <w:ind w:left="1361" w:hanging="720"/>
        <w:rPr>
          <w:rFonts w:ascii="Garamond" w:hAnsi="Garamond"/>
        </w:rPr>
      </w:pPr>
      <w:r w:rsidRPr="003037D2">
        <w:rPr>
          <w:rFonts w:ascii="Garamond" w:hAnsi="Garamond"/>
        </w:rPr>
        <w:t>Clement, Jennifer, ‘</w:t>
      </w:r>
      <w:r w:rsidR="00ED0F4C">
        <w:rPr>
          <w:rFonts w:ascii="Garamond" w:hAnsi="Garamond"/>
        </w:rPr>
        <w:t>“</w:t>
      </w:r>
      <w:r w:rsidRPr="003037D2">
        <w:rPr>
          <w:rFonts w:ascii="Garamond" w:hAnsi="Garamond"/>
        </w:rPr>
        <w:t xml:space="preserve">He </w:t>
      </w:r>
      <w:proofErr w:type="gramStart"/>
      <w:r w:rsidRPr="003037D2">
        <w:rPr>
          <w:rFonts w:ascii="Garamond" w:hAnsi="Garamond"/>
        </w:rPr>
        <w:t>being</w:t>
      </w:r>
      <w:proofErr w:type="gramEnd"/>
      <w:r w:rsidRPr="003037D2">
        <w:rPr>
          <w:rFonts w:ascii="Garamond" w:hAnsi="Garamond"/>
        </w:rPr>
        <w:t xml:space="preserve"> dead, yet </w:t>
      </w:r>
      <w:proofErr w:type="spellStart"/>
      <w:r w:rsidRPr="003037D2">
        <w:rPr>
          <w:rFonts w:ascii="Garamond" w:hAnsi="Garamond"/>
        </w:rPr>
        <w:t>speaketh</w:t>
      </w:r>
      <w:proofErr w:type="spellEnd"/>
      <w:r w:rsidR="00ED0F4C">
        <w:rPr>
          <w:rFonts w:ascii="Garamond" w:hAnsi="Garamond"/>
        </w:rPr>
        <w:t>”</w:t>
      </w:r>
      <w:r w:rsidRPr="003037D2">
        <w:rPr>
          <w:rFonts w:ascii="Garamond" w:hAnsi="Garamond"/>
        </w:rPr>
        <w:t xml:space="preserve">: the preacher’s voice in early seventeenth-century posthumous sermon collections’ in </w:t>
      </w:r>
      <w:r w:rsidRPr="003037D2">
        <w:rPr>
          <w:rFonts w:ascii="Garamond" w:hAnsi="Garamond"/>
          <w:i/>
        </w:rPr>
        <w:t>Renaissance Studies,</w:t>
      </w:r>
      <w:r w:rsidRPr="003037D2">
        <w:rPr>
          <w:rFonts w:ascii="Garamond" w:hAnsi="Garamond"/>
        </w:rPr>
        <w:t xml:space="preserve"> 32.5 (November 2018), pp. 738-754</w:t>
      </w:r>
    </w:p>
    <w:p w14:paraId="75C874AD" w14:textId="77777777" w:rsidR="00162224" w:rsidRPr="003037D2" w:rsidRDefault="00162224" w:rsidP="00A721D6">
      <w:pPr>
        <w:ind w:left="1361" w:hanging="720"/>
        <w:rPr>
          <w:rFonts w:ascii="Garamond" w:hAnsi="Garamond"/>
          <w:iCs/>
        </w:rPr>
      </w:pPr>
      <w:r w:rsidRPr="003037D2">
        <w:rPr>
          <w:rFonts w:ascii="Garamond" w:hAnsi="Garamond"/>
          <w:iCs/>
        </w:rPr>
        <w:t xml:space="preserve">Clifton, Michael, ‘Staking his Heart: Herbert’s use of Gambling Imagery in The Temple’, in </w:t>
      </w:r>
      <w:r w:rsidRPr="003037D2">
        <w:rPr>
          <w:rFonts w:ascii="Garamond" w:hAnsi="Garamond"/>
          <w:i/>
        </w:rPr>
        <w:t>George Herbert Journal</w:t>
      </w:r>
      <w:r w:rsidRPr="003037D2">
        <w:rPr>
          <w:rFonts w:ascii="Garamond" w:hAnsi="Garamond"/>
          <w:iCs/>
        </w:rPr>
        <w:t xml:space="preserve">, 8.1 (1984). pp. 43-55 </w:t>
      </w:r>
    </w:p>
    <w:p w14:paraId="263111F3" w14:textId="5C3E43A4" w:rsidR="00162224" w:rsidRPr="003037D2" w:rsidRDefault="00162224" w:rsidP="00A721D6">
      <w:pPr>
        <w:ind w:left="1361" w:hanging="720"/>
        <w:rPr>
          <w:rFonts w:ascii="Garamond" w:hAnsi="Garamond"/>
        </w:rPr>
      </w:pPr>
      <w:r w:rsidRPr="003037D2">
        <w:rPr>
          <w:rFonts w:ascii="Garamond" w:hAnsi="Garamond"/>
        </w:rPr>
        <w:t>Coaster, Will, and Andrew Spicer eds</w:t>
      </w:r>
      <w:r w:rsidR="00276F4F">
        <w:rPr>
          <w:rFonts w:ascii="Garamond" w:hAnsi="Garamond"/>
        </w:rPr>
        <w:t>,</w:t>
      </w:r>
      <w:r w:rsidRPr="003037D2">
        <w:rPr>
          <w:rFonts w:ascii="Garamond" w:hAnsi="Garamond"/>
        </w:rPr>
        <w:t xml:space="preserve"> </w:t>
      </w:r>
      <w:r w:rsidRPr="003037D2">
        <w:rPr>
          <w:rFonts w:ascii="Garamond" w:hAnsi="Garamond"/>
          <w:i/>
        </w:rPr>
        <w:t xml:space="preserve">Sacred Space in Early Modern Europe </w:t>
      </w:r>
      <w:r w:rsidRPr="003037D2">
        <w:rPr>
          <w:rFonts w:ascii="Garamond" w:hAnsi="Garamond"/>
        </w:rPr>
        <w:t>(Cambridge: Cambridge University Press, 2005)</w:t>
      </w:r>
    </w:p>
    <w:p w14:paraId="438A6FEB" w14:textId="77777777" w:rsidR="00162224" w:rsidRPr="003037D2" w:rsidRDefault="00162224" w:rsidP="00A721D6">
      <w:pPr>
        <w:ind w:left="1361" w:hanging="720"/>
        <w:rPr>
          <w:rFonts w:ascii="Garamond" w:hAnsi="Garamond"/>
        </w:rPr>
      </w:pPr>
      <w:r w:rsidRPr="003037D2">
        <w:rPr>
          <w:rFonts w:ascii="Garamond" w:hAnsi="Garamond"/>
        </w:rPr>
        <w:t xml:space="preserve">Cohen, Simona, ‘The early Renaissance personification of Time and changing concepts of temporality’ in </w:t>
      </w:r>
      <w:r w:rsidRPr="003037D2">
        <w:rPr>
          <w:rFonts w:ascii="Garamond" w:hAnsi="Garamond"/>
          <w:i/>
        </w:rPr>
        <w:t>Renaissance Studies</w:t>
      </w:r>
      <w:r w:rsidRPr="003037D2">
        <w:rPr>
          <w:rFonts w:ascii="Garamond" w:hAnsi="Garamond"/>
        </w:rPr>
        <w:t>, 14/3 (September 2000) pp. 301-328</w:t>
      </w:r>
    </w:p>
    <w:p w14:paraId="30F45FA4" w14:textId="77777777" w:rsidR="00162224" w:rsidRPr="003037D2" w:rsidRDefault="00162224" w:rsidP="00A721D6">
      <w:pPr>
        <w:ind w:left="1361" w:hanging="720"/>
        <w:rPr>
          <w:rFonts w:ascii="Garamond" w:hAnsi="Garamond"/>
        </w:rPr>
      </w:pPr>
      <w:r w:rsidRPr="003037D2">
        <w:rPr>
          <w:rFonts w:ascii="Garamond" w:hAnsi="Garamond"/>
        </w:rPr>
        <w:t xml:space="preserve">Colie, Rosalie, </w:t>
      </w:r>
      <w:proofErr w:type="spellStart"/>
      <w:r w:rsidRPr="003037D2">
        <w:rPr>
          <w:rFonts w:ascii="Garamond" w:hAnsi="Garamond"/>
          <w:i/>
          <w:iCs/>
        </w:rPr>
        <w:t>Paradoxia</w:t>
      </w:r>
      <w:proofErr w:type="spellEnd"/>
      <w:r w:rsidRPr="003037D2">
        <w:rPr>
          <w:rFonts w:ascii="Garamond" w:hAnsi="Garamond"/>
          <w:i/>
          <w:iCs/>
        </w:rPr>
        <w:t xml:space="preserve"> </w:t>
      </w:r>
      <w:proofErr w:type="spellStart"/>
      <w:r w:rsidRPr="003037D2">
        <w:rPr>
          <w:rFonts w:ascii="Garamond" w:hAnsi="Garamond"/>
          <w:i/>
          <w:iCs/>
        </w:rPr>
        <w:t>Epidemica</w:t>
      </w:r>
      <w:proofErr w:type="spellEnd"/>
      <w:r w:rsidRPr="003037D2">
        <w:rPr>
          <w:rFonts w:ascii="Garamond" w:hAnsi="Garamond"/>
          <w:i/>
          <w:iCs/>
        </w:rPr>
        <w:t xml:space="preserve">: The Renaissance Tradition of Paradox </w:t>
      </w:r>
      <w:r w:rsidRPr="003037D2">
        <w:rPr>
          <w:rFonts w:ascii="Garamond" w:hAnsi="Garamond"/>
        </w:rPr>
        <w:t>(Princeton: Princeton University Press, 1966)</w:t>
      </w:r>
    </w:p>
    <w:p w14:paraId="2A05E52E" w14:textId="6FEF4E2F" w:rsidR="00162224" w:rsidRPr="003037D2" w:rsidRDefault="00162224" w:rsidP="00A721D6">
      <w:pPr>
        <w:spacing w:after="120"/>
        <w:ind w:left="1361" w:hanging="720"/>
        <w:rPr>
          <w:rFonts w:ascii="Garamond" w:hAnsi="Garamond" w:cstheme="majorBidi"/>
        </w:rPr>
      </w:pPr>
      <w:r w:rsidRPr="003037D2">
        <w:rPr>
          <w:rFonts w:ascii="Garamond" w:hAnsi="Garamond" w:cstheme="majorBidi"/>
        </w:rPr>
        <w:t xml:space="preserve">Collinson, Patrick. ‘Locke [née Vaughan; other married names Dering, Prowse], Anne, translator and religious activist’ in </w:t>
      </w:r>
      <w:r w:rsidRPr="003037D2">
        <w:rPr>
          <w:rFonts w:ascii="Garamond" w:hAnsi="Garamond" w:cstheme="majorBidi"/>
          <w:i/>
          <w:iCs/>
        </w:rPr>
        <w:t>Oxford Dictionary of National Biography</w:t>
      </w:r>
      <w:r w:rsidRPr="003037D2">
        <w:rPr>
          <w:rFonts w:ascii="Garamond" w:hAnsi="Garamond"/>
        </w:rPr>
        <w:t xml:space="preserve">, Oxford University Press, 2004 </w:t>
      </w:r>
      <w:r w:rsidRPr="003037D2">
        <w:rPr>
          <w:rFonts w:ascii="Garamond" w:hAnsi="Garamond" w:cstheme="majorBidi"/>
        </w:rPr>
        <w:t xml:space="preserve"> &lt;</w:t>
      </w:r>
      <w:hyperlink r:id="rId77" w:history="1">
        <w:r w:rsidRPr="003037D2">
          <w:rPr>
            <w:rStyle w:val="Hyperlink"/>
            <w:rFonts w:ascii="Garamond" w:hAnsi="Garamond"/>
          </w:rPr>
          <w:t>https://doi.org/10.1093/ref:odnb/69054</w:t>
        </w:r>
      </w:hyperlink>
      <w:r w:rsidRPr="003037D2">
        <w:rPr>
          <w:rFonts w:ascii="Garamond" w:hAnsi="Garamond" w:cstheme="majorBidi"/>
        </w:rPr>
        <w:t xml:space="preserve">&gt; [accessed 8 June 2018] </w:t>
      </w:r>
    </w:p>
    <w:p w14:paraId="3F35DDF1" w14:textId="77777777" w:rsidR="00162224" w:rsidRPr="003037D2" w:rsidRDefault="00162224" w:rsidP="00A721D6">
      <w:pPr>
        <w:ind w:left="1361" w:hanging="720"/>
        <w:rPr>
          <w:rFonts w:ascii="Garamond" w:hAnsi="Garamond"/>
        </w:rPr>
      </w:pPr>
      <w:r w:rsidRPr="003037D2">
        <w:rPr>
          <w:rFonts w:ascii="Garamond" w:hAnsi="Garamond"/>
        </w:rPr>
        <w:t xml:space="preserve"> </w:t>
      </w:r>
      <w:proofErr w:type="spellStart"/>
      <w:r w:rsidRPr="003037D2">
        <w:rPr>
          <w:rFonts w:ascii="Garamond" w:hAnsi="Garamond"/>
        </w:rPr>
        <w:t>Colish</w:t>
      </w:r>
      <w:proofErr w:type="spellEnd"/>
      <w:r w:rsidRPr="003037D2">
        <w:rPr>
          <w:rFonts w:ascii="Garamond" w:hAnsi="Garamond"/>
        </w:rPr>
        <w:t xml:space="preserve">, Marcia L, ‘Psalterium </w:t>
      </w:r>
      <w:proofErr w:type="spellStart"/>
      <w:r w:rsidRPr="003037D2">
        <w:rPr>
          <w:rFonts w:ascii="Garamond" w:hAnsi="Garamond"/>
        </w:rPr>
        <w:t>Scholastocorum</w:t>
      </w:r>
      <w:proofErr w:type="spellEnd"/>
      <w:r w:rsidRPr="003037D2">
        <w:rPr>
          <w:rFonts w:ascii="Garamond" w:hAnsi="Garamond"/>
        </w:rPr>
        <w:t xml:space="preserve">: Peter Lombard and the Emergence of Scholastic Psalms Exegesis’ in </w:t>
      </w:r>
      <w:r w:rsidRPr="003037D2">
        <w:rPr>
          <w:rFonts w:ascii="Garamond" w:hAnsi="Garamond"/>
          <w:i/>
        </w:rPr>
        <w:t>Speculum</w:t>
      </w:r>
      <w:r w:rsidRPr="003037D2">
        <w:rPr>
          <w:rFonts w:ascii="Garamond" w:hAnsi="Garamond"/>
        </w:rPr>
        <w:t>, 67.3 (1992), pp. 531-548</w:t>
      </w:r>
    </w:p>
    <w:p w14:paraId="1090444A" w14:textId="77777777" w:rsidR="00162224" w:rsidRPr="003037D2" w:rsidRDefault="00162224" w:rsidP="00A721D6">
      <w:pPr>
        <w:ind w:left="1361" w:hanging="720"/>
        <w:rPr>
          <w:rFonts w:ascii="Garamond" w:hAnsi="Garamond"/>
        </w:rPr>
      </w:pPr>
      <w:r w:rsidRPr="003037D2">
        <w:rPr>
          <w:rFonts w:ascii="Garamond" w:hAnsi="Garamond"/>
        </w:rPr>
        <w:t xml:space="preserve">Coleman, Janet, </w:t>
      </w:r>
      <w:r w:rsidRPr="003037D2">
        <w:rPr>
          <w:rFonts w:ascii="Garamond" w:hAnsi="Garamond"/>
          <w:i/>
          <w:iCs/>
        </w:rPr>
        <w:t xml:space="preserve">Ancient and Medieval Memories: Studies in the reconstruction of the past </w:t>
      </w:r>
      <w:r w:rsidRPr="003037D2">
        <w:rPr>
          <w:rFonts w:ascii="Garamond" w:hAnsi="Garamond"/>
        </w:rPr>
        <w:t xml:space="preserve">(Cambridge: Cambridge University Press, 1992) </w:t>
      </w:r>
    </w:p>
    <w:p w14:paraId="09988747" w14:textId="77777777" w:rsidR="00162224" w:rsidRPr="003037D2" w:rsidRDefault="00162224" w:rsidP="00A721D6">
      <w:pPr>
        <w:ind w:left="1361" w:hanging="720"/>
        <w:rPr>
          <w:rFonts w:ascii="Garamond" w:hAnsi="Garamond"/>
        </w:rPr>
      </w:pPr>
      <w:bookmarkStart w:id="258" w:name="_Hlk531603250"/>
      <w:r w:rsidRPr="003037D2">
        <w:rPr>
          <w:rFonts w:ascii="Garamond" w:hAnsi="Garamond"/>
        </w:rPr>
        <w:t xml:space="preserve">Como, David R., ‘Print, Censorship, and Ideological Escalation in the English Civil War’ in </w:t>
      </w:r>
      <w:r w:rsidRPr="003037D2">
        <w:rPr>
          <w:rFonts w:ascii="Garamond" w:hAnsi="Garamond"/>
          <w:i/>
          <w:iCs/>
        </w:rPr>
        <w:t xml:space="preserve">Journal of British Studies, </w:t>
      </w:r>
      <w:r w:rsidRPr="003037D2">
        <w:rPr>
          <w:rFonts w:ascii="Garamond" w:hAnsi="Garamond"/>
        </w:rPr>
        <w:t>51.4 (October 2012), pp. 820-857</w:t>
      </w:r>
    </w:p>
    <w:bookmarkEnd w:id="258"/>
    <w:p w14:paraId="3B8A71B4" w14:textId="77777777" w:rsidR="00162224" w:rsidRPr="003037D2" w:rsidRDefault="00162224" w:rsidP="00A721D6">
      <w:pPr>
        <w:ind w:left="1361" w:hanging="720"/>
        <w:rPr>
          <w:rFonts w:ascii="Garamond" w:hAnsi="Garamond"/>
        </w:rPr>
      </w:pPr>
      <w:r w:rsidRPr="003037D2">
        <w:rPr>
          <w:rFonts w:ascii="Garamond" w:hAnsi="Garamond"/>
        </w:rPr>
        <w:t xml:space="preserve">Considine, John, ‘Hill, Thomas (c.1528–c.1574)’ in </w:t>
      </w:r>
      <w:r w:rsidRPr="003037D2">
        <w:rPr>
          <w:rFonts w:ascii="Garamond" w:hAnsi="Garamond"/>
          <w:i/>
        </w:rPr>
        <w:t>Oxford Dictionary of National Biography</w:t>
      </w:r>
      <w:r w:rsidRPr="003037D2">
        <w:rPr>
          <w:rFonts w:ascii="Garamond" w:hAnsi="Garamond"/>
        </w:rPr>
        <w:t>, Oxford University Press, 2004 &lt;http://www.oxforddnb.com/view/article/13303&gt; [accessed 15 December 2016]</w:t>
      </w:r>
    </w:p>
    <w:p w14:paraId="4938E819" w14:textId="77777777" w:rsidR="00162224" w:rsidRPr="003037D2" w:rsidRDefault="00162224" w:rsidP="00A721D6">
      <w:pPr>
        <w:ind w:left="1361" w:hanging="720"/>
        <w:rPr>
          <w:rFonts w:ascii="Garamond" w:hAnsi="Garamond"/>
        </w:rPr>
      </w:pPr>
      <w:r w:rsidRPr="003037D2">
        <w:rPr>
          <w:rFonts w:ascii="Garamond" w:hAnsi="Garamond"/>
        </w:rPr>
        <w:t xml:space="preserve">Cooper, Trevor, ‘The sack that never happened: Little </w:t>
      </w:r>
      <w:proofErr w:type="spellStart"/>
      <w:r w:rsidRPr="003037D2">
        <w:rPr>
          <w:rFonts w:ascii="Garamond" w:hAnsi="Garamond"/>
        </w:rPr>
        <w:t>Gidding</w:t>
      </w:r>
      <w:proofErr w:type="spellEnd"/>
      <w:r w:rsidRPr="003037D2">
        <w:rPr>
          <w:rFonts w:ascii="Garamond" w:hAnsi="Garamond"/>
        </w:rPr>
        <w:t xml:space="preserve">, puritan soldiers, and the making of a myth’ in </w:t>
      </w:r>
      <w:r w:rsidRPr="003037D2">
        <w:rPr>
          <w:rFonts w:ascii="Garamond" w:hAnsi="Garamond"/>
          <w:i/>
          <w:iCs/>
        </w:rPr>
        <w:t>The Seventeenth Century</w:t>
      </w:r>
      <w:r w:rsidRPr="003037D2">
        <w:rPr>
          <w:rFonts w:ascii="Garamond" w:hAnsi="Garamond"/>
        </w:rPr>
        <w:t xml:space="preserve">, 31.3 (2016), pp. 261-284 </w:t>
      </w:r>
    </w:p>
    <w:p w14:paraId="272CDB87" w14:textId="77777777" w:rsidR="00162224" w:rsidRPr="003037D2" w:rsidRDefault="00162224" w:rsidP="00A721D6">
      <w:pPr>
        <w:ind w:left="1361" w:hanging="720"/>
        <w:rPr>
          <w:rFonts w:ascii="Garamond" w:hAnsi="Garamond"/>
        </w:rPr>
      </w:pPr>
      <w:r w:rsidRPr="003037D2">
        <w:rPr>
          <w:rFonts w:ascii="Garamond" w:hAnsi="Garamond"/>
        </w:rPr>
        <w:t xml:space="preserve">Cope, Sophie, </w:t>
      </w:r>
      <w:bookmarkStart w:id="259" w:name="_Hlk532541518"/>
      <w:r w:rsidRPr="003037D2">
        <w:rPr>
          <w:rFonts w:ascii="Garamond" w:hAnsi="Garamond"/>
        </w:rPr>
        <w:t xml:space="preserve">‘Marking the New Year: Dated Objects and the Materiality of Time in Early Modern England’ in </w:t>
      </w:r>
      <w:r w:rsidRPr="003037D2">
        <w:rPr>
          <w:rFonts w:ascii="Garamond" w:hAnsi="Garamond"/>
          <w:i/>
          <w:iCs/>
        </w:rPr>
        <w:t>Journal of Early Modern Studies</w:t>
      </w:r>
      <w:r w:rsidRPr="003037D2">
        <w:rPr>
          <w:rFonts w:ascii="Garamond" w:hAnsi="Garamond"/>
        </w:rPr>
        <w:t>, 6 (2017), pp. 89-111</w:t>
      </w:r>
    </w:p>
    <w:p w14:paraId="7EEE98B7" w14:textId="4A97610D" w:rsidR="00162224" w:rsidRPr="003037D2" w:rsidRDefault="00162224" w:rsidP="00A721D6">
      <w:pPr>
        <w:ind w:left="1361" w:hanging="720"/>
        <w:rPr>
          <w:rFonts w:ascii="Garamond" w:hAnsi="Garamond"/>
        </w:rPr>
      </w:pPr>
      <w:r w:rsidRPr="003037D2">
        <w:rPr>
          <w:rFonts w:ascii="Garamond" w:hAnsi="Garamond"/>
        </w:rPr>
        <w:t xml:space="preserve">Corrigan, Kevin, and Michael L. Harrington, ‘Pseudo-Dionysius the Areopagite’, </w:t>
      </w:r>
      <w:r w:rsidRPr="003037D2">
        <w:rPr>
          <w:rFonts w:ascii="Garamond" w:hAnsi="Garamond"/>
          <w:i/>
        </w:rPr>
        <w:t>The Stanford Encyclopedia of Philosophy</w:t>
      </w:r>
      <w:r w:rsidRPr="003037D2">
        <w:rPr>
          <w:rFonts w:ascii="Garamond" w:hAnsi="Garamond"/>
        </w:rPr>
        <w:t xml:space="preserve"> (Summer 2018) &lt;</w:t>
      </w:r>
      <w:hyperlink r:id="rId78" w:history="1">
        <w:r w:rsidRPr="003037D2">
          <w:rPr>
            <w:rStyle w:val="Hyperlink"/>
            <w:rFonts w:ascii="Garamond" w:hAnsi="Garamond"/>
          </w:rPr>
          <w:t>https://plato.stanford.edu/archives/sum2018/entries/pseudo-dionysius-areopagite/</w:t>
        </w:r>
      </w:hyperlink>
      <w:r w:rsidRPr="003037D2">
        <w:rPr>
          <w:rStyle w:val="Hyperlink"/>
          <w:rFonts w:ascii="Garamond" w:hAnsi="Garamond"/>
        </w:rPr>
        <w:t>&gt;</w:t>
      </w:r>
      <w:r w:rsidRPr="003037D2">
        <w:rPr>
          <w:rFonts w:ascii="Garamond" w:hAnsi="Garamond"/>
        </w:rPr>
        <w:t xml:space="preserve"> [accessed 8 October 2018]</w:t>
      </w:r>
    </w:p>
    <w:bookmarkEnd w:id="259"/>
    <w:p w14:paraId="22659A0C" w14:textId="77777777" w:rsidR="00162224" w:rsidRPr="003037D2" w:rsidRDefault="00162224" w:rsidP="00A721D6">
      <w:pPr>
        <w:ind w:left="1361" w:hanging="720"/>
        <w:rPr>
          <w:rFonts w:ascii="Garamond" w:hAnsi="Garamond"/>
        </w:rPr>
      </w:pPr>
      <w:r w:rsidRPr="003037D2">
        <w:rPr>
          <w:rFonts w:ascii="Garamond" w:hAnsi="Garamond"/>
        </w:rPr>
        <w:t xml:space="preserve">Costley </w:t>
      </w:r>
      <w:proofErr w:type="spellStart"/>
      <w:r w:rsidRPr="003037D2">
        <w:rPr>
          <w:rFonts w:ascii="Garamond" w:hAnsi="Garamond"/>
        </w:rPr>
        <w:t>King’oo</w:t>
      </w:r>
      <w:proofErr w:type="spellEnd"/>
      <w:r w:rsidRPr="003037D2">
        <w:rPr>
          <w:rFonts w:ascii="Garamond" w:hAnsi="Garamond"/>
        </w:rPr>
        <w:t xml:space="preserve">, Clare, </w:t>
      </w:r>
      <w:bookmarkStart w:id="260" w:name="_Hlk532651147"/>
      <w:r w:rsidRPr="003037D2">
        <w:rPr>
          <w:rFonts w:ascii="Garamond" w:hAnsi="Garamond"/>
          <w:i/>
          <w:iCs/>
        </w:rPr>
        <w:t xml:space="preserve">Miserere Mei: The Penitential Psalms in Late Medieval and Early Modern England </w:t>
      </w:r>
      <w:r w:rsidRPr="003037D2">
        <w:rPr>
          <w:rFonts w:ascii="Garamond" w:hAnsi="Garamond"/>
        </w:rPr>
        <w:t>(Notre Dame, Indiana: University of Notre Dame Press, 2012)</w:t>
      </w:r>
    </w:p>
    <w:bookmarkEnd w:id="260"/>
    <w:p w14:paraId="2ED371B0" w14:textId="5BB5CF21" w:rsidR="00162224" w:rsidRPr="003037D2" w:rsidRDefault="00162224" w:rsidP="00A721D6">
      <w:pPr>
        <w:ind w:left="1361" w:hanging="720"/>
        <w:rPr>
          <w:rFonts w:ascii="Garamond" w:hAnsi="Garamond"/>
        </w:rPr>
      </w:pPr>
      <w:r w:rsidRPr="003037D2">
        <w:rPr>
          <w:rFonts w:ascii="Garamond" w:hAnsi="Garamond"/>
        </w:rPr>
        <w:t>Coughlan, Patricia ‘</w:t>
      </w:r>
      <w:r w:rsidR="00ED0F4C">
        <w:rPr>
          <w:rFonts w:ascii="Garamond" w:hAnsi="Garamond"/>
        </w:rPr>
        <w:t>“</w:t>
      </w:r>
      <w:r w:rsidRPr="003037D2">
        <w:rPr>
          <w:rFonts w:ascii="Garamond" w:hAnsi="Garamond"/>
        </w:rPr>
        <w:t>Cheap and Common Animals</w:t>
      </w:r>
      <w:r w:rsidR="00ED0F4C">
        <w:rPr>
          <w:rFonts w:ascii="Garamond" w:hAnsi="Garamond"/>
        </w:rPr>
        <w:t>”</w:t>
      </w:r>
      <w:r w:rsidRPr="003037D2">
        <w:rPr>
          <w:rFonts w:ascii="Garamond" w:hAnsi="Garamond"/>
        </w:rPr>
        <w:t>: The English anatomy of Ireland in the seventeenth century’, in T</w:t>
      </w:r>
      <w:r w:rsidR="0065623B">
        <w:rPr>
          <w:rFonts w:ascii="Garamond" w:hAnsi="Garamond"/>
        </w:rPr>
        <w:t>h</w:t>
      </w:r>
      <w:r w:rsidRPr="003037D2">
        <w:rPr>
          <w:rFonts w:ascii="Garamond" w:hAnsi="Garamond"/>
        </w:rPr>
        <w:t xml:space="preserve">omas Healy and Jonathan </w:t>
      </w:r>
      <w:proofErr w:type="spellStart"/>
      <w:r w:rsidRPr="003037D2">
        <w:rPr>
          <w:rFonts w:ascii="Garamond" w:hAnsi="Garamond"/>
        </w:rPr>
        <w:t>Sawday</w:t>
      </w:r>
      <w:proofErr w:type="spellEnd"/>
      <w:r w:rsidR="0065623B">
        <w:rPr>
          <w:rFonts w:ascii="Garamond" w:hAnsi="Garamond"/>
        </w:rPr>
        <w:t>,</w:t>
      </w:r>
      <w:r w:rsidRPr="003037D2">
        <w:rPr>
          <w:rFonts w:ascii="Garamond" w:hAnsi="Garamond"/>
        </w:rPr>
        <w:t xml:space="preserve"> </w:t>
      </w:r>
      <w:r w:rsidRPr="003037D2">
        <w:rPr>
          <w:rFonts w:ascii="Garamond" w:hAnsi="Garamond"/>
        </w:rPr>
        <w:lastRenderedPageBreak/>
        <w:t>ed</w:t>
      </w:r>
      <w:r w:rsidR="0065623B">
        <w:rPr>
          <w:rFonts w:ascii="Garamond" w:hAnsi="Garamond"/>
        </w:rPr>
        <w:t>s,</w:t>
      </w:r>
      <w:r w:rsidRPr="003037D2">
        <w:rPr>
          <w:rFonts w:ascii="Garamond" w:hAnsi="Garamond"/>
        </w:rPr>
        <w:t xml:space="preserve"> </w:t>
      </w:r>
      <w:r w:rsidRPr="003037D2">
        <w:rPr>
          <w:rFonts w:ascii="Garamond" w:hAnsi="Garamond"/>
          <w:i/>
          <w:iCs/>
        </w:rPr>
        <w:t xml:space="preserve">Literature and the English Civil War </w:t>
      </w:r>
      <w:r w:rsidRPr="003037D2">
        <w:rPr>
          <w:rFonts w:ascii="Garamond" w:hAnsi="Garamond"/>
        </w:rPr>
        <w:t>(Cambridge: Cambridge University Press, 1990) pp. 205-26</w:t>
      </w:r>
    </w:p>
    <w:p w14:paraId="00BD30AD" w14:textId="77777777" w:rsidR="00162224" w:rsidRPr="003037D2" w:rsidRDefault="00162224" w:rsidP="00A721D6">
      <w:pPr>
        <w:ind w:left="1361" w:hanging="720"/>
        <w:rPr>
          <w:rFonts w:ascii="Garamond" w:hAnsi="Garamond"/>
        </w:rPr>
      </w:pPr>
      <w:r w:rsidRPr="003037D2">
        <w:rPr>
          <w:rFonts w:ascii="Garamond" w:hAnsi="Garamond"/>
        </w:rPr>
        <w:t xml:space="preserve">Cranfield, N., ‘Corbett, Richard (1582–1635), bishop of Oxford and of Norwich, and poet’ in </w:t>
      </w:r>
      <w:r w:rsidRPr="003037D2">
        <w:rPr>
          <w:rFonts w:ascii="Garamond" w:hAnsi="Garamond"/>
          <w:i/>
        </w:rPr>
        <w:t>Oxford Dictionary of National Biography</w:t>
      </w:r>
      <w:r w:rsidRPr="003037D2">
        <w:rPr>
          <w:rFonts w:ascii="Garamond" w:hAnsi="Garamond"/>
        </w:rPr>
        <w:t xml:space="preserve">, Oxford University Press, </w:t>
      </w:r>
      <w:proofErr w:type="gramStart"/>
      <w:r w:rsidRPr="003037D2">
        <w:rPr>
          <w:rFonts w:ascii="Garamond" w:hAnsi="Garamond"/>
        </w:rPr>
        <w:t>2004  http://www.oxforddnb.com.sheffield.idm.oclc.org/view/10.1093/ref:odnb/9780198614128.000.0001/odnb-9780198614128-e-6292</w:t>
      </w:r>
      <w:proofErr w:type="gramEnd"/>
      <w:r w:rsidRPr="003037D2">
        <w:rPr>
          <w:rFonts w:ascii="Garamond" w:hAnsi="Garamond"/>
        </w:rPr>
        <w:t xml:space="preserve">&gt;  [accessed 26 October 2018]  </w:t>
      </w:r>
    </w:p>
    <w:p w14:paraId="7501181D" w14:textId="77777777" w:rsidR="00162224" w:rsidRPr="003037D2" w:rsidRDefault="00162224" w:rsidP="00A721D6">
      <w:pPr>
        <w:ind w:left="1361" w:hanging="720"/>
        <w:rPr>
          <w:rFonts w:ascii="Garamond" w:hAnsi="Garamond"/>
        </w:rPr>
      </w:pPr>
      <w:proofErr w:type="spellStart"/>
      <w:r w:rsidRPr="003037D2">
        <w:rPr>
          <w:rFonts w:ascii="Garamond" w:hAnsi="Garamond"/>
        </w:rPr>
        <w:t>Crankshaw</w:t>
      </w:r>
      <w:proofErr w:type="spellEnd"/>
      <w:r w:rsidRPr="003037D2">
        <w:rPr>
          <w:rFonts w:ascii="Garamond" w:hAnsi="Garamond"/>
        </w:rPr>
        <w:t xml:space="preserve">, David, and Alexandra Gillespie, ‘Parker, Matthew (1504–1575)’, in </w:t>
      </w:r>
      <w:r w:rsidRPr="003037D2">
        <w:rPr>
          <w:rFonts w:ascii="Garamond" w:hAnsi="Garamond"/>
          <w:i/>
        </w:rPr>
        <w:t>Oxford Dictionary of National Biography</w:t>
      </w:r>
      <w:r w:rsidRPr="003037D2">
        <w:rPr>
          <w:rFonts w:ascii="Garamond" w:hAnsi="Garamond"/>
        </w:rPr>
        <w:t xml:space="preserve">, Oxford University Press, 2004 &lt;http://www.oxforddnb.com/view/article/21327&gt; [accessed 2 November 2015]  </w:t>
      </w:r>
    </w:p>
    <w:p w14:paraId="46070460" w14:textId="288A933F" w:rsidR="00162224" w:rsidRPr="003037D2" w:rsidRDefault="00162224" w:rsidP="00A721D6">
      <w:pPr>
        <w:ind w:left="1361" w:hanging="720"/>
        <w:rPr>
          <w:rFonts w:ascii="Garamond" w:hAnsi="Garamond"/>
        </w:rPr>
      </w:pPr>
      <w:r w:rsidRPr="003037D2">
        <w:rPr>
          <w:rFonts w:ascii="Garamond" w:hAnsi="Garamond"/>
        </w:rPr>
        <w:t>Crockett, Bryan, ‘</w:t>
      </w:r>
      <w:r w:rsidR="00ED0F4C">
        <w:rPr>
          <w:rFonts w:ascii="Garamond" w:hAnsi="Garamond"/>
        </w:rPr>
        <w:t>“</w:t>
      </w:r>
      <w:r w:rsidRPr="003037D2">
        <w:rPr>
          <w:rFonts w:ascii="Garamond" w:hAnsi="Garamond"/>
        </w:rPr>
        <w:t>Holy Cozenage</w:t>
      </w:r>
      <w:r w:rsidR="00ED0F4C">
        <w:rPr>
          <w:rFonts w:ascii="Garamond" w:hAnsi="Garamond"/>
        </w:rPr>
        <w:t>”</w:t>
      </w:r>
      <w:r w:rsidRPr="003037D2">
        <w:rPr>
          <w:rFonts w:ascii="Garamond" w:hAnsi="Garamond"/>
        </w:rPr>
        <w:t xml:space="preserve"> and the Renaissance Cult of the Ear’ in </w:t>
      </w:r>
      <w:r w:rsidRPr="003037D2">
        <w:rPr>
          <w:rFonts w:ascii="Garamond" w:hAnsi="Garamond"/>
          <w:i/>
        </w:rPr>
        <w:t>The Sixteenth Century Journal</w:t>
      </w:r>
      <w:r w:rsidRPr="003037D2">
        <w:rPr>
          <w:rFonts w:ascii="Garamond" w:hAnsi="Garamond"/>
        </w:rPr>
        <w:t>, 24.1(Spring, 1993), pp. 47-65</w:t>
      </w:r>
    </w:p>
    <w:p w14:paraId="163FB536" w14:textId="77777777" w:rsidR="00162224" w:rsidRPr="003037D2" w:rsidRDefault="00162224" w:rsidP="00A721D6">
      <w:pPr>
        <w:ind w:left="1361" w:hanging="720"/>
        <w:rPr>
          <w:rFonts w:ascii="Garamond" w:hAnsi="Garamond"/>
        </w:rPr>
      </w:pPr>
      <w:r w:rsidRPr="003037D2">
        <w:rPr>
          <w:rFonts w:ascii="Garamond" w:hAnsi="Garamond"/>
        </w:rPr>
        <w:t xml:space="preserve">Cruickshank, Frances </w:t>
      </w:r>
      <w:bookmarkStart w:id="261" w:name="_Hlk532770177"/>
      <w:r w:rsidRPr="003037D2">
        <w:rPr>
          <w:rFonts w:ascii="Garamond" w:hAnsi="Garamond"/>
        </w:rPr>
        <w:t xml:space="preserve">‘Broken Altars: The Work of Form in George Herbert’s Temple’ in </w:t>
      </w:r>
      <w:r w:rsidRPr="003037D2">
        <w:rPr>
          <w:rFonts w:ascii="Garamond" w:hAnsi="Garamond"/>
          <w:i/>
        </w:rPr>
        <w:t>Christianity &amp; Literature</w:t>
      </w:r>
      <w:r w:rsidRPr="003037D2">
        <w:rPr>
          <w:rFonts w:ascii="Garamond" w:hAnsi="Garamond"/>
        </w:rPr>
        <w:t xml:space="preserve"> 66.1 (2016) pp. 24–38 </w:t>
      </w:r>
      <w:bookmarkEnd w:id="261"/>
    </w:p>
    <w:p w14:paraId="2517A665" w14:textId="77777777" w:rsidR="00162224" w:rsidRPr="003037D2" w:rsidRDefault="00162224" w:rsidP="00A721D6">
      <w:pPr>
        <w:ind w:left="1361" w:hanging="720"/>
        <w:rPr>
          <w:rFonts w:ascii="Garamond" w:hAnsi="Garamond"/>
        </w:rPr>
      </w:pPr>
      <w:r w:rsidRPr="003037D2">
        <w:rPr>
          <w:rFonts w:ascii="Garamond" w:hAnsi="Garamond"/>
          <w:bCs/>
        </w:rPr>
        <w:t>Cummins, Alexander, ‘</w:t>
      </w:r>
      <w:r w:rsidRPr="003037D2">
        <w:rPr>
          <w:rFonts w:ascii="Garamond" w:hAnsi="Garamond"/>
          <w:bCs/>
          <w:i/>
        </w:rPr>
        <w:t>Kairos</w:t>
      </w:r>
      <w:r w:rsidRPr="003037D2">
        <w:rPr>
          <w:rFonts w:ascii="Garamond" w:hAnsi="Garamond"/>
          <w:bCs/>
        </w:rPr>
        <w:t xml:space="preserve"> in Early Modern English Political Magic’ in The Renaissance Opportune Moment: Kairos and the Theatre of Politics</w:t>
      </w:r>
      <w:r w:rsidRPr="003037D2">
        <w:rPr>
          <w:rFonts w:ascii="Garamond" w:hAnsi="Garamond"/>
          <w:bCs/>
          <w:i/>
          <w:iCs/>
        </w:rPr>
        <w:t xml:space="preserve">, </w:t>
      </w:r>
      <w:r w:rsidRPr="003037D2">
        <w:rPr>
          <w:rFonts w:ascii="Garamond" w:hAnsi="Garamond"/>
          <w:bCs/>
        </w:rPr>
        <w:t>University College London, 12</w:t>
      </w:r>
      <w:r w:rsidRPr="003037D2">
        <w:rPr>
          <w:rFonts w:ascii="Garamond" w:hAnsi="Garamond"/>
          <w:bCs/>
          <w:vertAlign w:val="superscript"/>
        </w:rPr>
        <w:t>th</w:t>
      </w:r>
      <w:r w:rsidRPr="003037D2">
        <w:rPr>
          <w:rFonts w:ascii="Garamond" w:hAnsi="Garamond"/>
          <w:bCs/>
        </w:rPr>
        <w:t xml:space="preserve"> November 2015</w:t>
      </w:r>
    </w:p>
    <w:p w14:paraId="17573900" w14:textId="77777777" w:rsidR="00162224" w:rsidRPr="003037D2" w:rsidRDefault="00162224" w:rsidP="00A721D6">
      <w:pPr>
        <w:ind w:left="1361" w:hanging="720"/>
        <w:rPr>
          <w:rFonts w:ascii="Garamond" w:hAnsi="Garamond"/>
        </w:rPr>
      </w:pPr>
      <w:r w:rsidRPr="003037D2">
        <w:rPr>
          <w:rFonts w:ascii="Garamond" w:hAnsi="Garamond"/>
        </w:rPr>
        <w:t xml:space="preserve">Dai, </w:t>
      </w:r>
      <w:proofErr w:type="spellStart"/>
      <w:r w:rsidRPr="003037D2">
        <w:rPr>
          <w:rFonts w:ascii="Garamond" w:hAnsi="Garamond"/>
        </w:rPr>
        <w:t>Hengchen</w:t>
      </w:r>
      <w:proofErr w:type="spellEnd"/>
      <w:r w:rsidRPr="003037D2">
        <w:rPr>
          <w:rFonts w:ascii="Garamond" w:hAnsi="Garamond"/>
        </w:rPr>
        <w:t xml:space="preserve">, Katherine L. Milkman, and Jason Riis, ‘Put Your Imperfections Behind You: Temporal Landmarks Spur Goal Initiation When They Signal New Beginnings’ in </w:t>
      </w:r>
      <w:r w:rsidRPr="003037D2">
        <w:rPr>
          <w:rFonts w:ascii="Garamond" w:hAnsi="Garamond"/>
          <w:i/>
        </w:rPr>
        <w:t xml:space="preserve">Psychological Science, </w:t>
      </w:r>
      <w:r w:rsidRPr="003037D2">
        <w:rPr>
          <w:rFonts w:ascii="Garamond" w:hAnsi="Garamond"/>
        </w:rPr>
        <w:t xml:space="preserve">26.12 (November 2015), pp. 1927-1936 </w:t>
      </w:r>
    </w:p>
    <w:p w14:paraId="08327358" w14:textId="77777777" w:rsidR="00162224" w:rsidRPr="003037D2" w:rsidRDefault="00162224" w:rsidP="00A721D6">
      <w:pPr>
        <w:ind w:left="1361" w:hanging="720"/>
        <w:rPr>
          <w:rFonts w:ascii="Garamond" w:hAnsi="Garamond"/>
        </w:rPr>
      </w:pPr>
      <w:proofErr w:type="spellStart"/>
      <w:r w:rsidRPr="003037D2">
        <w:rPr>
          <w:rFonts w:ascii="Garamond" w:hAnsi="Garamond"/>
        </w:rPr>
        <w:t>Daniell</w:t>
      </w:r>
      <w:proofErr w:type="spellEnd"/>
      <w:r w:rsidRPr="003037D2">
        <w:rPr>
          <w:rFonts w:ascii="Garamond" w:hAnsi="Garamond"/>
        </w:rPr>
        <w:t xml:space="preserve">, David, </w:t>
      </w:r>
      <w:r w:rsidRPr="003037D2">
        <w:rPr>
          <w:rFonts w:ascii="Garamond" w:hAnsi="Garamond"/>
          <w:i/>
          <w:iCs/>
        </w:rPr>
        <w:t xml:space="preserve">Tyndale's New Testament </w:t>
      </w:r>
      <w:r w:rsidRPr="003037D2">
        <w:rPr>
          <w:rFonts w:ascii="Garamond" w:hAnsi="Garamond"/>
          <w:iCs/>
        </w:rPr>
        <w:t>(</w:t>
      </w:r>
      <w:r w:rsidRPr="003037D2">
        <w:rPr>
          <w:rFonts w:ascii="Garamond" w:hAnsi="Garamond"/>
        </w:rPr>
        <w:t>New Haven: Yale University Press, 1989)</w:t>
      </w:r>
    </w:p>
    <w:p w14:paraId="127FAF3E" w14:textId="77777777" w:rsidR="00162224" w:rsidRPr="003037D2" w:rsidRDefault="00162224" w:rsidP="00A721D6">
      <w:pPr>
        <w:ind w:left="1361" w:hanging="720"/>
        <w:rPr>
          <w:rFonts w:ascii="Garamond" w:hAnsi="Garamond"/>
        </w:rPr>
      </w:pPr>
      <w:r w:rsidRPr="003037D2">
        <w:rPr>
          <w:rFonts w:ascii="Garamond" w:hAnsi="Garamond"/>
        </w:rPr>
        <w:t xml:space="preserve">Debus, Allen George, </w:t>
      </w:r>
      <w:r w:rsidRPr="003037D2">
        <w:rPr>
          <w:rFonts w:ascii="Garamond" w:hAnsi="Garamond"/>
          <w:i/>
        </w:rPr>
        <w:t xml:space="preserve">The English </w:t>
      </w:r>
      <w:proofErr w:type="spellStart"/>
      <w:r w:rsidRPr="003037D2">
        <w:rPr>
          <w:rFonts w:ascii="Garamond" w:hAnsi="Garamond"/>
          <w:i/>
        </w:rPr>
        <w:t>Paracelsians</w:t>
      </w:r>
      <w:proofErr w:type="spellEnd"/>
      <w:r w:rsidRPr="003037D2">
        <w:rPr>
          <w:rFonts w:ascii="Garamond" w:hAnsi="Garamond"/>
        </w:rPr>
        <w:t xml:space="preserve"> (Chicago: University </w:t>
      </w:r>
      <w:proofErr w:type="gramStart"/>
      <w:r w:rsidRPr="003037D2">
        <w:rPr>
          <w:rFonts w:ascii="Garamond" w:hAnsi="Garamond"/>
        </w:rPr>
        <w:t>Of</w:t>
      </w:r>
      <w:proofErr w:type="gramEnd"/>
      <w:r w:rsidRPr="003037D2">
        <w:rPr>
          <w:rFonts w:ascii="Garamond" w:hAnsi="Garamond"/>
        </w:rPr>
        <w:t xml:space="preserve"> Chicago Press, 1968)</w:t>
      </w:r>
    </w:p>
    <w:p w14:paraId="4772A0CF" w14:textId="77777777" w:rsidR="00162224" w:rsidRPr="003037D2" w:rsidRDefault="00162224" w:rsidP="00A721D6">
      <w:pPr>
        <w:ind w:left="1361" w:hanging="720"/>
        <w:rPr>
          <w:rFonts w:ascii="Garamond" w:hAnsi="Garamond"/>
        </w:rPr>
      </w:pPr>
      <w:r w:rsidRPr="003037D2">
        <w:rPr>
          <w:rFonts w:ascii="Garamond" w:hAnsi="Garamond"/>
        </w:rPr>
        <w:t xml:space="preserve">de Vries, Jan, </w:t>
      </w:r>
      <w:r w:rsidRPr="003037D2">
        <w:rPr>
          <w:rFonts w:ascii="Garamond" w:hAnsi="Garamond"/>
          <w:i/>
        </w:rPr>
        <w:t xml:space="preserve">The Industrious Revolution: consumer </w:t>
      </w:r>
      <w:proofErr w:type="spellStart"/>
      <w:r w:rsidRPr="003037D2">
        <w:rPr>
          <w:rFonts w:ascii="Garamond" w:hAnsi="Garamond"/>
          <w:i/>
        </w:rPr>
        <w:t>behaviour</w:t>
      </w:r>
      <w:proofErr w:type="spellEnd"/>
      <w:r w:rsidRPr="003037D2">
        <w:rPr>
          <w:rFonts w:ascii="Garamond" w:hAnsi="Garamond"/>
          <w:i/>
        </w:rPr>
        <w:t xml:space="preserve"> and the household economy, 1650-the present </w:t>
      </w:r>
      <w:r w:rsidRPr="003037D2">
        <w:rPr>
          <w:rFonts w:ascii="Garamond" w:hAnsi="Garamond"/>
        </w:rPr>
        <w:t xml:space="preserve">(Cambridge: Cambridge University Press, 2008) </w:t>
      </w:r>
    </w:p>
    <w:p w14:paraId="13900363" w14:textId="77777777" w:rsidR="00162224" w:rsidRPr="003037D2" w:rsidRDefault="00162224" w:rsidP="00A721D6">
      <w:pPr>
        <w:ind w:left="1361" w:hanging="720"/>
        <w:rPr>
          <w:rFonts w:ascii="Garamond" w:hAnsi="Garamond"/>
        </w:rPr>
      </w:pPr>
      <w:r w:rsidRPr="003037D2">
        <w:rPr>
          <w:rFonts w:ascii="Garamond" w:hAnsi="Garamond"/>
        </w:rPr>
        <w:t xml:space="preserve">Di Cesare, Mario, ‘Image and Allusion Herbert’s Prayer (I)’ in </w:t>
      </w:r>
      <w:r w:rsidRPr="003037D2">
        <w:rPr>
          <w:rFonts w:ascii="Garamond" w:hAnsi="Garamond"/>
          <w:i/>
          <w:iCs/>
        </w:rPr>
        <w:t>English Literary Renaissance,</w:t>
      </w:r>
      <w:r w:rsidRPr="003037D2">
        <w:rPr>
          <w:rFonts w:ascii="Garamond" w:hAnsi="Garamond"/>
        </w:rPr>
        <w:t xml:space="preserve"> 11 (1981), pp. 304-28</w:t>
      </w:r>
    </w:p>
    <w:p w14:paraId="16DEACCE" w14:textId="77777777" w:rsidR="00162224" w:rsidRPr="003037D2" w:rsidRDefault="00162224" w:rsidP="00A721D6">
      <w:pPr>
        <w:ind w:left="1361" w:hanging="720"/>
        <w:rPr>
          <w:rFonts w:ascii="Garamond" w:hAnsi="Garamond"/>
        </w:rPr>
      </w:pPr>
      <w:r w:rsidRPr="003037D2">
        <w:rPr>
          <w:rFonts w:ascii="Garamond" w:hAnsi="Garamond"/>
        </w:rPr>
        <w:t xml:space="preserve">DiPasquale, Theresa M., ‘From Here to </w:t>
      </w:r>
      <w:proofErr w:type="spellStart"/>
      <w:r w:rsidRPr="003037D2">
        <w:rPr>
          <w:rFonts w:ascii="Garamond" w:hAnsi="Garamond"/>
        </w:rPr>
        <w:t>Aeviternity</w:t>
      </w:r>
      <w:proofErr w:type="spellEnd"/>
      <w:r w:rsidRPr="003037D2">
        <w:rPr>
          <w:rFonts w:ascii="Garamond" w:hAnsi="Garamond"/>
        </w:rPr>
        <w:t xml:space="preserve">: Donne’s </w:t>
      </w:r>
      <w:proofErr w:type="spellStart"/>
      <w:r w:rsidRPr="003037D2">
        <w:rPr>
          <w:rFonts w:ascii="Garamond" w:hAnsi="Garamond"/>
        </w:rPr>
        <w:t>Atemporal</w:t>
      </w:r>
      <w:proofErr w:type="spellEnd"/>
      <w:r w:rsidRPr="003037D2">
        <w:rPr>
          <w:rFonts w:ascii="Garamond" w:hAnsi="Garamond"/>
        </w:rPr>
        <w:t xml:space="preserve"> Clocks’ in </w:t>
      </w:r>
      <w:r w:rsidRPr="003037D2">
        <w:rPr>
          <w:rFonts w:ascii="Garamond" w:hAnsi="Garamond"/>
          <w:i/>
        </w:rPr>
        <w:t xml:space="preserve">Modern Philology, </w:t>
      </w:r>
      <w:r w:rsidRPr="003037D2">
        <w:rPr>
          <w:rFonts w:ascii="Garamond" w:hAnsi="Garamond"/>
        </w:rPr>
        <w:t xml:space="preserve">11.2 (November 2012), pp. 226-250 </w:t>
      </w:r>
    </w:p>
    <w:p w14:paraId="77982B61" w14:textId="77777777" w:rsidR="00162224" w:rsidRPr="003037D2" w:rsidRDefault="00162224" w:rsidP="00A721D6">
      <w:pPr>
        <w:ind w:left="1361" w:hanging="720"/>
        <w:rPr>
          <w:rFonts w:ascii="Garamond" w:hAnsi="Garamond"/>
        </w:rPr>
      </w:pPr>
      <w:r w:rsidRPr="003037D2">
        <w:rPr>
          <w:rFonts w:ascii="Garamond" w:hAnsi="Garamond"/>
        </w:rPr>
        <w:t xml:space="preserve">Doerksen, Daniel W., </w:t>
      </w:r>
      <w:r w:rsidRPr="003037D2">
        <w:rPr>
          <w:rFonts w:ascii="Garamond" w:hAnsi="Garamond"/>
          <w:i/>
          <w:iCs/>
        </w:rPr>
        <w:t xml:space="preserve">Picturing Religious Experience: George Herbert, Calvin, and the Scriptures </w:t>
      </w:r>
      <w:r w:rsidRPr="003037D2">
        <w:rPr>
          <w:rFonts w:ascii="Garamond" w:hAnsi="Garamond"/>
        </w:rPr>
        <w:t xml:space="preserve">(Delaware: University of Delaware Press, 2011) </w:t>
      </w:r>
    </w:p>
    <w:p w14:paraId="23C5328F" w14:textId="1298866B" w:rsidR="00162224" w:rsidRPr="003037D2" w:rsidRDefault="00162224" w:rsidP="00A721D6">
      <w:pPr>
        <w:ind w:left="1361" w:hanging="720"/>
        <w:rPr>
          <w:rFonts w:ascii="Garamond" w:hAnsi="Garamond"/>
        </w:rPr>
      </w:pPr>
      <w:r w:rsidRPr="003037D2">
        <w:rPr>
          <w:rFonts w:ascii="Garamond" w:hAnsi="Garamond"/>
        </w:rPr>
        <w:t>Doggett, Rachel</w:t>
      </w:r>
      <w:r w:rsidR="0065623B">
        <w:rPr>
          <w:rFonts w:ascii="Garamond" w:hAnsi="Garamond"/>
        </w:rPr>
        <w:t>,</w:t>
      </w:r>
      <w:r w:rsidRPr="003037D2">
        <w:rPr>
          <w:rFonts w:ascii="Garamond" w:hAnsi="Garamond"/>
        </w:rPr>
        <w:t xml:space="preserve"> ed. with the assistance of Susan </w:t>
      </w:r>
      <w:proofErr w:type="spellStart"/>
      <w:r w:rsidRPr="003037D2">
        <w:rPr>
          <w:rFonts w:ascii="Garamond" w:hAnsi="Garamond"/>
        </w:rPr>
        <w:t>Jaskot</w:t>
      </w:r>
      <w:proofErr w:type="spellEnd"/>
      <w:r w:rsidRPr="003037D2">
        <w:rPr>
          <w:rFonts w:ascii="Garamond" w:hAnsi="Garamond"/>
        </w:rPr>
        <w:t xml:space="preserve"> and Robert Rand, </w:t>
      </w:r>
      <w:r w:rsidRPr="003037D2">
        <w:rPr>
          <w:rFonts w:ascii="Garamond" w:hAnsi="Garamond"/>
          <w:i/>
        </w:rPr>
        <w:t xml:space="preserve">Time: The Greatest Innovator, Timekeeping and Time Consciousness in Early Modern Europe </w:t>
      </w:r>
      <w:r w:rsidRPr="003037D2">
        <w:rPr>
          <w:rFonts w:ascii="Garamond" w:hAnsi="Garamond"/>
        </w:rPr>
        <w:t xml:space="preserve">(Washington DC: The Folger Shakespeare Library, 1986) </w:t>
      </w:r>
    </w:p>
    <w:p w14:paraId="5F315769" w14:textId="77777777" w:rsidR="00162224" w:rsidRPr="003037D2" w:rsidRDefault="00162224" w:rsidP="00A721D6">
      <w:pPr>
        <w:ind w:left="1361" w:hanging="720"/>
        <w:rPr>
          <w:rFonts w:ascii="Garamond" w:hAnsi="Garamond"/>
        </w:rPr>
      </w:pPr>
      <w:proofErr w:type="spellStart"/>
      <w:r w:rsidRPr="003037D2">
        <w:rPr>
          <w:rFonts w:ascii="Garamond" w:hAnsi="Garamond"/>
        </w:rPr>
        <w:t>Dolphijn</w:t>
      </w:r>
      <w:proofErr w:type="spellEnd"/>
      <w:r w:rsidRPr="003037D2">
        <w:rPr>
          <w:rFonts w:ascii="Garamond" w:hAnsi="Garamond"/>
        </w:rPr>
        <w:t xml:space="preserve">, Rick and Iris van der </w:t>
      </w:r>
      <w:proofErr w:type="spellStart"/>
      <w:r w:rsidRPr="003037D2">
        <w:rPr>
          <w:rFonts w:ascii="Garamond" w:hAnsi="Garamond"/>
        </w:rPr>
        <w:t>Tuin</w:t>
      </w:r>
      <w:proofErr w:type="spellEnd"/>
      <w:r w:rsidRPr="003037D2">
        <w:rPr>
          <w:rFonts w:ascii="Garamond" w:hAnsi="Garamond"/>
        </w:rPr>
        <w:t xml:space="preserve">, </w:t>
      </w:r>
      <w:r w:rsidRPr="003037D2">
        <w:rPr>
          <w:rFonts w:ascii="Garamond" w:hAnsi="Garamond"/>
          <w:i/>
        </w:rPr>
        <w:t xml:space="preserve">New Materialism: Interviews &amp; Cartographies </w:t>
      </w:r>
      <w:r w:rsidRPr="003037D2">
        <w:rPr>
          <w:rFonts w:ascii="Garamond" w:hAnsi="Garamond"/>
        </w:rPr>
        <w:t xml:space="preserve">(Anne Arbor, Michigan: Open Humanities Press, 2012) </w:t>
      </w:r>
    </w:p>
    <w:p w14:paraId="02F35195" w14:textId="77777777" w:rsidR="00162224" w:rsidRPr="003037D2" w:rsidRDefault="00162224" w:rsidP="00A721D6">
      <w:pPr>
        <w:ind w:left="1361" w:hanging="720"/>
        <w:rPr>
          <w:rFonts w:ascii="Garamond" w:hAnsi="Garamond"/>
        </w:rPr>
      </w:pPr>
      <w:r w:rsidRPr="003037D2">
        <w:rPr>
          <w:rFonts w:ascii="Garamond" w:hAnsi="Garamond"/>
        </w:rPr>
        <w:t xml:space="preserve">Dubrow, Heather, </w:t>
      </w:r>
      <w:r w:rsidRPr="003037D2">
        <w:rPr>
          <w:rFonts w:ascii="Garamond" w:hAnsi="Garamond"/>
          <w:i/>
        </w:rPr>
        <w:t xml:space="preserve">Deixis in the Early Modern English Lyric: Unsettling Spatial Anchors Like ‘Here,’ ‘This,’ ‘Come’ </w:t>
      </w:r>
      <w:r w:rsidRPr="003037D2">
        <w:rPr>
          <w:rFonts w:ascii="Garamond" w:hAnsi="Garamond"/>
        </w:rPr>
        <w:t>(Basingstoke: Palgrave Macmillan, 2015)</w:t>
      </w:r>
    </w:p>
    <w:p w14:paraId="4B8D6CF6" w14:textId="77777777" w:rsidR="00162224" w:rsidRPr="003037D2" w:rsidRDefault="00162224" w:rsidP="00A721D6">
      <w:pPr>
        <w:ind w:left="1361" w:hanging="720"/>
        <w:rPr>
          <w:rFonts w:ascii="Garamond" w:hAnsi="Garamond"/>
        </w:rPr>
      </w:pPr>
      <w:r w:rsidRPr="003037D2">
        <w:rPr>
          <w:rFonts w:ascii="Garamond" w:hAnsi="Garamond"/>
          <w:color w:val="000000"/>
          <w:shd w:val="clear" w:color="auto" w:fill="FFFFFF"/>
        </w:rPr>
        <w:t>___</w:t>
      </w:r>
      <w:proofErr w:type="gramStart"/>
      <w:r w:rsidRPr="003037D2">
        <w:rPr>
          <w:rFonts w:ascii="Garamond" w:hAnsi="Garamond"/>
          <w:color w:val="000000"/>
          <w:shd w:val="clear" w:color="auto" w:fill="FFFFFF"/>
        </w:rPr>
        <w:t>_ ,</w:t>
      </w:r>
      <w:proofErr w:type="gramEnd"/>
      <w:r w:rsidRPr="003037D2">
        <w:rPr>
          <w:rFonts w:ascii="Garamond" w:hAnsi="Garamond"/>
        </w:rPr>
        <w:t xml:space="preserve"> ‘Hark: Flashlights, Flashpoints, Flashfloods in Donne’s Poetry’ in John Donne Society Conference, University of Lausanne, 29</w:t>
      </w:r>
      <w:r w:rsidRPr="003037D2">
        <w:rPr>
          <w:rFonts w:ascii="Garamond" w:hAnsi="Garamond"/>
          <w:vertAlign w:val="superscript"/>
        </w:rPr>
        <w:t>th</w:t>
      </w:r>
      <w:r w:rsidRPr="003037D2">
        <w:rPr>
          <w:rFonts w:ascii="Garamond" w:hAnsi="Garamond"/>
        </w:rPr>
        <w:t xml:space="preserve"> June 2018</w:t>
      </w:r>
    </w:p>
    <w:p w14:paraId="0B99FD2D" w14:textId="77777777" w:rsidR="00162224" w:rsidRPr="003037D2" w:rsidRDefault="00162224" w:rsidP="00A721D6">
      <w:pPr>
        <w:ind w:left="1361" w:hanging="720"/>
        <w:rPr>
          <w:rFonts w:ascii="Garamond" w:hAnsi="Garamond"/>
        </w:rPr>
      </w:pPr>
      <w:r w:rsidRPr="003037D2">
        <w:rPr>
          <w:rFonts w:ascii="Garamond" w:hAnsi="Garamond"/>
        </w:rPr>
        <w:t xml:space="preserve">Dyck, Paul, ‘A New Kind of Printing': Cutting and Pasting a Book for a King at Little </w:t>
      </w:r>
      <w:proofErr w:type="spellStart"/>
      <w:r w:rsidRPr="003037D2">
        <w:rPr>
          <w:rFonts w:ascii="Garamond" w:hAnsi="Garamond"/>
        </w:rPr>
        <w:t>Gidding</w:t>
      </w:r>
      <w:proofErr w:type="spellEnd"/>
      <w:r w:rsidRPr="003037D2">
        <w:rPr>
          <w:rFonts w:ascii="Garamond" w:hAnsi="Garamond"/>
        </w:rPr>
        <w:t xml:space="preserve">’ in </w:t>
      </w:r>
      <w:r w:rsidRPr="003037D2">
        <w:rPr>
          <w:rFonts w:ascii="Garamond" w:hAnsi="Garamond"/>
          <w:i/>
        </w:rPr>
        <w:t>The Library: The Transactions of the Bibliographical Society</w:t>
      </w:r>
      <w:r w:rsidRPr="003037D2">
        <w:rPr>
          <w:rFonts w:ascii="Garamond" w:hAnsi="Garamond"/>
        </w:rPr>
        <w:t>, 9.3 (2008), pp. 306-333</w:t>
      </w:r>
    </w:p>
    <w:p w14:paraId="2D926FBB" w14:textId="77777777" w:rsidR="00162224" w:rsidRPr="003037D2" w:rsidRDefault="00162224" w:rsidP="00A721D6">
      <w:pPr>
        <w:ind w:left="1361" w:hanging="720"/>
        <w:rPr>
          <w:rFonts w:ascii="Garamond" w:hAnsi="Garamond"/>
        </w:rPr>
      </w:pPr>
      <w:r w:rsidRPr="003037D2">
        <w:rPr>
          <w:rFonts w:ascii="Garamond" w:hAnsi="Garamond"/>
        </w:rPr>
        <w:t xml:space="preserve">Eisenstein, Elizabeth, </w:t>
      </w:r>
      <w:r w:rsidRPr="003037D2">
        <w:rPr>
          <w:rFonts w:ascii="Garamond" w:hAnsi="Garamond"/>
          <w:i/>
          <w:iCs/>
        </w:rPr>
        <w:t>The Printing Press as an Agent of Change: Communications and Cultural Transformations in Early Modern Europe</w:t>
      </w:r>
      <w:r w:rsidRPr="003037D2">
        <w:rPr>
          <w:rFonts w:ascii="Garamond" w:hAnsi="Garamond" w:cs="Arial"/>
          <w:b/>
          <w:bCs/>
          <w:color w:val="333132"/>
        </w:rPr>
        <w:t xml:space="preserve"> </w:t>
      </w:r>
      <w:r w:rsidRPr="003037D2">
        <w:rPr>
          <w:rFonts w:ascii="Garamond" w:hAnsi="Garamond"/>
        </w:rPr>
        <w:t>(Cambridge: Cambridge University Press, 1980)</w:t>
      </w:r>
    </w:p>
    <w:p w14:paraId="65D51E3E" w14:textId="77777777" w:rsidR="00162224" w:rsidRPr="003037D2" w:rsidRDefault="00162224" w:rsidP="00A721D6">
      <w:pPr>
        <w:ind w:left="1361" w:hanging="720"/>
        <w:rPr>
          <w:rFonts w:ascii="Garamond" w:hAnsi="Garamond"/>
        </w:rPr>
      </w:pPr>
      <w:r w:rsidRPr="003037D2">
        <w:rPr>
          <w:rFonts w:ascii="Garamond" w:hAnsi="Garamond"/>
        </w:rPr>
        <w:t xml:space="preserve">Eliot, T.S., </w:t>
      </w:r>
      <w:r w:rsidRPr="003037D2">
        <w:rPr>
          <w:rFonts w:ascii="Garamond" w:hAnsi="Garamond"/>
          <w:i/>
          <w:iCs/>
        </w:rPr>
        <w:t xml:space="preserve">Essays Ancient and Modern </w:t>
      </w:r>
      <w:r w:rsidRPr="003037D2">
        <w:rPr>
          <w:rFonts w:ascii="Garamond" w:hAnsi="Garamond"/>
        </w:rPr>
        <w:t xml:space="preserve">(New York: Harcourt, Brace and Company, 1936) </w:t>
      </w:r>
    </w:p>
    <w:p w14:paraId="3BF60B0A" w14:textId="77777777" w:rsidR="00162224" w:rsidRPr="003037D2" w:rsidRDefault="00162224" w:rsidP="00A721D6">
      <w:pPr>
        <w:ind w:left="1361" w:hanging="720"/>
        <w:rPr>
          <w:rFonts w:ascii="Garamond" w:hAnsi="Garamond"/>
        </w:rPr>
      </w:pPr>
      <w:r w:rsidRPr="003037D2">
        <w:rPr>
          <w:rFonts w:ascii="Garamond" w:hAnsi="Garamond"/>
        </w:rPr>
        <w:lastRenderedPageBreak/>
        <w:t>Ellinwood, Leonard, ‘</w:t>
      </w:r>
      <w:proofErr w:type="spellStart"/>
      <w:r w:rsidRPr="003037D2">
        <w:rPr>
          <w:rFonts w:ascii="Garamond" w:hAnsi="Garamond"/>
        </w:rPr>
        <w:t>Tallis</w:t>
      </w:r>
      <w:proofErr w:type="spellEnd"/>
      <w:r w:rsidRPr="003037D2">
        <w:rPr>
          <w:rFonts w:ascii="Garamond" w:hAnsi="Garamond"/>
        </w:rPr>
        <w:t>’ Tunes and Tudor Psalmody</w:t>
      </w:r>
      <w:proofErr w:type="gramStart"/>
      <w:r w:rsidRPr="003037D2">
        <w:rPr>
          <w:rFonts w:ascii="Garamond" w:hAnsi="Garamond"/>
        </w:rPr>
        <w:t>’  in</w:t>
      </w:r>
      <w:proofErr w:type="gramEnd"/>
      <w:r w:rsidRPr="003037D2">
        <w:rPr>
          <w:rFonts w:ascii="Garamond" w:hAnsi="Garamond"/>
        </w:rPr>
        <w:t xml:space="preserve"> </w:t>
      </w:r>
      <w:proofErr w:type="spellStart"/>
      <w:r w:rsidRPr="003037D2">
        <w:rPr>
          <w:rFonts w:ascii="Garamond" w:hAnsi="Garamond"/>
          <w:i/>
          <w:iCs/>
        </w:rPr>
        <w:t>Musica</w:t>
      </w:r>
      <w:proofErr w:type="spellEnd"/>
      <w:r w:rsidRPr="003037D2">
        <w:rPr>
          <w:rFonts w:ascii="Garamond" w:hAnsi="Garamond"/>
          <w:i/>
          <w:iCs/>
        </w:rPr>
        <w:t xml:space="preserve"> </w:t>
      </w:r>
      <w:proofErr w:type="spellStart"/>
      <w:r w:rsidRPr="003037D2">
        <w:rPr>
          <w:rFonts w:ascii="Garamond" w:hAnsi="Garamond"/>
          <w:i/>
          <w:iCs/>
        </w:rPr>
        <w:t>Disciplina</w:t>
      </w:r>
      <w:proofErr w:type="spellEnd"/>
      <w:r w:rsidRPr="003037D2">
        <w:rPr>
          <w:rFonts w:ascii="Garamond" w:hAnsi="Garamond"/>
          <w:i/>
          <w:iCs/>
        </w:rPr>
        <w:t xml:space="preserve">, </w:t>
      </w:r>
      <w:r w:rsidRPr="003037D2">
        <w:rPr>
          <w:rFonts w:ascii="Garamond" w:hAnsi="Garamond"/>
        </w:rPr>
        <w:t>2</w:t>
      </w:r>
      <w:r w:rsidRPr="003037D2">
        <w:rPr>
          <w:rFonts w:ascii="Garamond" w:hAnsi="Garamond"/>
          <w:i/>
          <w:iCs/>
        </w:rPr>
        <w:t xml:space="preserve"> </w:t>
      </w:r>
      <w:r w:rsidRPr="003037D2">
        <w:rPr>
          <w:rFonts w:ascii="Garamond" w:hAnsi="Garamond"/>
        </w:rPr>
        <w:t>(1948),</w:t>
      </w:r>
      <w:r w:rsidRPr="003037D2">
        <w:rPr>
          <w:rFonts w:ascii="Garamond" w:hAnsi="Garamond"/>
          <w:i/>
          <w:iCs/>
        </w:rPr>
        <w:t xml:space="preserve"> </w:t>
      </w:r>
      <w:r w:rsidRPr="003037D2">
        <w:rPr>
          <w:rFonts w:ascii="Garamond" w:hAnsi="Garamond"/>
        </w:rPr>
        <w:t xml:space="preserve">pp. 189-203 </w:t>
      </w:r>
    </w:p>
    <w:p w14:paraId="6912424A" w14:textId="77777777" w:rsidR="00162224" w:rsidRPr="003037D2" w:rsidRDefault="00162224" w:rsidP="00A721D6">
      <w:pPr>
        <w:ind w:left="1361" w:hanging="720"/>
        <w:rPr>
          <w:rFonts w:ascii="Garamond" w:hAnsi="Garamond"/>
        </w:rPr>
      </w:pPr>
      <w:proofErr w:type="spellStart"/>
      <w:r w:rsidRPr="003037D2">
        <w:rPr>
          <w:rFonts w:ascii="Garamond" w:hAnsi="Garamond"/>
        </w:rPr>
        <w:t>Elsky</w:t>
      </w:r>
      <w:proofErr w:type="spellEnd"/>
      <w:r w:rsidRPr="003037D2">
        <w:rPr>
          <w:rFonts w:ascii="Garamond" w:hAnsi="Garamond"/>
        </w:rPr>
        <w:t xml:space="preserve">, Martin, ‘George Herbert’s Pattern poems and the materiality of language: a new approach to Renaissance Hieroglyphics’ in </w:t>
      </w:r>
      <w:r w:rsidRPr="003037D2">
        <w:rPr>
          <w:rFonts w:ascii="Garamond" w:hAnsi="Garamond"/>
          <w:i/>
        </w:rPr>
        <w:t xml:space="preserve">English Literary History, </w:t>
      </w:r>
      <w:r w:rsidRPr="003037D2">
        <w:rPr>
          <w:rFonts w:ascii="Garamond" w:hAnsi="Garamond"/>
        </w:rPr>
        <w:t xml:space="preserve">50.2 (Summer, 1983), pp. 245-260 </w:t>
      </w:r>
    </w:p>
    <w:p w14:paraId="7C8611E8" w14:textId="77777777" w:rsidR="00162224" w:rsidRPr="003037D2" w:rsidRDefault="00162224" w:rsidP="00A721D6">
      <w:pPr>
        <w:ind w:left="1361" w:hanging="720"/>
        <w:rPr>
          <w:rFonts w:ascii="Garamond" w:hAnsi="Garamond"/>
        </w:rPr>
      </w:pPr>
      <w:r w:rsidRPr="003037D2">
        <w:rPr>
          <w:rFonts w:ascii="Garamond" w:hAnsi="Garamond"/>
        </w:rPr>
        <w:t xml:space="preserve">Engle, William E., </w:t>
      </w:r>
      <w:r w:rsidRPr="003037D2">
        <w:rPr>
          <w:rFonts w:ascii="Garamond" w:hAnsi="Garamond"/>
          <w:i/>
        </w:rPr>
        <w:t xml:space="preserve">Chiastic Designs in English Literature from Sidney to Shakespeare </w:t>
      </w:r>
      <w:r w:rsidRPr="003037D2">
        <w:rPr>
          <w:rFonts w:ascii="Garamond" w:hAnsi="Garamond"/>
        </w:rPr>
        <w:t>(</w:t>
      </w:r>
      <w:proofErr w:type="spellStart"/>
      <w:r w:rsidRPr="003037D2">
        <w:rPr>
          <w:rFonts w:ascii="Garamond" w:hAnsi="Garamond"/>
        </w:rPr>
        <w:t>Fargate</w:t>
      </w:r>
      <w:proofErr w:type="spellEnd"/>
      <w:r w:rsidRPr="003037D2">
        <w:rPr>
          <w:rFonts w:ascii="Garamond" w:hAnsi="Garamond"/>
        </w:rPr>
        <w:t xml:space="preserve">: Ashgate Press, 2009)  </w:t>
      </w:r>
    </w:p>
    <w:p w14:paraId="3E69E93E" w14:textId="68D81C0C" w:rsidR="00162224" w:rsidRPr="003037D2" w:rsidRDefault="00162224" w:rsidP="00A721D6">
      <w:pPr>
        <w:ind w:left="1361" w:hanging="720"/>
        <w:rPr>
          <w:rFonts w:ascii="Garamond" w:hAnsi="Garamond"/>
        </w:rPr>
      </w:pPr>
      <w:proofErr w:type="gramStart"/>
      <w:r w:rsidRPr="003037D2">
        <w:rPr>
          <w:rFonts w:ascii="Garamond" w:hAnsi="Garamond"/>
        </w:rPr>
        <w:t>------  Rory</w:t>
      </w:r>
      <w:proofErr w:type="gramEnd"/>
      <w:r w:rsidRPr="003037D2">
        <w:rPr>
          <w:rFonts w:ascii="Garamond" w:hAnsi="Garamond"/>
        </w:rPr>
        <w:t xml:space="preserve"> </w:t>
      </w:r>
      <w:proofErr w:type="spellStart"/>
      <w:r w:rsidRPr="003037D2">
        <w:rPr>
          <w:rFonts w:ascii="Garamond" w:hAnsi="Garamond"/>
        </w:rPr>
        <w:t>Laughnane</w:t>
      </w:r>
      <w:proofErr w:type="spellEnd"/>
      <w:r w:rsidRPr="003037D2">
        <w:rPr>
          <w:rFonts w:ascii="Garamond" w:hAnsi="Garamond"/>
        </w:rPr>
        <w:t xml:space="preserve"> and Grant Williams eds, </w:t>
      </w:r>
      <w:r w:rsidRPr="003037D2">
        <w:rPr>
          <w:rFonts w:ascii="Garamond" w:hAnsi="Garamond"/>
          <w:i/>
          <w:iCs/>
        </w:rPr>
        <w:t xml:space="preserve">The Memory Arts in Renaissance England: a critical anthology </w:t>
      </w:r>
      <w:r w:rsidRPr="003037D2">
        <w:rPr>
          <w:rFonts w:ascii="Garamond" w:hAnsi="Garamond"/>
        </w:rPr>
        <w:t xml:space="preserve">(Cambridge: Cambridge University Press, 2016) </w:t>
      </w:r>
    </w:p>
    <w:p w14:paraId="0025C206" w14:textId="77777777" w:rsidR="00162224" w:rsidRPr="003037D2" w:rsidRDefault="00162224" w:rsidP="00A721D6">
      <w:pPr>
        <w:ind w:left="1361" w:hanging="720"/>
        <w:rPr>
          <w:rFonts w:ascii="Garamond" w:hAnsi="Garamond"/>
        </w:rPr>
      </w:pPr>
      <w:proofErr w:type="spellStart"/>
      <w:r w:rsidRPr="003037D2">
        <w:rPr>
          <w:rFonts w:ascii="Garamond" w:hAnsi="Garamond"/>
        </w:rPr>
        <w:t>Engammare</w:t>
      </w:r>
      <w:proofErr w:type="spellEnd"/>
      <w:r w:rsidRPr="003037D2">
        <w:rPr>
          <w:rFonts w:ascii="Garamond" w:hAnsi="Garamond"/>
        </w:rPr>
        <w:t xml:space="preserve">, Max, </w:t>
      </w:r>
      <w:r w:rsidRPr="003037D2">
        <w:rPr>
          <w:rFonts w:ascii="Garamond" w:hAnsi="Garamond"/>
          <w:i/>
          <w:iCs/>
        </w:rPr>
        <w:t>On Time, Punctuality and Discipline in Early Modern Calvinism</w:t>
      </w:r>
      <w:r w:rsidRPr="003037D2">
        <w:rPr>
          <w:rFonts w:ascii="Garamond" w:hAnsi="Garamond"/>
        </w:rPr>
        <w:t xml:space="preserve"> trans. Karin </w:t>
      </w:r>
      <w:proofErr w:type="spellStart"/>
      <w:r w:rsidRPr="003037D2">
        <w:rPr>
          <w:rFonts w:ascii="Garamond" w:hAnsi="Garamond"/>
        </w:rPr>
        <w:t>Maag</w:t>
      </w:r>
      <w:proofErr w:type="spellEnd"/>
      <w:r w:rsidRPr="003037D2">
        <w:rPr>
          <w:rFonts w:ascii="Garamond" w:hAnsi="Garamond"/>
        </w:rPr>
        <w:t xml:space="preserve"> (Cambridge, Cambridge University Press: 2010)</w:t>
      </w:r>
    </w:p>
    <w:p w14:paraId="43911322" w14:textId="77777777" w:rsidR="00162224" w:rsidRPr="003037D2" w:rsidRDefault="00162224" w:rsidP="00A721D6">
      <w:pPr>
        <w:ind w:left="1361" w:hanging="720"/>
        <w:rPr>
          <w:rFonts w:ascii="Garamond" w:hAnsi="Garamond"/>
        </w:rPr>
      </w:pPr>
      <w:r w:rsidRPr="003037D2">
        <w:rPr>
          <w:rFonts w:ascii="Garamond" w:hAnsi="Garamond"/>
        </w:rPr>
        <w:t xml:space="preserve">Fabian, Johannes, </w:t>
      </w:r>
      <w:r w:rsidRPr="003037D2">
        <w:rPr>
          <w:rFonts w:ascii="Garamond" w:hAnsi="Garamond"/>
          <w:i/>
        </w:rPr>
        <w:t xml:space="preserve">Time and the Other: How anthropology makes its object </w:t>
      </w:r>
      <w:r w:rsidRPr="003037D2">
        <w:rPr>
          <w:rFonts w:ascii="Garamond" w:hAnsi="Garamond"/>
        </w:rPr>
        <w:t xml:space="preserve">(New York: Columbia University Press, 1983) </w:t>
      </w:r>
    </w:p>
    <w:p w14:paraId="2F97C69C" w14:textId="77777777" w:rsidR="00162224" w:rsidRPr="003037D2" w:rsidRDefault="00162224" w:rsidP="00A721D6">
      <w:pPr>
        <w:ind w:left="1361" w:hanging="720"/>
        <w:rPr>
          <w:rFonts w:ascii="Garamond" w:hAnsi="Garamond"/>
          <w:bCs/>
        </w:rPr>
      </w:pPr>
      <w:r w:rsidRPr="003037D2">
        <w:rPr>
          <w:rFonts w:ascii="Garamond" w:hAnsi="Garamond"/>
          <w:bCs/>
        </w:rPr>
        <w:t xml:space="preserve">Faraday, Christina Juliet, ‘Tudor time machines: Clocks and watches in English portraits c.1530-c.1630’ in </w:t>
      </w:r>
      <w:r w:rsidRPr="003037D2">
        <w:rPr>
          <w:rFonts w:ascii="Garamond" w:hAnsi="Garamond"/>
          <w:bCs/>
          <w:i/>
          <w:iCs/>
        </w:rPr>
        <w:t xml:space="preserve">Renaissance Studies, </w:t>
      </w:r>
      <w:r w:rsidRPr="003037D2">
        <w:rPr>
          <w:rFonts w:ascii="Garamond" w:hAnsi="Garamond"/>
          <w:bCs/>
          <w:iCs/>
        </w:rPr>
        <w:t xml:space="preserve">32 </w:t>
      </w:r>
      <w:r w:rsidRPr="003037D2">
        <w:rPr>
          <w:rFonts w:ascii="Garamond" w:hAnsi="Garamond"/>
          <w:bCs/>
        </w:rPr>
        <w:t xml:space="preserve">(2018), pp. 1-28 </w:t>
      </w:r>
    </w:p>
    <w:p w14:paraId="6CAB2CEE" w14:textId="77777777" w:rsidR="00162224" w:rsidRPr="003037D2" w:rsidRDefault="00162224" w:rsidP="00A721D6">
      <w:pPr>
        <w:ind w:left="1361" w:hanging="720"/>
        <w:rPr>
          <w:rFonts w:ascii="Garamond" w:hAnsi="Garamond"/>
          <w:bCs/>
        </w:rPr>
      </w:pPr>
      <w:r w:rsidRPr="003037D2">
        <w:rPr>
          <w:rFonts w:ascii="Garamond" w:hAnsi="Garamond"/>
          <w:bCs/>
        </w:rPr>
        <w:t xml:space="preserve">Farmer, Alan B., and Zachary Lesser, ‘Vile Arts: The Marketing of English Printed Drama, 1512-1660’ in </w:t>
      </w:r>
      <w:r w:rsidRPr="003037D2">
        <w:rPr>
          <w:rFonts w:ascii="Garamond" w:hAnsi="Garamond"/>
          <w:bCs/>
          <w:i/>
          <w:iCs/>
        </w:rPr>
        <w:t>Research Opportunities in Renaissance Drama,</w:t>
      </w:r>
      <w:r w:rsidRPr="003037D2">
        <w:rPr>
          <w:rFonts w:ascii="Garamond" w:hAnsi="Garamond"/>
          <w:bCs/>
        </w:rPr>
        <w:t xml:space="preserve"> 39 (2000), pp. 77-165 </w:t>
      </w:r>
    </w:p>
    <w:p w14:paraId="7DE793A1" w14:textId="77777777" w:rsidR="00162224" w:rsidRPr="003037D2" w:rsidRDefault="00162224" w:rsidP="00A721D6">
      <w:pPr>
        <w:ind w:left="1361" w:hanging="720"/>
        <w:rPr>
          <w:rFonts w:ascii="Garamond" w:hAnsi="Garamond"/>
          <w:b/>
          <w:bCs/>
        </w:rPr>
      </w:pPr>
      <w:r w:rsidRPr="003037D2">
        <w:rPr>
          <w:rFonts w:ascii="Garamond" w:hAnsi="Garamond"/>
          <w:bCs/>
        </w:rPr>
        <w:t>___</w:t>
      </w:r>
      <w:proofErr w:type="gramStart"/>
      <w:r w:rsidRPr="003037D2">
        <w:rPr>
          <w:rFonts w:ascii="Garamond" w:hAnsi="Garamond"/>
          <w:bCs/>
        </w:rPr>
        <w:t>_ ,</w:t>
      </w:r>
      <w:proofErr w:type="gramEnd"/>
      <w:r w:rsidRPr="003037D2">
        <w:rPr>
          <w:rFonts w:ascii="Garamond" w:hAnsi="Garamond"/>
          <w:bCs/>
        </w:rPr>
        <w:t xml:space="preserve"> ‘</w:t>
      </w:r>
      <w:r w:rsidRPr="003037D2">
        <w:rPr>
          <w:rFonts w:ascii="Garamond" w:hAnsi="Garamond"/>
        </w:rPr>
        <w:t xml:space="preserve">What is Print Popularity? A Map of the Elizabethan Book Trade’ in </w:t>
      </w:r>
      <w:r w:rsidRPr="003037D2">
        <w:rPr>
          <w:rFonts w:ascii="Garamond" w:hAnsi="Garamond"/>
          <w:i/>
          <w:iCs/>
        </w:rPr>
        <w:t xml:space="preserve">The Elizabethan Top Ten, </w:t>
      </w:r>
      <w:r w:rsidRPr="003037D2">
        <w:rPr>
          <w:rFonts w:ascii="Garamond" w:hAnsi="Garamond"/>
        </w:rPr>
        <w:t xml:space="preserve">ed. by Andy </w:t>
      </w:r>
      <w:proofErr w:type="spellStart"/>
      <w:r w:rsidRPr="003037D2">
        <w:rPr>
          <w:rFonts w:ascii="Garamond" w:hAnsi="Garamond"/>
        </w:rPr>
        <w:t>Kesson</w:t>
      </w:r>
      <w:proofErr w:type="spellEnd"/>
      <w:r w:rsidRPr="003037D2">
        <w:rPr>
          <w:rFonts w:ascii="Garamond" w:hAnsi="Garamond"/>
        </w:rPr>
        <w:t xml:space="preserve"> and Emma Smith (Ashgate: London, 2013), pp. 19-54</w:t>
      </w:r>
    </w:p>
    <w:p w14:paraId="38177A5B" w14:textId="77777777" w:rsidR="00162224" w:rsidRPr="003037D2" w:rsidRDefault="00162224" w:rsidP="00A721D6">
      <w:pPr>
        <w:ind w:left="1361" w:hanging="720"/>
        <w:rPr>
          <w:rFonts w:ascii="Garamond" w:hAnsi="Garamond"/>
        </w:rPr>
      </w:pPr>
      <w:r w:rsidRPr="003037D2">
        <w:rPr>
          <w:rFonts w:ascii="Garamond" w:hAnsi="Garamond"/>
        </w:rPr>
        <w:t xml:space="preserve">Farrell, Craig, ‘The Poetics of Page-Turning: The Interactive Surfaces of Early Modern Printed Poetry’ in </w:t>
      </w:r>
      <w:r w:rsidRPr="003037D2">
        <w:rPr>
          <w:rFonts w:ascii="Garamond" w:hAnsi="Garamond"/>
          <w:i/>
          <w:iCs/>
        </w:rPr>
        <w:t xml:space="preserve">Journal of the Northern Renaissance, </w:t>
      </w:r>
      <w:r w:rsidRPr="003037D2">
        <w:rPr>
          <w:rFonts w:ascii="Garamond" w:hAnsi="Garamond"/>
        </w:rPr>
        <w:t>Issue 8 (Spring 2017) Scrutinizing Surfaces, Online edition &lt;</w:t>
      </w:r>
      <w:r w:rsidRPr="003037D2">
        <w:rPr>
          <w:rStyle w:val="Hyperlink"/>
          <w:rFonts w:ascii="Garamond" w:hAnsi="Garamond"/>
        </w:rPr>
        <w:t>http://www.northernrenaissance.org/the-poetics-of-page-turning-the-interactive-surfaces-of-early-modern-printed-poetry/</w:t>
      </w:r>
      <w:r w:rsidRPr="003037D2">
        <w:rPr>
          <w:rFonts w:ascii="Garamond" w:hAnsi="Garamond"/>
        </w:rPr>
        <w:t xml:space="preserve">&gt; [accessed 3 November 2017]  </w:t>
      </w:r>
    </w:p>
    <w:p w14:paraId="77BDBA11" w14:textId="77777777" w:rsidR="00162224" w:rsidRPr="003037D2" w:rsidRDefault="00162224" w:rsidP="00A721D6">
      <w:pPr>
        <w:ind w:left="1361" w:hanging="720"/>
        <w:rPr>
          <w:rFonts w:ascii="Garamond" w:hAnsi="Garamond"/>
        </w:rPr>
      </w:pPr>
      <w:proofErr w:type="spellStart"/>
      <w:r w:rsidRPr="003037D2">
        <w:rPr>
          <w:rFonts w:ascii="Garamond" w:hAnsi="Garamond"/>
        </w:rPr>
        <w:t>Febvre</w:t>
      </w:r>
      <w:proofErr w:type="spellEnd"/>
      <w:r w:rsidRPr="003037D2">
        <w:rPr>
          <w:rFonts w:ascii="Garamond" w:hAnsi="Garamond"/>
        </w:rPr>
        <w:t xml:space="preserve">, Lucien, </w:t>
      </w:r>
      <w:r w:rsidRPr="003037D2">
        <w:rPr>
          <w:rFonts w:ascii="Garamond" w:hAnsi="Garamond"/>
          <w:i/>
        </w:rPr>
        <w:t xml:space="preserve">The Problem of Unbelief in the Sixteenth Century: The religion of Rabelais </w:t>
      </w:r>
      <w:r w:rsidRPr="003037D2">
        <w:rPr>
          <w:rFonts w:ascii="Garamond" w:hAnsi="Garamond"/>
        </w:rPr>
        <w:t xml:space="preserve">translated by Beatrice Gottlieb (Cambridge, MA: Harvard University Press, 1982) </w:t>
      </w:r>
    </w:p>
    <w:p w14:paraId="4498032E" w14:textId="3D813916" w:rsidR="00162224" w:rsidRPr="003037D2" w:rsidRDefault="00162224" w:rsidP="00A721D6">
      <w:pPr>
        <w:spacing w:after="120"/>
        <w:ind w:left="1361" w:hanging="720"/>
        <w:rPr>
          <w:rFonts w:ascii="Garamond" w:hAnsi="Garamond" w:cstheme="majorBidi"/>
        </w:rPr>
      </w:pPr>
      <w:proofErr w:type="spellStart"/>
      <w:r w:rsidRPr="003037D2">
        <w:rPr>
          <w:rFonts w:ascii="Garamond" w:hAnsi="Garamond" w:cstheme="majorBidi"/>
        </w:rPr>
        <w:t>Felch</w:t>
      </w:r>
      <w:proofErr w:type="spellEnd"/>
      <w:r w:rsidRPr="003037D2">
        <w:rPr>
          <w:rFonts w:ascii="Garamond" w:hAnsi="Garamond" w:cstheme="majorBidi"/>
        </w:rPr>
        <w:t>, Susan, ‘</w:t>
      </w:r>
      <w:r w:rsidR="00ED0F4C">
        <w:rPr>
          <w:rFonts w:ascii="Garamond" w:hAnsi="Garamond" w:cstheme="majorBidi"/>
        </w:rPr>
        <w:t>“</w:t>
      </w:r>
      <w:r w:rsidRPr="003037D2">
        <w:rPr>
          <w:rFonts w:ascii="Garamond" w:hAnsi="Garamond" w:cstheme="majorBidi"/>
        </w:rPr>
        <w:t>Dear Sister</w:t>
      </w:r>
      <w:r w:rsidR="00ED0F4C">
        <w:rPr>
          <w:rFonts w:ascii="Garamond" w:hAnsi="Garamond" w:cstheme="majorBidi"/>
        </w:rPr>
        <w:t>”</w:t>
      </w:r>
      <w:r w:rsidRPr="003037D2">
        <w:rPr>
          <w:rFonts w:ascii="Garamond" w:hAnsi="Garamond" w:cstheme="majorBidi"/>
        </w:rPr>
        <w:t xml:space="preserve">: The Letters of John Knox to Anne Vaughan Lok’ in </w:t>
      </w:r>
      <w:r w:rsidRPr="003037D2">
        <w:rPr>
          <w:rFonts w:ascii="Garamond" w:hAnsi="Garamond" w:cstheme="majorBidi"/>
          <w:i/>
        </w:rPr>
        <w:t>Renaissance and Reformation,</w:t>
      </w:r>
      <w:r w:rsidRPr="003037D2">
        <w:rPr>
          <w:rFonts w:ascii="Garamond" w:hAnsi="Garamond" w:cstheme="majorBidi"/>
          <w:iCs/>
        </w:rPr>
        <w:t xml:space="preserve"> 19.4</w:t>
      </w:r>
      <w:r w:rsidRPr="003037D2">
        <w:rPr>
          <w:rFonts w:ascii="Garamond" w:hAnsi="Garamond" w:cstheme="majorBidi"/>
        </w:rPr>
        <w:t xml:space="preserve"> (1995), pp. 47-68</w:t>
      </w:r>
    </w:p>
    <w:p w14:paraId="16BECFDC" w14:textId="77777777" w:rsidR="00162224" w:rsidRPr="003037D2" w:rsidRDefault="00162224" w:rsidP="00A721D6">
      <w:pPr>
        <w:ind w:left="1361" w:hanging="720"/>
        <w:rPr>
          <w:rFonts w:ascii="Garamond" w:hAnsi="Garamond"/>
        </w:rPr>
      </w:pPr>
      <w:r w:rsidRPr="003037D2">
        <w:rPr>
          <w:rFonts w:ascii="Garamond" w:hAnsi="Garamond"/>
        </w:rPr>
        <w:t xml:space="preserve">Ferrell, Lori Anne, </w:t>
      </w:r>
      <w:r w:rsidRPr="003037D2">
        <w:rPr>
          <w:rFonts w:ascii="Garamond" w:hAnsi="Garamond"/>
          <w:b/>
        </w:rPr>
        <w:t>‘</w:t>
      </w:r>
      <w:r w:rsidRPr="003037D2">
        <w:rPr>
          <w:rFonts w:ascii="Garamond" w:hAnsi="Garamond"/>
        </w:rPr>
        <w:t>How-To Books, Protestant Kinetics, and the Art of Theology’ in</w:t>
      </w:r>
      <w:r w:rsidRPr="003037D2">
        <w:rPr>
          <w:rFonts w:ascii="Garamond" w:hAnsi="Garamond"/>
          <w:b/>
        </w:rPr>
        <w:t xml:space="preserve"> </w:t>
      </w:r>
      <w:r w:rsidRPr="003037D2">
        <w:rPr>
          <w:rFonts w:ascii="Garamond" w:hAnsi="Garamond"/>
          <w:i/>
        </w:rPr>
        <w:t>Huntington Library Quarterly</w:t>
      </w:r>
      <w:r w:rsidRPr="003037D2">
        <w:rPr>
          <w:rFonts w:ascii="Garamond" w:hAnsi="Garamond"/>
        </w:rPr>
        <w:t>, 71.4 (December 2008) pp. 591-606</w:t>
      </w:r>
    </w:p>
    <w:p w14:paraId="3138DDB9" w14:textId="413F18CE" w:rsidR="00162224" w:rsidRPr="003037D2" w:rsidRDefault="00162224" w:rsidP="00A721D6">
      <w:pPr>
        <w:ind w:left="1361" w:hanging="720"/>
        <w:rPr>
          <w:rFonts w:ascii="Garamond" w:hAnsi="Garamond"/>
        </w:rPr>
      </w:pPr>
      <w:r w:rsidRPr="003037D2">
        <w:rPr>
          <w:rFonts w:ascii="Garamond" w:hAnsi="Garamond"/>
          <w:color w:val="000000"/>
          <w:shd w:val="clear" w:color="auto" w:fill="FFFFFF"/>
        </w:rPr>
        <w:t>___</w:t>
      </w:r>
      <w:proofErr w:type="gramStart"/>
      <w:r w:rsidRPr="003037D2">
        <w:rPr>
          <w:rFonts w:ascii="Garamond" w:hAnsi="Garamond"/>
          <w:color w:val="000000"/>
          <w:shd w:val="clear" w:color="auto" w:fill="FFFFFF"/>
        </w:rPr>
        <w:t>_ ,</w:t>
      </w:r>
      <w:proofErr w:type="gramEnd"/>
      <w:r w:rsidRPr="003037D2">
        <w:rPr>
          <w:rFonts w:ascii="Garamond" w:hAnsi="Garamond"/>
        </w:rPr>
        <w:t xml:space="preserve"> ‘Sermons’ in </w:t>
      </w:r>
      <w:r w:rsidRPr="003037D2">
        <w:rPr>
          <w:rFonts w:ascii="Garamond" w:hAnsi="Garamond"/>
          <w:i/>
          <w:iCs/>
        </w:rPr>
        <w:t>The Elizabethan Top Ten</w:t>
      </w:r>
      <w:r w:rsidR="0065623B">
        <w:rPr>
          <w:rFonts w:ascii="Garamond" w:hAnsi="Garamond"/>
          <w:i/>
          <w:iCs/>
        </w:rPr>
        <w:t>,</w:t>
      </w:r>
      <w:r w:rsidRPr="003037D2">
        <w:rPr>
          <w:rFonts w:ascii="Garamond" w:hAnsi="Garamond"/>
          <w:i/>
          <w:iCs/>
        </w:rPr>
        <w:t xml:space="preserve"> </w:t>
      </w:r>
      <w:r w:rsidRPr="003037D2">
        <w:rPr>
          <w:rFonts w:ascii="Garamond" w:hAnsi="Garamond"/>
        </w:rPr>
        <w:t>ed.</w:t>
      </w:r>
      <w:r w:rsidR="0065623B">
        <w:rPr>
          <w:rFonts w:ascii="Garamond" w:hAnsi="Garamond"/>
        </w:rPr>
        <w:t xml:space="preserve"> by</w:t>
      </w:r>
      <w:r w:rsidRPr="003037D2">
        <w:rPr>
          <w:rFonts w:ascii="Garamond" w:hAnsi="Garamond"/>
        </w:rPr>
        <w:t xml:space="preserve"> Andy </w:t>
      </w:r>
      <w:proofErr w:type="spellStart"/>
      <w:r w:rsidRPr="003037D2">
        <w:rPr>
          <w:rFonts w:ascii="Garamond" w:hAnsi="Garamond"/>
        </w:rPr>
        <w:t>Kesson</w:t>
      </w:r>
      <w:proofErr w:type="spellEnd"/>
      <w:r w:rsidRPr="003037D2">
        <w:rPr>
          <w:rFonts w:ascii="Garamond" w:hAnsi="Garamond"/>
        </w:rPr>
        <w:t xml:space="preserve"> and Emma Smith (Ashgate: London, 2013), pp. 193-202 </w:t>
      </w:r>
    </w:p>
    <w:p w14:paraId="6D9EE1E3" w14:textId="2CA7625D" w:rsidR="00162224" w:rsidRPr="003037D2" w:rsidRDefault="00162224" w:rsidP="00A721D6">
      <w:pPr>
        <w:ind w:left="1361" w:hanging="720"/>
        <w:rPr>
          <w:rFonts w:ascii="Garamond" w:hAnsi="Garamond"/>
          <w:b/>
        </w:rPr>
      </w:pPr>
      <w:r w:rsidRPr="003037D2">
        <w:rPr>
          <w:rFonts w:ascii="Garamond" w:hAnsi="Garamond"/>
          <w:color w:val="000000"/>
          <w:shd w:val="clear" w:color="auto" w:fill="FFFFFF"/>
        </w:rPr>
        <w:t>___</w:t>
      </w:r>
      <w:proofErr w:type="gramStart"/>
      <w:r w:rsidRPr="003037D2">
        <w:rPr>
          <w:rFonts w:ascii="Garamond" w:hAnsi="Garamond"/>
          <w:color w:val="000000"/>
          <w:shd w:val="clear" w:color="auto" w:fill="FFFFFF"/>
        </w:rPr>
        <w:t>_ ,</w:t>
      </w:r>
      <w:proofErr w:type="gramEnd"/>
      <w:r w:rsidRPr="003037D2">
        <w:rPr>
          <w:rFonts w:ascii="Garamond" w:hAnsi="Garamond"/>
          <w:b/>
        </w:rPr>
        <w:t xml:space="preserve"> </w:t>
      </w:r>
      <w:r w:rsidRPr="003037D2">
        <w:rPr>
          <w:rFonts w:ascii="Garamond" w:hAnsi="Garamond"/>
        </w:rPr>
        <w:t xml:space="preserve">‘The Church of England and the English Bible, 1559-1640’ in </w:t>
      </w:r>
      <w:r w:rsidRPr="003037D2">
        <w:rPr>
          <w:rFonts w:ascii="Garamond" w:hAnsi="Garamond"/>
          <w:i/>
          <w:iCs/>
        </w:rPr>
        <w:t>The Oxford Handbook of the Bible in Early Modern England, c.1530-1700</w:t>
      </w:r>
      <w:r w:rsidR="0065623B">
        <w:rPr>
          <w:rFonts w:ascii="Garamond" w:hAnsi="Garamond"/>
          <w:i/>
          <w:iCs/>
        </w:rPr>
        <w:t>,</w:t>
      </w:r>
      <w:r w:rsidRPr="003037D2">
        <w:rPr>
          <w:rFonts w:ascii="Garamond" w:hAnsi="Garamond"/>
          <w:i/>
          <w:iCs/>
        </w:rPr>
        <w:t xml:space="preserve"> </w:t>
      </w:r>
      <w:r w:rsidRPr="003037D2">
        <w:rPr>
          <w:rFonts w:ascii="Garamond" w:hAnsi="Garamond"/>
        </w:rPr>
        <w:t>ed. by Kevin Killeen, Helen Smith, and Rachel Willie</w:t>
      </w:r>
      <w:r w:rsidRPr="003037D2">
        <w:rPr>
          <w:rFonts w:ascii="Garamond" w:hAnsi="Garamond"/>
          <w:i/>
          <w:iCs/>
        </w:rPr>
        <w:t xml:space="preserve"> </w:t>
      </w:r>
      <w:r w:rsidRPr="003037D2">
        <w:rPr>
          <w:rFonts w:ascii="Garamond" w:hAnsi="Garamond"/>
        </w:rPr>
        <w:t>(Oxford: Oxford University Press, 2015),</w:t>
      </w:r>
      <w:r w:rsidRPr="003037D2">
        <w:rPr>
          <w:rFonts w:ascii="Garamond" w:hAnsi="Garamond"/>
          <w:i/>
          <w:iCs/>
        </w:rPr>
        <w:t xml:space="preserve"> </w:t>
      </w:r>
      <w:r w:rsidRPr="003037D2">
        <w:rPr>
          <w:rFonts w:ascii="Garamond" w:hAnsi="Garamond"/>
        </w:rPr>
        <w:t xml:space="preserve">pp. 261-271 </w:t>
      </w:r>
    </w:p>
    <w:p w14:paraId="034CBFF3" w14:textId="162D3BEC" w:rsidR="00162224" w:rsidRPr="003037D2" w:rsidRDefault="00162224" w:rsidP="00A721D6">
      <w:pPr>
        <w:ind w:left="1361" w:hanging="720"/>
        <w:rPr>
          <w:rFonts w:ascii="Garamond" w:hAnsi="Garamond"/>
        </w:rPr>
      </w:pPr>
      <w:r w:rsidRPr="003037D2">
        <w:rPr>
          <w:rFonts w:ascii="Garamond" w:hAnsi="Garamond"/>
        </w:rPr>
        <w:t xml:space="preserve">Ferry, Anne, ‘Titles in George Herbert’s </w:t>
      </w:r>
      <w:r w:rsidR="00ED0F4C">
        <w:rPr>
          <w:rFonts w:ascii="Garamond" w:hAnsi="Garamond"/>
        </w:rPr>
        <w:t>“</w:t>
      </w:r>
      <w:r w:rsidRPr="003037D2">
        <w:rPr>
          <w:rFonts w:ascii="Garamond" w:hAnsi="Garamond"/>
        </w:rPr>
        <w:t>Little Book</w:t>
      </w:r>
      <w:r w:rsidR="00ED0F4C">
        <w:rPr>
          <w:rFonts w:ascii="Garamond" w:hAnsi="Garamond"/>
        </w:rPr>
        <w:t>”</w:t>
      </w:r>
      <w:r w:rsidRPr="003037D2">
        <w:rPr>
          <w:rFonts w:ascii="Garamond" w:hAnsi="Garamond"/>
        </w:rPr>
        <w:t xml:space="preserve">’ in </w:t>
      </w:r>
      <w:r w:rsidRPr="003037D2">
        <w:rPr>
          <w:rFonts w:ascii="Garamond" w:hAnsi="Garamond"/>
          <w:i/>
          <w:iCs/>
        </w:rPr>
        <w:t>English Literary Renaissance</w:t>
      </w:r>
      <w:r w:rsidRPr="003037D2">
        <w:rPr>
          <w:rFonts w:ascii="Garamond" w:hAnsi="Garamond"/>
        </w:rPr>
        <w:t>, 23.2 (1993), pp. 314-344</w:t>
      </w:r>
    </w:p>
    <w:p w14:paraId="326C71C5" w14:textId="4DA1E52F" w:rsidR="00162224" w:rsidRPr="003037D2" w:rsidRDefault="00162224" w:rsidP="00A721D6">
      <w:pPr>
        <w:ind w:left="1361" w:hanging="720"/>
        <w:rPr>
          <w:rFonts w:ascii="Garamond" w:hAnsi="Garamond"/>
        </w:rPr>
      </w:pPr>
      <w:r w:rsidRPr="003037D2">
        <w:rPr>
          <w:rFonts w:ascii="Garamond" w:hAnsi="Garamond"/>
        </w:rPr>
        <w:t xml:space="preserve">Fish, Stanley, </w:t>
      </w:r>
      <w:r w:rsidRPr="003037D2">
        <w:rPr>
          <w:rFonts w:ascii="Garamond" w:hAnsi="Garamond"/>
          <w:i/>
        </w:rPr>
        <w:t>Self-Consuming Artefacts: The Experience of Seventeenth-Century Literature</w:t>
      </w:r>
      <w:r w:rsidR="00276F4F">
        <w:rPr>
          <w:rFonts w:ascii="Garamond" w:hAnsi="Garamond"/>
        </w:rPr>
        <w:t xml:space="preserve"> </w:t>
      </w:r>
      <w:r w:rsidRPr="003037D2">
        <w:rPr>
          <w:rFonts w:ascii="Garamond" w:hAnsi="Garamond"/>
        </w:rPr>
        <w:t>(</w:t>
      </w:r>
      <w:r w:rsidR="00DB36C7" w:rsidRPr="003037D2">
        <w:rPr>
          <w:rFonts w:ascii="Garamond" w:hAnsi="Garamond"/>
        </w:rPr>
        <w:t xml:space="preserve">Berkley: </w:t>
      </w:r>
      <w:r w:rsidRPr="003037D2">
        <w:rPr>
          <w:rFonts w:ascii="Garamond" w:hAnsi="Garamond"/>
        </w:rPr>
        <w:t>University of California Press, 1972</w:t>
      </w:r>
      <w:r w:rsidR="00276F4F">
        <w:rPr>
          <w:rFonts w:ascii="Garamond" w:hAnsi="Garamond"/>
        </w:rPr>
        <w:t>)</w:t>
      </w:r>
    </w:p>
    <w:p w14:paraId="055557A8" w14:textId="1C544846" w:rsidR="00162224" w:rsidRPr="003037D2" w:rsidRDefault="00162224" w:rsidP="00A721D6">
      <w:pPr>
        <w:ind w:left="1361" w:hanging="720"/>
        <w:rPr>
          <w:rFonts w:ascii="Garamond" w:hAnsi="Garamond"/>
        </w:rPr>
      </w:pPr>
      <w:r w:rsidRPr="003037D2">
        <w:rPr>
          <w:rFonts w:ascii="Garamond" w:hAnsi="Garamond"/>
        </w:rPr>
        <w:t xml:space="preserve">FitzGerald, William, </w:t>
      </w:r>
      <w:r w:rsidRPr="003037D2">
        <w:rPr>
          <w:rFonts w:ascii="Garamond" w:hAnsi="Garamond"/>
          <w:i/>
        </w:rPr>
        <w:t>Spiritual Modalities: Prayer as rhetoric and performance</w:t>
      </w:r>
      <w:r w:rsidR="00276F4F">
        <w:rPr>
          <w:rFonts w:ascii="Garamond" w:hAnsi="Garamond"/>
          <w:i/>
        </w:rPr>
        <w:t xml:space="preserve"> </w:t>
      </w:r>
      <w:r w:rsidRPr="003037D2">
        <w:rPr>
          <w:rFonts w:ascii="Garamond" w:hAnsi="Garamond"/>
        </w:rPr>
        <w:t xml:space="preserve">(Pennsylvania State University Press: Pennsylvania, 2012) </w:t>
      </w:r>
    </w:p>
    <w:p w14:paraId="36107E48" w14:textId="77777777" w:rsidR="00162224" w:rsidRPr="003037D2" w:rsidRDefault="00162224" w:rsidP="00A721D6">
      <w:pPr>
        <w:ind w:left="1361" w:hanging="720"/>
        <w:rPr>
          <w:rFonts w:ascii="Garamond" w:hAnsi="Garamond"/>
        </w:rPr>
      </w:pPr>
      <w:r w:rsidRPr="003037D2">
        <w:rPr>
          <w:rFonts w:ascii="Garamond" w:hAnsi="Garamond"/>
        </w:rPr>
        <w:t xml:space="preserve">Fleming, Juliet, </w:t>
      </w:r>
      <w:bookmarkStart w:id="262" w:name="_Hlk532770600"/>
      <w:r w:rsidRPr="003037D2">
        <w:rPr>
          <w:rFonts w:ascii="Garamond" w:hAnsi="Garamond"/>
          <w:i/>
        </w:rPr>
        <w:t xml:space="preserve">Graffiti and the Writing Arts of Early Modern England </w:t>
      </w:r>
      <w:r w:rsidRPr="003037D2">
        <w:rPr>
          <w:rFonts w:ascii="Garamond" w:hAnsi="Garamond"/>
        </w:rPr>
        <w:t xml:space="preserve">(London: </w:t>
      </w:r>
      <w:proofErr w:type="spellStart"/>
      <w:r w:rsidRPr="003037D2">
        <w:rPr>
          <w:rFonts w:ascii="Garamond" w:hAnsi="Garamond"/>
        </w:rPr>
        <w:t>Beakton</w:t>
      </w:r>
      <w:proofErr w:type="spellEnd"/>
      <w:r w:rsidRPr="003037D2">
        <w:rPr>
          <w:rFonts w:ascii="Garamond" w:hAnsi="Garamond"/>
        </w:rPr>
        <w:t xml:space="preserve"> Books, 2001) </w:t>
      </w:r>
      <w:bookmarkEnd w:id="262"/>
    </w:p>
    <w:p w14:paraId="31C9571D" w14:textId="77777777" w:rsidR="00162224" w:rsidRPr="003037D2" w:rsidRDefault="00162224" w:rsidP="00A721D6">
      <w:pPr>
        <w:ind w:left="1361" w:hanging="720"/>
        <w:rPr>
          <w:rFonts w:ascii="Garamond" w:hAnsi="Garamond"/>
        </w:rPr>
      </w:pPr>
      <w:r w:rsidRPr="003037D2">
        <w:rPr>
          <w:rFonts w:ascii="Garamond" w:hAnsi="Garamond"/>
        </w:rPr>
        <w:t xml:space="preserve">Fletcher, Angus, </w:t>
      </w:r>
      <w:r w:rsidRPr="003037D2">
        <w:rPr>
          <w:rFonts w:ascii="Garamond" w:hAnsi="Garamond"/>
          <w:i/>
        </w:rPr>
        <w:t>Time, space and motion in the age of Shakespeare</w:t>
      </w:r>
      <w:r w:rsidRPr="003037D2">
        <w:rPr>
          <w:rFonts w:ascii="Garamond" w:hAnsi="Garamond"/>
        </w:rPr>
        <w:t xml:space="preserve"> (Cambridge, MA: Harvard University Press, 2007) </w:t>
      </w:r>
    </w:p>
    <w:p w14:paraId="141FCDE7" w14:textId="77777777" w:rsidR="00162224" w:rsidRPr="003037D2" w:rsidRDefault="00162224" w:rsidP="00A721D6">
      <w:pPr>
        <w:ind w:left="1361" w:hanging="720"/>
        <w:rPr>
          <w:rFonts w:ascii="Garamond" w:hAnsi="Garamond"/>
        </w:rPr>
      </w:pPr>
      <w:r w:rsidRPr="003037D2">
        <w:rPr>
          <w:rFonts w:ascii="Garamond" w:hAnsi="Garamond"/>
        </w:rPr>
        <w:t xml:space="preserve">Flynn, Dennis, ‘John Donne in the Ellesmere Manuscripts’ in </w:t>
      </w:r>
      <w:r w:rsidRPr="003037D2">
        <w:rPr>
          <w:rFonts w:ascii="Garamond" w:hAnsi="Garamond"/>
          <w:i/>
        </w:rPr>
        <w:t xml:space="preserve">Huntington Library Quarterly, </w:t>
      </w:r>
      <w:r w:rsidRPr="003037D2">
        <w:rPr>
          <w:rFonts w:ascii="Garamond" w:hAnsi="Garamond"/>
        </w:rPr>
        <w:t xml:space="preserve">46.4 (Autumn, 1983), pp. 333-336 </w:t>
      </w:r>
    </w:p>
    <w:p w14:paraId="232ACCA5" w14:textId="77777777" w:rsidR="00162224" w:rsidRPr="003037D2" w:rsidRDefault="00162224" w:rsidP="00A721D6">
      <w:pPr>
        <w:ind w:left="1361" w:hanging="720"/>
        <w:rPr>
          <w:rFonts w:ascii="Garamond" w:hAnsi="Garamond"/>
        </w:rPr>
      </w:pPr>
      <w:r w:rsidRPr="003037D2">
        <w:rPr>
          <w:rFonts w:ascii="Garamond" w:hAnsi="Garamond"/>
        </w:rPr>
        <w:lastRenderedPageBreak/>
        <w:t xml:space="preserve">Ford, </w:t>
      </w:r>
      <w:proofErr w:type="spellStart"/>
      <w:r w:rsidRPr="003037D2">
        <w:rPr>
          <w:rFonts w:ascii="Garamond" w:hAnsi="Garamond"/>
        </w:rPr>
        <w:t>Brewester</w:t>
      </w:r>
      <w:proofErr w:type="spellEnd"/>
      <w:r w:rsidRPr="003037D2">
        <w:rPr>
          <w:rFonts w:ascii="Garamond" w:hAnsi="Garamond"/>
        </w:rPr>
        <w:t xml:space="preserve"> S., ‘George Herbert and the Liturgies of Time and Space’ in </w:t>
      </w:r>
      <w:r w:rsidRPr="003037D2">
        <w:rPr>
          <w:rFonts w:ascii="Garamond" w:hAnsi="Garamond"/>
          <w:i/>
          <w:iCs/>
        </w:rPr>
        <w:t>South Atlantic Review</w:t>
      </w:r>
      <w:r w:rsidRPr="003037D2">
        <w:rPr>
          <w:rFonts w:ascii="Garamond" w:hAnsi="Garamond"/>
        </w:rPr>
        <w:t xml:space="preserve">, 49.4 (1984), pp. 19-29 </w:t>
      </w:r>
    </w:p>
    <w:p w14:paraId="3BF9927C" w14:textId="29E99B22" w:rsidR="00162224" w:rsidRPr="003037D2" w:rsidRDefault="00162224" w:rsidP="00A721D6">
      <w:pPr>
        <w:ind w:left="1361" w:hanging="720"/>
        <w:rPr>
          <w:rFonts w:ascii="Garamond" w:hAnsi="Garamond"/>
        </w:rPr>
      </w:pPr>
      <w:r w:rsidRPr="003037D2">
        <w:rPr>
          <w:rFonts w:ascii="Garamond" w:hAnsi="Garamond"/>
        </w:rPr>
        <w:t xml:space="preserve">Fox, Adam, </w:t>
      </w:r>
      <w:r w:rsidRPr="003037D2">
        <w:rPr>
          <w:rFonts w:ascii="Garamond" w:hAnsi="Garamond"/>
          <w:i/>
        </w:rPr>
        <w:t xml:space="preserve">Oral and Literate Culture in England: 1500-1700 </w:t>
      </w:r>
      <w:r w:rsidRPr="003037D2">
        <w:rPr>
          <w:rFonts w:ascii="Garamond" w:hAnsi="Garamond"/>
        </w:rPr>
        <w:t>(Oxford: Oxford University Press, 2002)</w:t>
      </w:r>
    </w:p>
    <w:p w14:paraId="70756FE4" w14:textId="77777777" w:rsidR="00162224" w:rsidRPr="003037D2" w:rsidRDefault="00162224" w:rsidP="00A721D6">
      <w:pPr>
        <w:ind w:left="1361" w:hanging="720"/>
        <w:rPr>
          <w:rFonts w:ascii="Garamond" w:hAnsi="Garamond"/>
        </w:rPr>
      </w:pPr>
      <w:proofErr w:type="spellStart"/>
      <w:r w:rsidRPr="003037D2">
        <w:rPr>
          <w:rFonts w:ascii="Garamond" w:hAnsi="Garamond"/>
        </w:rPr>
        <w:t>Frangenberg</w:t>
      </w:r>
      <w:proofErr w:type="spellEnd"/>
      <w:r w:rsidRPr="003037D2">
        <w:rPr>
          <w:rFonts w:ascii="Garamond" w:hAnsi="Garamond"/>
        </w:rPr>
        <w:t>, Thomas ‘</w:t>
      </w:r>
      <w:proofErr w:type="spellStart"/>
      <w:r w:rsidRPr="003037D2">
        <w:rPr>
          <w:rFonts w:ascii="Garamond" w:hAnsi="Garamond"/>
          <w:i/>
        </w:rPr>
        <w:t>Auditus</w:t>
      </w:r>
      <w:proofErr w:type="spellEnd"/>
      <w:r w:rsidRPr="003037D2">
        <w:rPr>
          <w:rFonts w:ascii="Garamond" w:hAnsi="Garamond"/>
          <w:i/>
        </w:rPr>
        <w:t xml:space="preserve"> </w:t>
      </w:r>
      <w:proofErr w:type="spellStart"/>
      <w:r w:rsidRPr="003037D2">
        <w:rPr>
          <w:rFonts w:ascii="Garamond" w:hAnsi="Garamond"/>
          <w:i/>
        </w:rPr>
        <w:t>Visu</w:t>
      </w:r>
      <w:proofErr w:type="spellEnd"/>
      <w:r w:rsidRPr="003037D2">
        <w:rPr>
          <w:rFonts w:ascii="Garamond" w:hAnsi="Garamond"/>
          <w:i/>
        </w:rPr>
        <w:t xml:space="preserve"> </w:t>
      </w:r>
      <w:proofErr w:type="spellStart"/>
      <w:r w:rsidRPr="003037D2">
        <w:rPr>
          <w:rFonts w:ascii="Garamond" w:hAnsi="Garamond"/>
          <w:i/>
        </w:rPr>
        <w:t>prestator</w:t>
      </w:r>
      <w:proofErr w:type="spellEnd"/>
      <w:r w:rsidRPr="003037D2">
        <w:rPr>
          <w:rFonts w:ascii="Garamond" w:hAnsi="Garamond"/>
          <w:i/>
        </w:rPr>
        <w:t xml:space="preserve">: </w:t>
      </w:r>
      <w:r w:rsidRPr="003037D2">
        <w:rPr>
          <w:rFonts w:ascii="Garamond" w:hAnsi="Garamond"/>
        </w:rPr>
        <w:t xml:space="preserve">Comparison of hearing and vision in Charles de </w:t>
      </w:r>
      <w:proofErr w:type="spellStart"/>
      <w:r w:rsidRPr="003037D2">
        <w:rPr>
          <w:rFonts w:ascii="Garamond" w:hAnsi="Garamond"/>
        </w:rPr>
        <w:t>Bouelle’s</w:t>
      </w:r>
      <w:proofErr w:type="spellEnd"/>
      <w:r w:rsidRPr="003037D2">
        <w:rPr>
          <w:rFonts w:ascii="Garamond" w:hAnsi="Garamond"/>
        </w:rPr>
        <w:t xml:space="preserve"> </w:t>
      </w:r>
      <w:r w:rsidRPr="003037D2">
        <w:rPr>
          <w:rFonts w:ascii="Garamond" w:hAnsi="Garamond"/>
          <w:i/>
        </w:rPr>
        <w:t xml:space="preserve">Liber de Sensis’ </w:t>
      </w:r>
      <w:r w:rsidRPr="003037D2">
        <w:rPr>
          <w:rFonts w:ascii="Garamond" w:hAnsi="Garamond"/>
        </w:rPr>
        <w:t xml:space="preserve">in </w:t>
      </w:r>
      <w:r w:rsidRPr="003037D2">
        <w:rPr>
          <w:rFonts w:ascii="Garamond" w:hAnsi="Garamond"/>
          <w:i/>
        </w:rPr>
        <w:t xml:space="preserve">The Second Sense: Studies in hearing and musical judgement from antiquity to the seventeenth century, </w:t>
      </w:r>
      <w:r w:rsidRPr="003037D2">
        <w:rPr>
          <w:rFonts w:ascii="Garamond" w:hAnsi="Garamond"/>
          <w:iCs/>
        </w:rPr>
        <w:t xml:space="preserve">ed. by </w:t>
      </w:r>
      <w:r w:rsidRPr="003037D2">
        <w:rPr>
          <w:rFonts w:ascii="Garamond" w:hAnsi="Garamond"/>
        </w:rPr>
        <w:t xml:space="preserve">Charles Burnett, Michael Fend and Penelope </w:t>
      </w:r>
      <w:proofErr w:type="spellStart"/>
      <w:r w:rsidRPr="003037D2">
        <w:rPr>
          <w:rFonts w:ascii="Garamond" w:hAnsi="Garamond"/>
        </w:rPr>
        <w:t>Gouk</w:t>
      </w:r>
      <w:proofErr w:type="spellEnd"/>
      <w:r w:rsidRPr="003037D2">
        <w:rPr>
          <w:rFonts w:ascii="Garamond" w:hAnsi="Garamond"/>
          <w:i/>
        </w:rPr>
        <w:t xml:space="preserve"> </w:t>
      </w:r>
      <w:r w:rsidRPr="003037D2">
        <w:rPr>
          <w:rFonts w:ascii="Garamond" w:hAnsi="Garamond"/>
        </w:rPr>
        <w:t xml:space="preserve">(London: Warburg Institute, 1991), pp. 71-94 </w:t>
      </w:r>
    </w:p>
    <w:p w14:paraId="64527DA7" w14:textId="77777777" w:rsidR="00162224" w:rsidRPr="003037D2" w:rsidRDefault="00162224" w:rsidP="00A721D6">
      <w:pPr>
        <w:ind w:left="1361" w:hanging="720"/>
        <w:rPr>
          <w:rFonts w:ascii="Garamond" w:hAnsi="Garamond"/>
        </w:rPr>
      </w:pPr>
      <w:r w:rsidRPr="003037D2">
        <w:rPr>
          <w:rFonts w:ascii="Garamond" w:hAnsi="Garamond"/>
        </w:rPr>
        <w:t xml:space="preserve">Freer, Coburn, </w:t>
      </w:r>
      <w:r w:rsidRPr="003037D2">
        <w:rPr>
          <w:rFonts w:ascii="Garamond" w:hAnsi="Garamond"/>
          <w:i/>
          <w:iCs/>
        </w:rPr>
        <w:t xml:space="preserve">Music for a King: George Herbert’s Style and the Metrical Psalms </w:t>
      </w:r>
      <w:r w:rsidRPr="003037D2">
        <w:rPr>
          <w:rFonts w:ascii="Garamond" w:hAnsi="Garamond"/>
        </w:rPr>
        <w:t>(Baltimore: John Hopkins University Press, 1972)</w:t>
      </w:r>
    </w:p>
    <w:p w14:paraId="4BAB6B60" w14:textId="77777777" w:rsidR="00162224" w:rsidRPr="003037D2" w:rsidRDefault="00162224" w:rsidP="00A721D6">
      <w:pPr>
        <w:ind w:left="1361" w:hanging="720"/>
        <w:rPr>
          <w:rFonts w:ascii="Garamond" w:hAnsi="Garamond"/>
        </w:rPr>
      </w:pPr>
      <w:proofErr w:type="spellStart"/>
      <w:r w:rsidRPr="003037D2">
        <w:rPr>
          <w:rFonts w:ascii="Garamond" w:hAnsi="Garamond"/>
        </w:rPr>
        <w:t>Fryde</w:t>
      </w:r>
      <w:proofErr w:type="spellEnd"/>
      <w:r w:rsidRPr="003037D2">
        <w:rPr>
          <w:rFonts w:ascii="Garamond" w:hAnsi="Garamond"/>
        </w:rPr>
        <w:t xml:space="preserve">, E.B., </w:t>
      </w:r>
      <w:r w:rsidRPr="003037D2">
        <w:rPr>
          <w:rFonts w:ascii="Garamond" w:hAnsi="Garamond"/>
          <w:i/>
          <w:iCs/>
        </w:rPr>
        <w:t xml:space="preserve">Humanism and Renaissance Historiography </w:t>
      </w:r>
      <w:r w:rsidRPr="003037D2">
        <w:rPr>
          <w:rFonts w:ascii="Garamond" w:hAnsi="Garamond"/>
        </w:rPr>
        <w:t xml:space="preserve">(London: </w:t>
      </w:r>
      <w:proofErr w:type="spellStart"/>
      <w:r w:rsidRPr="003037D2">
        <w:rPr>
          <w:rFonts w:ascii="Garamond" w:hAnsi="Garamond"/>
        </w:rPr>
        <w:t>Hambledon</w:t>
      </w:r>
      <w:proofErr w:type="spellEnd"/>
      <w:r w:rsidRPr="003037D2">
        <w:rPr>
          <w:rFonts w:ascii="Garamond" w:hAnsi="Garamond"/>
        </w:rPr>
        <w:t>, 1983)</w:t>
      </w:r>
    </w:p>
    <w:p w14:paraId="0A431772" w14:textId="77777777" w:rsidR="00162224" w:rsidRPr="003037D2" w:rsidRDefault="00162224" w:rsidP="00A721D6">
      <w:pPr>
        <w:ind w:left="1361" w:hanging="720"/>
        <w:rPr>
          <w:rFonts w:ascii="Garamond" w:hAnsi="Garamond"/>
        </w:rPr>
      </w:pPr>
      <w:r w:rsidRPr="003037D2">
        <w:rPr>
          <w:rFonts w:ascii="Garamond" w:hAnsi="Garamond"/>
        </w:rPr>
        <w:t xml:space="preserve">Fyfe, Aileen, </w:t>
      </w:r>
      <w:r w:rsidRPr="003037D2">
        <w:rPr>
          <w:rFonts w:ascii="Garamond" w:hAnsi="Garamond"/>
          <w:i/>
          <w:iCs/>
        </w:rPr>
        <w:t xml:space="preserve">Science and Salvation: Evangelical popular science publishing in Victorian Britain </w:t>
      </w:r>
      <w:r w:rsidRPr="003037D2">
        <w:rPr>
          <w:rFonts w:ascii="Garamond" w:hAnsi="Garamond"/>
        </w:rPr>
        <w:t xml:space="preserve">(Chicago: University of Chicago Press, 2004) </w:t>
      </w:r>
    </w:p>
    <w:p w14:paraId="4AE73486" w14:textId="77777777" w:rsidR="00162224" w:rsidRPr="003037D2" w:rsidRDefault="00162224" w:rsidP="00A721D6">
      <w:pPr>
        <w:ind w:left="1361" w:hanging="720"/>
        <w:rPr>
          <w:rFonts w:ascii="Garamond" w:hAnsi="Garamond"/>
        </w:rPr>
      </w:pPr>
      <w:proofErr w:type="spellStart"/>
      <w:r w:rsidRPr="003037D2">
        <w:rPr>
          <w:rFonts w:ascii="Garamond" w:hAnsi="Garamond"/>
        </w:rPr>
        <w:t>Genett</w:t>
      </w:r>
      <w:proofErr w:type="spellEnd"/>
      <w:r w:rsidRPr="003037D2">
        <w:rPr>
          <w:rFonts w:ascii="Garamond" w:hAnsi="Garamond"/>
        </w:rPr>
        <w:t xml:space="preserve">, Gerard, </w:t>
      </w:r>
      <w:r w:rsidRPr="003037D2">
        <w:rPr>
          <w:rFonts w:ascii="Garamond" w:hAnsi="Garamond"/>
          <w:i/>
          <w:iCs/>
        </w:rPr>
        <w:t xml:space="preserve">The </w:t>
      </w:r>
      <w:proofErr w:type="spellStart"/>
      <w:r w:rsidRPr="003037D2">
        <w:rPr>
          <w:rFonts w:ascii="Garamond" w:hAnsi="Garamond"/>
          <w:i/>
          <w:iCs/>
        </w:rPr>
        <w:t>Architext</w:t>
      </w:r>
      <w:proofErr w:type="spellEnd"/>
      <w:r w:rsidRPr="003037D2">
        <w:rPr>
          <w:rFonts w:ascii="Garamond" w:hAnsi="Garamond"/>
          <w:i/>
          <w:iCs/>
        </w:rPr>
        <w:t xml:space="preserve">: An Introduction, </w:t>
      </w:r>
      <w:r w:rsidRPr="003037D2">
        <w:rPr>
          <w:rFonts w:ascii="Garamond" w:hAnsi="Garamond"/>
        </w:rPr>
        <w:t xml:space="preserve">translated by Jane E. Lewin (Berkley, CA: University of California Pres, 1992) </w:t>
      </w:r>
    </w:p>
    <w:p w14:paraId="22D6D6CB" w14:textId="4BF97867" w:rsidR="00162224" w:rsidRPr="003037D2" w:rsidRDefault="00162224" w:rsidP="00A721D6">
      <w:pPr>
        <w:ind w:left="1361" w:hanging="720"/>
        <w:rPr>
          <w:rFonts w:ascii="Garamond" w:hAnsi="Garamond"/>
        </w:rPr>
      </w:pPr>
      <w:r w:rsidRPr="003037D2">
        <w:rPr>
          <w:rFonts w:ascii="Garamond" w:hAnsi="Garamond"/>
        </w:rPr>
        <w:t xml:space="preserve">Gibbons, Zoe, ‘Ancient matter, new-fashioned shapes: Time as object in </w:t>
      </w:r>
      <w:proofErr w:type="spellStart"/>
      <w:r w:rsidRPr="003037D2">
        <w:rPr>
          <w:rFonts w:ascii="Garamond" w:hAnsi="Garamond"/>
        </w:rPr>
        <w:t>Shackerley</w:t>
      </w:r>
      <w:proofErr w:type="spellEnd"/>
      <w:r w:rsidRPr="003037D2">
        <w:rPr>
          <w:rFonts w:ascii="Garamond" w:hAnsi="Garamond"/>
        </w:rPr>
        <w:t xml:space="preserve"> Marmion’s The Antiquary’ in </w:t>
      </w:r>
      <w:r w:rsidRPr="003037D2">
        <w:rPr>
          <w:rFonts w:ascii="Garamond" w:hAnsi="Garamond"/>
          <w:i/>
          <w:iCs/>
        </w:rPr>
        <w:t>Renaissance Studies</w:t>
      </w:r>
      <w:r w:rsidRPr="003037D2">
        <w:rPr>
          <w:rFonts w:ascii="Garamond" w:hAnsi="Garamond"/>
        </w:rPr>
        <w:t>, early online only publication August 2018, &lt;</w:t>
      </w:r>
      <w:hyperlink r:id="rId79" w:history="1">
        <w:r w:rsidRPr="003037D2">
          <w:rPr>
            <w:rStyle w:val="Hyperlink"/>
            <w:rFonts w:ascii="Garamond" w:hAnsi="Garamond"/>
          </w:rPr>
          <w:t>https://doi.org/10.1111/rest.12502</w:t>
        </w:r>
      </w:hyperlink>
      <w:r w:rsidRPr="003037D2">
        <w:rPr>
          <w:rFonts w:ascii="Garamond" w:hAnsi="Garamond"/>
        </w:rPr>
        <w:t>&gt; [accessed 6 September 2018]</w:t>
      </w:r>
    </w:p>
    <w:p w14:paraId="26FAE29E" w14:textId="77777777" w:rsidR="00162224" w:rsidRPr="003037D2" w:rsidRDefault="00162224" w:rsidP="00A721D6">
      <w:pPr>
        <w:ind w:left="1361" w:hanging="720"/>
        <w:rPr>
          <w:rFonts w:ascii="Garamond" w:hAnsi="Garamond"/>
        </w:rPr>
      </w:pPr>
      <w:r w:rsidRPr="003037D2">
        <w:rPr>
          <w:rFonts w:ascii="Garamond" w:hAnsi="Garamond"/>
        </w:rPr>
        <w:t xml:space="preserve">Gil Harris, Jonathan, ‘Ludgate Time: Simon Eyre's Oath and the Temporal Economies of The Shoemaker's Holiday’ in </w:t>
      </w:r>
      <w:r w:rsidRPr="003037D2">
        <w:rPr>
          <w:rFonts w:ascii="Garamond" w:hAnsi="Garamond"/>
          <w:i/>
        </w:rPr>
        <w:t>Huntington Library Quarterly</w:t>
      </w:r>
      <w:r w:rsidRPr="003037D2">
        <w:rPr>
          <w:rFonts w:ascii="Garamond" w:hAnsi="Garamond"/>
        </w:rPr>
        <w:t xml:space="preserve">, 71.1 (March 2008), pp. 11-32 </w:t>
      </w:r>
    </w:p>
    <w:p w14:paraId="01D49C12" w14:textId="77777777" w:rsidR="00162224" w:rsidRPr="003037D2" w:rsidRDefault="00162224" w:rsidP="00A721D6">
      <w:pPr>
        <w:ind w:left="1361" w:hanging="720"/>
        <w:rPr>
          <w:rFonts w:ascii="Garamond" w:hAnsi="Garamond"/>
        </w:rPr>
      </w:pPr>
      <w:r w:rsidRPr="003037D2">
        <w:rPr>
          <w:rFonts w:ascii="Garamond" w:hAnsi="Garamond"/>
          <w:color w:val="000000"/>
          <w:shd w:val="clear" w:color="auto" w:fill="FFFFFF"/>
        </w:rPr>
        <w:t>___</w:t>
      </w:r>
      <w:proofErr w:type="gramStart"/>
      <w:r w:rsidRPr="003037D2">
        <w:rPr>
          <w:rFonts w:ascii="Garamond" w:hAnsi="Garamond"/>
          <w:color w:val="000000"/>
          <w:shd w:val="clear" w:color="auto" w:fill="FFFFFF"/>
        </w:rPr>
        <w:t>_</w:t>
      </w:r>
      <w:r w:rsidRPr="003037D2">
        <w:rPr>
          <w:rFonts w:ascii="Garamond" w:hAnsi="Garamond"/>
        </w:rPr>
        <w:t xml:space="preserve"> ,</w:t>
      </w:r>
      <w:proofErr w:type="gramEnd"/>
      <w:r w:rsidRPr="003037D2">
        <w:rPr>
          <w:rFonts w:ascii="Garamond" w:hAnsi="Garamond"/>
        </w:rPr>
        <w:t xml:space="preserve"> ‘The New </w:t>
      </w:r>
      <w:proofErr w:type="spellStart"/>
      <w:r w:rsidRPr="003037D2">
        <w:rPr>
          <w:rFonts w:ascii="Garamond" w:hAnsi="Garamond"/>
        </w:rPr>
        <w:t>New</w:t>
      </w:r>
      <w:proofErr w:type="spellEnd"/>
      <w:r w:rsidRPr="003037D2">
        <w:rPr>
          <w:rFonts w:ascii="Garamond" w:hAnsi="Garamond"/>
        </w:rPr>
        <w:t xml:space="preserve"> Historicism’s Wunderkammer of Objects’ in </w:t>
      </w:r>
      <w:r w:rsidRPr="003037D2">
        <w:rPr>
          <w:rFonts w:ascii="Garamond" w:hAnsi="Garamond"/>
          <w:i/>
        </w:rPr>
        <w:t>European Journal of English Studies,</w:t>
      </w:r>
      <w:r w:rsidRPr="003037D2">
        <w:rPr>
          <w:rFonts w:ascii="Garamond" w:hAnsi="Garamond"/>
        </w:rPr>
        <w:t xml:space="preserve"> 4.3 (2000), pp. 111–23 </w:t>
      </w:r>
    </w:p>
    <w:p w14:paraId="54741BC1" w14:textId="77777777" w:rsidR="00162224" w:rsidRPr="003037D2" w:rsidRDefault="00162224" w:rsidP="00A721D6">
      <w:pPr>
        <w:ind w:left="1361" w:hanging="720"/>
        <w:rPr>
          <w:rFonts w:ascii="Garamond" w:hAnsi="Garamond"/>
        </w:rPr>
      </w:pPr>
      <w:r w:rsidRPr="003037D2">
        <w:rPr>
          <w:rFonts w:ascii="Garamond" w:hAnsi="Garamond"/>
          <w:color w:val="000000"/>
          <w:shd w:val="clear" w:color="auto" w:fill="FFFFFF"/>
        </w:rPr>
        <w:t>___</w:t>
      </w:r>
      <w:proofErr w:type="gramStart"/>
      <w:r w:rsidRPr="003037D2">
        <w:rPr>
          <w:rFonts w:ascii="Garamond" w:hAnsi="Garamond"/>
          <w:color w:val="000000"/>
          <w:shd w:val="clear" w:color="auto" w:fill="FFFFFF"/>
        </w:rPr>
        <w:t>_ ,</w:t>
      </w:r>
      <w:proofErr w:type="gramEnd"/>
      <w:r w:rsidRPr="003037D2">
        <w:rPr>
          <w:rFonts w:ascii="Garamond" w:hAnsi="Garamond"/>
          <w:color w:val="000000"/>
          <w:shd w:val="clear" w:color="auto" w:fill="FFFFFF"/>
        </w:rPr>
        <w:t xml:space="preserve"> </w:t>
      </w:r>
      <w:r w:rsidRPr="003037D2">
        <w:rPr>
          <w:rFonts w:ascii="Garamond" w:hAnsi="Garamond"/>
        </w:rPr>
        <w:t xml:space="preserve">‘Untimely Mediations’ in </w:t>
      </w:r>
      <w:r w:rsidRPr="003037D2">
        <w:rPr>
          <w:rFonts w:ascii="Garamond" w:hAnsi="Garamond"/>
          <w:i/>
        </w:rPr>
        <w:t>Early Modern Culture</w:t>
      </w:r>
      <w:r w:rsidRPr="003037D2">
        <w:rPr>
          <w:rFonts w:ascii="Garamond" w:hAnsi="Garamond"/>
        </w:rPr>
        <w:t xml:space="preserve"> 6 (2007) Online edition</w:t>
      </w:r>
    </w:p>
    <w:p w14:paraId="0559A452" w14:textId="77777777" w:rsidR="00162224" w:rsidRPr="003037D2" w:rsidRDefault="00162224" w:rsidP="00A721D6">
      <w:pPr>
        <w:ind w:left="1361" w:hanging="720"/>
        <w:rPr>
          <w:rFonts w:ascii="Garamond" w:hAnsi="Garamond"/>
          <w:i/>
        </w:rPr>
      </w:pPr>
      <w:r w:rsidRPr="003037D2">
        <w:rPr>
          <w:rFonts w:ascii="Garamond" w:hAnsi="Garamond"/>
          <w:color w:val="000000"/>
          <w:shd w:val="clear" w:color="auto" w:fill="FFFFFF"/>
        </w:rPr>
        <w:t>___</w:t>
      </w:r>
      <w:proofErr w:type="gramStart"/>
      <w:r w:rsidRPr="003037D2">
        <w:rPr>
          <w:rFonts w:ascii="Garamond" w:hAnsi="Garamond"/>
          <w:color w:val="000000"/>
          <w:shd w:val="clear" w:color="auto" w:fill="FFFFFF"/>
        </w:rPr>
        <w:t>_ ,</w:t>
      </w:r>
      <w:proofErr w:type="gramEnd"/>
      <w:r w:rsidRPr="003037D2">
        <w:rPr>
          <w:rFonts w:ascii="Garamond" w:hAnsi="Garamond"/>
          <w:color w:val="000000"/>
          <w:shd w:val="clear" w:color="auto" w:fill="FFFFFF"/>
        </w:rPr>
        <w:t xml:space="preserve"> </w:t>
      </w:r>
      <w:r w:rsidRPr="003037D2">
        <w:rPr>
          <w:rFonts w:ascii="Garamond" w:hAnsi="Garamond"/>
          <w:i/>
        </w:rPr>
        <w:t xml:space="preserve">Untimely matter in the age of Shakespeare </w:t>
      </w:r>
      <w:r w:rsidRPr="003037D2">
        <w:rPr>
          <w:rFonts w:ascii="Garamond" w:hAnsi="Garamond"/>
        </w:rPr>
        <w:t xml:space="preserve">(Philadelphia: University of Pennsylvania Press, 2009) </w:t>
      </w:r>
    </w:p>
    <w:p w14:paraId="5B0182CD" w14:textId="77777777" w:rsidR="00162224" w:rsidRPr="003037D2" w:rsidRDefault="00162224" w:rsidP="00A721D6">
      <w:pPr>
        <w:ind w:left="1361" w:hanging="720"/>
        <w:rPr>
          <w:rFonts w:ascii="Garamond" w:hAnsi="Garamond"/>
        </w:rPr>
      </w:pPr>
      <w:proofErr w:type="spellStart"/>
      <w:r w:rsidRPr="003037D2">
        <w:rPr>
          <w:rFonts w:ascii="Garamond" w:hAnsi="Garamond"/>
        </w:rPr>
        <w:t>Gillingham</w:t>
      </w:r>
      <w:proofErr w:type="spellEnd"/>
      <w:r w:rsidRPr="003037D2">
        <w:rPr>
          <w:rFonts w:ascii="Garamond" w:hAnsi="Garamond"/>
        </w:rPr>
        <w:t xml:space="preserve">, Susan, </w:t>
      </w:r>
      <w:r w:rsidRPr="003037D2">
        <w:rPr>
          <w:rFonts w:ascii="Garamond" w:hAnsi="Garamond"/>
          <w:i/>
          <w:iCs/>
        </w:rPr>
        <w:t xml:space="preserve">Psalms through the centuries – Volume </w:t>
      </w:r>
      <w:proofErr w:type="gramStart"/>
      <w:r w:rsidRPr="003037D2">
        <w:rPr>
          <w:rFonts w:ascii="Garamond" w:hAnsi="Garamond"/>
          <w:i/>
          <w:iCs/>
        </w:rPr>
        <w:t xml:space="preserve">I  </w:t>
      </w:r>
      <w:r w:rsidRPr="003037D2">
        <w:rPr>
          <w:rFonts w:ascii="Garamond" w:hAnsi="Garamond"/>
        </w:rPr>
        <w:t>Blackwell</w:t>
      </w:r>
      <w:proofErr w:type="gramEnd"/>
      <w:r w:rsidRPr="003037D2">
        <w:rPr>
          <w:rFonts w:ascii="Garamond" w:hAnsi="Garamond"/>
        </w:rPr>
        <w:t xml:space="preserve"> Bible commentaries (Blackwell: Oxford, 2008) </w:t>
      </w:r>
    </w:p>
    <w:p w14:paraId="6403E855" w14:textId="77777777" w:rsidR="00162224" w:rsidRPr="003037D2" w:rsidRDefault="00162224" w:rsidP="00A721D6">
      <w:pPr>
        <w:ind w:left="1361" w:hanging="720"/>
        <w:rPr>
          <w:rFonts w:ascii="Garamond" w:hAnsi="Garamond"/>
        </w:rPr>
      </w:pPr>
      <w:proofErr w:type="spellStart"/>
      <w:r w:rsidRPr="003037D2">
        <w:rPr>
          <w:rFonts w:ascii="Garamond" w:hAnsi="Garamond"/>
        </w:rPr>
        <w:t>Glaisyer</w:t>
      </w:r>
      <w:proofErr w:type="spellEnd"/>
      <w:r w:rsidRPr="003037D2">
        <w:rPr>
          <w:rFonts w:ascii="Garamond" w:hAnsi="Garamond"/>
        </w:rPr>
        <w:t>, Natasha, ‘Rawdon, Marmaduke (bap. 1610, d. 1669)’, Oxford Dictionary of National Biography, Oxford University Press, 2004 &lt;http://www.oxforddnb.com/view/article/23178&gt; [accessed 24 November 2017]</w:t>
      </w:r>
    </w:p>
    <w:p w14:paraId="04F4FA5F" w14:textId="77777777" w:rsidR="00162224" w:rsidRPr="003037D2" w:rsidRDefault="00162224" w:rsidP="00A721D6">
      <w:pPr>
        <w:ind w:left="1361" w:hanging="720"/>
        <w:rPr>
          <w:rFonts w:ascii="Garamond" w:hAnsi="Garamond"/>
          <w:iCs/>
        </w:rPr>
      </w:pPr>
      <w:r w:rsidRPr="003037D2">
        <w:rPr>
          <w:rFonts w:ascii="Garamond" w:hAnsi="Garamond"/>
        </w:rPr>
        <w:t xml:space="preserve">Goldberg, Jonathan, </w:t>
      </w:r>
      <w:r w:rsidRPr="003037D2">
        <w:rPr>
          <w:rFonts w:ascii="Garamond" w:hAnsi="Garamond"/>
          <w:i/>
          <w:iCs/>
        </w:rPr>
        <w:t xml:space="preserve">The Seeds of things: Theorizing Sexuality and Materiality in Renaissance Representations </w:t>
      </w:r>
      <w:r w:rsidRPr="003037D2">
        <w:rPr>
          <w:rFonts w:ascii="Garamond" w:hAnsi="Garamond"/>
          <w:iCs/>
        </w:rPr>
        <w:t xml:space="preserve">(New York: Fordham University Press, 2009) </w:t>
      </w:r>
    </w:p>
    <w:p w14:paraId="4535BACB" w14:textId="77777777" w:rsidR="00162224" w:rsidRPr="003037D2" w:rsidRDefault="00162224" w:rsidP="00A721D6">
      <w:pPr>
        <w:ind w:left="1361" w:hanging="720"/>
        <w:rPr>
          <w:rFonts w:ascii="Garamond" w:hAnsi="Garamond"/>
        </w:rPr>
      </w:pPr>
      <w:r w:rsidRPr="003037D2">
        <w:rPr>
          <w:rFonts w:ascii="Garamond" w:hAnsi="Garamond"/>
        </w:rPr>
        <w:t xml:space="preserve">Goody, Jack, </w:t>
      </w:r>
      <w:r w:rsidRPr="003037D2">
        <w:rPr>
          <w:rFonts w:ascii="Garamond" w:hAnsi="Garamond"/>
          <w:i/>
          <w:iCs/>
        </w:rPr>
        <w:t xml:space="preserve">The Interface between the Written and the Oral </w:t>
      </w:r>
      <w:r w:rsidRPr="003037D2">
        <w:rPr>
          <w:rFonts w:ascii="Garamond" w:hAnsi="Garamond"/>
        </w:rPr>
        <w:t xml:space="preserve">(Cambridge: Cambridge University Press, 1988) </w:t>
      </w:r>
    </w:p>
    <w:p w14:paraId="394BE4FF" w14:textId="77777777" w:rsidR="00162224" w:rsidRPr="003037D2" w:rsidRDefault="00162224" w:rsidP="00A721D6">
      <w:pPr>
        <w:ind w:left="1361" w:hanging="720"/>
        <w:rPr>
          <w:rFonts w:ascii="Garamond" w:hAnsi="Garamond"/>
          <w:iCs/>
        </w:rPr>
      </w:pPr>
      <w:proofErr w:type="spellStart"/>
      <w:r w:rsidRPr="003037D2">
        <w:rPr>
          <w:rFonts w:ascii="Garamond" w:hAnsi="Garamond"/>
        </w:rPr>
        <w:t>Gouk</w:t>
      </w:r>
      <w:proofErr w:type="spellEnd"/>
      <w:r w:rsidRPr="003037D2">
        <w:rPr>
          <w:rFonts w:ascii="Garamond" w:hAnsi="Garamond"/>
        </w:rPr>
        <w:t xml:space="preserve">, Penelope, </w:t>
      </w:r>
      <w:r w:rsidRPr="003037D2">
        <w:rPr>
          <w:rFonts w:ascii="Garamond" w:hAnsi="Garamond"/>
          <w:i/>
        </w:rPr>
        <w:t xml:space="preserve">Music, Science, and Natural Magic in Seventeenth-Century England </w:t>
      </w:r>
      <w:r w:rsidRPr="003037D2">
        <w:rPr>
          <w:rFonts w:ascii="Garamond" w:hAnsi="Garamond"/>
        </w:rPr>
        <w:t>(New Haven: Yale University Press, 1999)</w:t>
      </w:r>
    </w:p>
    <w:p w14:paraId="2F9CF004" w14:textId="77777777" w:rsidR="00162224" w:rsidRPr="003037D2" w:rsidRDefault="00162224" w:rsidP="00A721D6">
      <w:pPr>
        <w:ind w:left="1361" w:hanging="720"/>
        <w:rPr>
          <w:rFonts w:ascii="Garamond" w:hAnsi="Garamond"/>
          <w:iCs/>
        </w:rPr>
      </w:pPr>
      <w:r w:rsidRPr="003037D2">
        <w:rPr>
          <w:rFonts w:ascii="Garamond" w:hAnsi="Garamond"/>
        </w:rPr>
        <w:t>Gouws, John, ‘</w:t>
      </w:r>
      <w:proofErr w:type="spellStart"/>
      <w:r w:rsidRPr="003037D2">
        <w:rPr>
          <w:rFonts w:ascii="Garamond" w:hAnsi="Garamond"/>
        </w:rPr>
        <w:t>Greville</w:t>
      </w:r>
      <w:proofErr w:type="spellEnd"/>
      <w:r w:rsidRPr="003037D2">
        <w:rPr>
          <w:rFonts w:ascii="Garamond" w:hAnsi="Garamond"/>
        </w:rPr>
        <w:t xml:space="preserve">, </w:t>
      </w:r>
      <w:proofErr w:type="spellStart"/>
      <w:r w:rsidRPr="003037D2">
        <w:rPr>
          <w:rFonts w:ascii="Garamond" w:hAnsi="Garamond"/>
        </w:rPr>
        <w:t>Fulke</w:t>
      </w:r>
      <w:proofErr w:type="spellEnd"/>
      <w:r w:rsidRPr="003037D2">
        <w:rPr>
          <w:rFonts w:ascii="Garamond" w:hAnsi="Garamond"/>
        </w:rPr>
        <w:t xml:space="preserve">, first Baron Brooke of </w:t>
      </w:r>
      <w:proofErr w:type="spellStart"/>
      <w:r w:rsidRPr="003037D2">
        <w:rPr>
          <w:rFonts w:ascii="Garamond" w:hAnsi="Garamond"/>
        </w:rPr>
        <w:t>Beauchamps</w:t>
      </w:r>
      <w:proofErr w:type="spellEnd"/>
      <w:r w:rsidRPr="003037D2">
        <w:rPr>
          <w:rFonts w:ascii="Garamond" w:hAnsi="Garamond"/>
        </w:rPr>
        <w:t xml:space="preserve"> Court (1554–1628)’, in </w:t>
      </w:r>
      <w:r w:rsidRPr="003037D2">
        <w:rPr>
          <w:rFonts w:ascii="Garamond" w:hAnsi="Garamond"/>
          <w:i/>
          <w:iCs/>
        </w:rPr>
        <w:t>Oxford Dictionary of National Biography</w:t>
      </w:r>
      <w:r w:rsidRPr="003037D2">
        <w:rPr>
          <w:rFonts w:ascii="Garamond" w:hAnsi="Garamond"/>
        </w:rPr>
        <w:t>, Oxford University Press, 2004 &lt;http://www.oxforddnb.com/view/article/11516&gt; [accessed 10 January 2017]</w:t>
      </w:r>
    </w:p>
    <w:p w14:paraId="32B09A14" w14:textId="77777777" w:rsidR="00162224" w:rsidRPr="003037D2" w:rsidRDefault="00162224" w:rsidP="00A721D6">
      <w:pPr>
        <w:ind w:left="1361" w:hanging="720"/>
        <w:rPr>
          <w:rFonts w:ascii="Garamond" w:hAnsi="Garamond"/>
          <w:highlight w:val="yellow"/>
        </w:rPr>
      </w:pPr>
      <w:proofErr w:type="spellStart"/>
      <w:r w:rsidRPr="003037D2">
        <w:rPr>
          <w:rFonts w:ascii="Garamond" w:hAnsi="Garamond"/>
        </w:rPr>
        <w:t>Grell</w:t>
      </w:r>
      <w:proofErr w:type="spellEnd"/>
      <w:r w:rsidRPr="003037D2">
        <w:rPr>
          <w:rFonts w:ascii="Garamond" w:hAnsi="Garamond"/>
        </w:rPr>
        <w:t>, Ole Peter</w:t>
      </w:r>
      <w:r w:rsidRPr="003037D2">
        <w:rPr>
          <w:rFonts w:ascii="Garamond" w:hAnsi="Garamond"/>
          <w:i/>
        </w:rPr>
        <w:t>, Paracelsus: The man and his reputation, his ideas and their transformation</w:t>
      </w:r>
      <w:r w:rsidRPr="003037D2">
        <w:rPr>
          <w:rFonts w:ascii="Garamond" w:hAnsi="Garamond"/>
        </w:rPr>
        <w:t xml:space="preserve"> (Leiden: Brill, 1998)</w:t>
      </w:r>
    </w:p>
    <w:p w14:paraId="3C13B5D3" w14:textId="77777777" w:rsidR="00162224" w:rsidRPr="003037D2" w:rsidRDefault="00162224" w:rsidP="00A721D6">
      <w:pPr>
        <w:ind w:left="1361" w:hanging="720"/>
        <w:rPr>
          <w:rFonts w:ascii="Garamond" w:hAnsi="Garamond"/>
        </w:rPr>
      </w:pPr>
      <w:r w:rsidRPr="003037D2">
        <w:rPr>
          <w:rFonts w:ascii="Garamond" w:hAnsi="Garamond"/>
        </w:rPr>
        <w:t xml:space="preserve">Greenwood, E.B., ‘George Herbert’s sonnet ‘Prayer’: A stylistic Study’ in </w:t>
      </w:r>
      <w:r w:rsidRPr="003037D2">
        <w:rPr>
          <w:rFonts w:ascii="Garamond" w:hAnsi="Garamond"/>
          <w:i/>
          <w:iCs/>
        </w:rPr>
        <w:t xml:space="preserve">Essays in Criticism, </w:t>
      </w:r>
      <w:r w:rsidRPr="003037D2">
        <w:rPr>
          <w:rFonts w:ascii="Garamond" w:hAnsi="Garamond"/>
        </w:rPr>
        <w:t>15 (1965), pp. 27-45</w:t>
      </w:r>
    </w:p>
    <w:p w14:paraId="5B334135" w14:textId="77777777" w:rsidR="00162224" w:rsidRPr="003037D2" w:rsidRDefault="00162224" w:rsidP="00A721D6">
      <w:pPr>
        <w:ind w:left="1361" w:hanging="720"/>
        <w:rPr>
          <w:rFonts w:ascii="Garamond" w:hAnsi="Garamond"/>
        </w:rPr>
      </w:pPr>
      <w:r w:rsidRPr="003037D2">
        <w:rPr>
          <w:rFonts w:ascii="Garamond" w:hAnsi="Garamond"/>
        </w:rPr>
        <w:t xml:space="preserve">Griffiths, Huw, ‘The Sonnet in Ruins: Time and the Nation in 1599’ in </w:t>
      </w:r>
      <w:r w:rsidRPr="003037D2">
        <w:rPr>
          <w:rFonts w:ascii="Garamond" w:hAnsi="Garamond"/>
          <w:i/>
          <w:iCs/>
        </w:rPr>
        <w:t>Early Modern Culture: an electronic seminar</w:t>
      </w:r>
      <w:r w:rsidRPr="003037D2">
        <w:rPr>
          <w:rFonts w:ascii="Garamond" w:hAnsi="Garamond"/>
        </w:rPr>
        <w:t xml:space="preserve">, No. 6 (2007) Online only </w:t>
      </w:r>
    </w:p>
    <w:p w14:paraId="58597B20" w14:textId="68655CCD" w:rsidR="00162224" w:rsidRPr="003037D2" w:rsidRDefault="00162224" w:rsidP="00A721D6">
      <w:pPr>
        <w:ind w:left="1361" w:hanging="720"/>
        <w:rPr>
          <w:rFonts w:ascii="Garamond" w:hAnsi="Garamond"/>
        </w:rPr>
      </w:pPr>
      <w:r w:rsidRPr="003037D2">
        <w:rPr>
          <w:rFonts w:ascii="Garamond" w:hAnsi="Garamond"/>
        </w:rPr>
        <w:t xml:space="preserve">Grimm, Reinhold, ‘Poems and/as Pictures: A Quick Look at Two and a Half Millennia of Ongoing Aesthetic Intercourse,’ in </w:t>
      </w:r>
      <w:r w:rsidRPr="003037D2">
        <w:rPr>
          <w:rFonts w:ascii="Garamond" w:hAnsi="Garamond"/>
          <w:i/>
        </w:rPr>
        <w:t xml:space="preserve">From Ode to Anthem: Problems </w:t>
      </w:r>
      <w:r w:rsidRPr="003037D2">
        <w:rPr>
          <w:rFonts w:ascii="Garamond" w:hAnsi="Garamond"/>
          <w:i/>
        </w:rPr>
        <w:lastRenderedPageBreak/>
        <w:t>of Lyric Poetry</w:t>
      </w:r>
      <w:r w:rsidRPr="003037D2">
        <w:rPr>
          <w:rFonts w:ascii="Garamond" w:hAnsi="Garamond"/>
        </w:rPr>
        <w:t xml:space="preserve">, ed. by Reinhold Grimm and </w:t>
      </w:r>
      <w:proofErr w:type="spellStart"/>
      <w:r w:rsidRPr="003037D2">
        <w:rPr>
          <w:rFonts w:ascii="Garamond" w:hAnsi="Garamond"/>
        </w:rPr>
        <w:t>Jost</w:t>
      </w:r>
      <w:proofErr w:type="spellEnd"/>
      <w:r w:rsidRPr="003037D2">
        <w:rPr>
          <w:rFonts w:ascii="Garamond" w:hAnsi="Garamond"/>
        </w:rPr>
        <w:t xml:space="preserve"> </w:t>
      </w:r>
      <w:proofErr w:type="spellStart"/>
      <w:r w:rsidRPr="003037D2">
        <w:rPr>
          <w:rFonts w:ascii="Garamond" w:hAnsi="Garamond"/>
        </w:rPr>
        <w:t>Hermand</w:t>
      </w:r>
      <w:proofErr w:type="spellEnd"/>
      <w:r w:rsidRPr="003037D2">
        <w:rPr>
          <w:rFonts w:ascii="Garamond" w:hAnsi="Garamond"/>
        </w:rPr>
        <w:t xml:space="preserve"> (Madison: University of Wisconsin Press, 1989), pp. 3-85</w:t>
      </w:r>
    </w:p>
    <w:p w14:paraId="7BD5518A" w14:textId="61FF76AF" w:rsidR="00162224" w:rsidRPr="003037D2" w:rsidRDefault="00162224" w:rsidP="00A721D6">
      <w:pPr>
        <w:ind w:left="1361" w:hanging="720"/>
        <w:rPr>
          <w:rFonts w:ascii="Garamond" w:hAnsi="Garamond"/>
        </w:rPr>
      </w:pPr>
      <w:r w:rsidRPr="003037D2">
        <w:rPr>
          <w:rFonts w:ascii="Garamond" w:hAnsi="Garamond"/>
        </w:rPr>
        <w:t>Grady, Hugh and Terence Hawkes eds</w:t>
      </w:r>
      <w:r w:rsidR="00276F4F">
        <w:rPr>
          <w:rFonts w:ascii="Garamond" w:hAnsi="Garamond"/>
        </w:rPr>
        <w:t>,</w:t>
      </w:r>
      <w:r w:rsidRPr="003037D2">
        <w:rPr>
          <w:rFonts w:ascii="Garamond" w:hAnsi="Garamond"/>
        </w:rPr>
        <w:t xml:space="preserve"> </w:t>
      </w:r>
      <w:proofErr w:type="spellStart"/>
      <w:r w:rsidRPr="003037D2">
        <w:rPr>
          <w:rFonts w:ascii="Garamond" w:hAnsi="Garamond"/>
          <w:i/>
        </w:rPr>
        <w:t>Presentist</w:t>
      </w:r>
      <w:proofErr w:type="spellEnd"/>
      <w:r w:rsidRPr="003037D2">
        <w:rPr>
          <w:rFonts w:ascii="Garamond" w:hAnsi="Garamond"/>
          <w:i/>
        </w:rPr>
        <w:t xml:space="preserve"> </w:t>
      </w:r>
      <w:proofErr w:type="spellStart"/>
      <w:r w:rsidRPr="003037D2">
        <w:rPr>
          <w:rFonts w:ascii="Garamond" w:hAnsi="Garamond"/>
          <w:i/>
        </w:rPr>
        <w:t>Shakespeares</w:t>
      </w:r>
      <w:proofErr w:type="spellEnd"/>
      <w:r w:rsidRPr="003037D2">
        <w:rPr>
          <w:rFonts w:ascii="Garamond" w:hAnsi="Garamond"/>
        </w:rPr>
        <w:t xml:space="preserve"> (London: Routledge, 2007) </w:t>
      </w:r>
    </w:p>
    <w:p w14:paraId="41A60FF2" w14:textId="77777777" w:rsidR="00162224" w:rsidRPr="003037D2" w:rsidRDefault="00162224" w:rsidP="00A721D6">
      <w:pPr>
        <w:ind w:left="1361" w:hanging="720"/>
        <w:rPr>
          <w:rFonts w:ascii="Garamond" w:hAnsi="Garamond"/>
        </w:rPr>
      </w:pPr>
      <w:r w:rsidRPr="003037D2">
        <w:rPr>
          <w:rFonts w:ascii="Garamond" w:hAnsi="Garamond"/>
        </w:rPr>
        <w:t xml:space="preserve">Guernsey, Julia Carolyn, </w:t>
      </w:r>
      <w:r w:rsidRPr="003037D2">
        <w:rPr>
          <w:rFonts w:ascii="Garamond" w:hAnsi="Garamond"/>
          <w:i/>
          <w:iCs/>
        </w:rPr>
        <w:t xml:space="preserve">The Pulse of Praise: Form as Second Self in the Poetry of George Herbert </w:t>
      </w:r>
      <w:r w:rsidRPr="003037D2">
        <w:rPr>
          <w:rFonts w:ascii="Garamond" w:hAnsi="Garamond"/>
        </w:rPr>
        <w:t xml:space="preserve">(Newark: University of Delaware Press, 1999) </w:t>
      </w:r>
    </w:p>
    <w:p w14:paraId="1ABE97A6" w14:textId="0E016647" w:rsidR="00162224" w:rsidRPr="003037D2" w:rsidRDefault="00162224" w:rsidP="00A721D6">
      <w:pPr>
        <w:ind w:left="1361" w:hanging="720"/>
        <w:rPr>
          <w:rFonts w:ascii="Garamond" w:hAnsi="Garamond"/>
        </w:rPr>
      </w:pPr>
      <w:proofErr w:type="spellStart"/>
      <w:r w:rsidRPr="003037D2">
        <w:rPr>
          <w:rFonts w:ascii="Garamond" w:hAnsi="Garamond"/>
        </w:rPr>
        <w:t>Guibbory</w:t>
      </w:r>
      <w:proofErr w:type="spellEnd"/>
      <w:r w:rsidRPr="003037D2">
        <w:rPr>
          <w:rFonts w:ascii="Garamond" w:hAnsi="Garamond"/>
        </w:rPr>
        <w:t xml:space="preserve">, </w:t>
      </w:r>
      <w:proofErr w:type="spellStart"/>
      <w:r w:rsidRPr="003037D2">
        <w:rPr>
          <w:rFonts w:ascii="Garamond" w:hAnsi="Garamond"/>
        </w:rPr>
        <w:t>Achsah</w:t>
      </w:r>
      <w:proofErr w:type="spellEnd"/>
      <w:r w:rsidRPr="003037D2">
        <w:rPr>
          <w:rFonts w:ascii="Garamond" w:hAnsi="Garamond"/>
        </w:rPr>
        <w:t xml:space="preserve">, ‘John Donne and Memory as </w:t>
      </w:r>
      <w:r w:rsidR="00ED0F4C">
        <w:rPr>
          <w:rFonts w:ascii="Garamond" w:hAnsi="Garamond"/>
        </w:rPr>
        <w:t>“</w:t>
      </w:r>
      <w:r w:rsidRPr="003037D2">
        <w:rPr>
          <w:rFonts w:ascii="Garamond" w:hAnsi="Garamond"/>
        </w:rPr>
        <w:t>The Art of Salvation</w:t>
      </w:r>
      <w:r w:rsidR="00ED0F4C">
        <w:rPr>
          <w:rFonts w:ascii="Garamond" w:hAnsi="Garamond"/>
        </w:rPr>
        <w:t>”</w:t>
      </w:r>
      <w:r w:rsidRPr="003037D2">
        <w:rPr>
          <w:rFonts w:ascii="Garamond" w:hAnsi="Garamond"/>
        </w:rPr>
        <w:t xml:space="preserve">’ in </w:t>
      </w:r>
      <w:r w:rsidRPr="003037D2">
        <w:rPr>
          <w:rFonts w:ascii="Garamond" w:hAnsi="Garamond"/>
          <w:i/>
        </w:rPr>
        <w:t>Huntington Library Quarterly</w:t>
      </w:r>
      <w:r w:rsidRPr="003037D2">
        <w:rPr>
          <w:rFonts w:ascii="Garamond" w:hAnsi="Garamond"/>
        </w:rPr>
        <w:t xml:space="preserve">, 43.4 (Autumn, 1980) pp. 261-274 </w:t>
      </w:r>
    </w:p>
    <w:p w14:paraId="1CCC81E4" w14:textId="77777777" w:rsidR="00162224" w:rsidRPr="003037D2" w:rsidRDefault="00162224" w:rsidP="00A721D6">
      <w:pPr>
        <w:ind w:left="1361" w:hanging="720"/>
        <w:rPr>
          <w:rFonts w:ascii="Garamond" w:hAnsi="Garamond"/>
        </w:rPr>
      </w:pPr>
      <w:r w:rsidRPr="003037D2">
        <w:rPr>
          <w:rFonts w:ascii="Garamond" w:hAnsi="Garamond"/>
          <w:color w:val="000000"/>
          <w:shd w:val="clear" w:color="auto" w:fill="FFFFFF"/>
        </w:rPr>
        <w:t>___</w:t>
      </w:r>
      <w:proofErr w:type="gramStart"/>
      <w:r w:rsidRPr="003037D2">
        <w:rPr>
          <w:rFonts w:ascii="Garamond" w:hAnsi="Garamond"/>
          <w:color w:val="000000"/>
          <w:shd w:val="clear" w:color="auto" w:fill="FFFFFF"/>
        </w:rPr>
        <w:t>_ ,</w:t>
      </w:r>
      <w:proofErr w:type="gramEnd"/>
      <w:r w:rsidRPr="003037D2">
        <w:rPr>
          <w:rFonts w:ascii="Garamond" w:hAnsi="Garamond"/>
        </w:rPr>
        <w:t xml:space="preserve"> </w:t>
      </w:r>
      <w:r w:rsidRPr="003037D2">
        <w:rPr>
          <w:rFonts w:ascii="Garamond" w:hAnsi="Garamond"/>
          <w:i/>
        </w:rPr>
        <w:t xml:space="preserve">The Map of Time: seventeenth-century English literature and ideas of pattern in history </w:t>
      </w:r>
      <w:r w:rsidRPr="003037D2">
        <w:rPr>
          <w:rFonts w:ascii="Garamond" w:hAnsi="Garamond"/>
        </w:rPr>
        <w:t>(Urbana: University of Illinois Press, 1984)</w:t>
      </w:r>
    </w:p>
    <w:p w14:paraId="6C9FBF59" w14:textId="77777777" w:rsidR="00162224" w:rsidRPr="003037D2" w:rsidRDefault="00162224" w:rsidP="00A721D6">
      <w:pPr>
        <w:ind w:left="1361" w:hanging="720"/>
        <w:rPr>
          <w:rFonts w:ascii="Garamond" w:hAnsi="Garamond"/>
        </w:rPr>
      </w:pPr>
      <w:proofErr w:type="spellStart"/>
      <w:r w:rsidRPr="003037D2">
        <w:rPr>
          <w:rFonts w:ascii="Garamond" w:hAnsi="Garamond"/>
        </w:rPr>
        <w:t>Guite</w:t>
      </w:r>
      <w:proofErr w:type="spellEnd"/>
      <w:r w:rsidRPr="003037D2">
        <w:rPr>
          <w:rFonts w:ascii="Garamond" w:hAnsi="Garamond"/>
        </w:rPr>
        <w:t xml:space="preserve">, A.M., ‘The Art of Memory and the Art of Salvation: </w:t>
      </w:r>
      <w:proofErr w:type="gramStart"/>
      <w:r w:rsidRPr="003037D2">
        <w:rPr>
          <w:rFonts w:ascii="Garamond" w:hAnsi="Garamond"/>
        </w:rPr>
        <w:t>the</w:t>
      </w:r>
      <w:proofErr w:type="gramEnd"/>
      <w:r w:rsidRPr="003037D2">
        <w:rPr>
          <w:rFonts w:ascii="Garamond" w:hAnsi="Garamond"/>
        </w:rPr>
        <w:t xml:space="preserve"> Centrality of Memory in the Sermons of John Donne and Lancelot Andrewes’ in </w:t>
      </w:r>
      <w:r w:rsidRPr="003037D2">
        <w:rPr>
          <w:rFonts w:ascii="Garamond" w:hAnsi="Garamond"/>
          <w:i/>
          <w:iCs/>
        </w:rPr>
        <w:t xml:space="preserve">The Seventeenth Century, </w:t>
      </w:r>
      <w:r w:rsidRPr="003037D2">
        <w:rPr>
          <w:rFonts w:ascii="Garamond" w:hAnsi="Garamond"/>
        </w:rPr>
        <w:t>4.1 (1989), pp. 1-17</w:t>
      </w:r>
    </w:p>
    <w:p w14:paraId="477CAA06" w14:textId="77777777" w:rsidR="00162224" w:rsidRPr="003037D2" w:rsidRDefault="00162224" w:rsidP="00A721D6">
      <w:pPr>
        <w:ind w:left="1361" w:hanging="720"/>
        <w:rPr>
          <w:rFonts w:ascii="Garamond" w:hAnsi="Garamond"/>
        </w:rPr>
      </w:pPr>
      <w:proofErr w:type="spellStart"/>
      <w:r w:rsidRPr="003037D2">
        <w:rPr>
          <w:rFonts w:ascii="Garamond" w:hAnsi="Garamond"/>
        </w:rPr>
        <w:t>Gurr</w:t>
      </w:r>
      <w:proofErr w:type="spellEnd"/>
      <w:r w:rsidRPr="003037D2">
        <w:rPr>
          <w:rFonts w:ascii="Garamond" w:hAnsi="Garamond"/>
        </w:rPr>
        <w:t xml:space="preserve">, Andrew, ‘Maximal and Minimal Texts: Shakespeare vs. The Globe’ in </w:t>
      </w:r>
      <w:r w:rsidRPr="003037D2">
        <w:rPr>
          <w:rFonts w:ascii="Garamond" w:hAnsi="Garamond"/>
          <w:i/>
          <w:iCs/>
        </w:rPr>
        <w:t xml:space="preserve">Shakespeare Survey, </w:t>
      </w:r>
      <w:r w:rsidRPr="003037D2">
        <w:rPr>
          <w:rFonts w:ascii="Garamond" w:hAnsi="Garamond"/>
        </w:rPr>
        <w:t>52 (1999), pp. 68-87</w:t>
      </w:r>
    </w:p>
    <w:p w14:paraId="14938937" w14:textId="77777777" w:rsidR="00162224" w:rsidRPr="003037D2" w:rsidRDefault="00162224" w:rsidP="00A721D6">
      <w:pPr>
        <w:ind w:left="1361" w:hanging="720"/>
        <w:rPr>
          <w:rFonts w:ascii="Garamond" w:hAnsi="Garamond"/>
        </w:rPr>
      </w:pPr>
      <w:r w:rsidRPr="003037D2">
        <w:rPr>
          <w:rFonts w:ascii="Garamond" w:hAnsi="Garamond"/>
        </w:rPr>
        <w:t xml:space="preserve">Guy-Bray, Stephen, Vin </w:t>
      </w:r>
      <w:proofErr w:type="spellStart"/>
      <w:r w:rsidRPr="003037D2">
        <w:rPr>
          <w:rFonts w:ascii="Garamond" w:hAnsi="Garamond"/>
        </w:rPr>
        <w:t>Nardizzi</w:t>
      </w:r>
      <w:proofErr w:type="spellEnd"/>
      <w:r w:rsidRPr="003037D2">
        <w:rPr>
          <w:rFonts w:ascii="Garamond" w:hAnsi="Garamond"/>
        </w:rPr>
        <w:t xml:space="preserve">, and Will Stockton, </w:t>
      </w:r>
      <w:r w:rsidRPr="003037D2">
        <w:rPr>
          <w:rFonts w:ascii="Garamond" w:hAnsi="Garamond"/>
          <w:i/>
          <w:iCs/>
        </w:rPr>
        <w:t xml:space="preserve">Queer Renaissance Historiography: Backward Gaze </w:t>
      </w:r>
      <w:r w:rsidRPr="003037D2">
        <w:rPr>
          <w:rFonts w:ascii="Garamond" w:hAnsi="Garamond"/>
        </w:rPr>
        <w:t xml:space="preserve">(London: Ashgate, 2009) </w:t>
      </w:r>
    </w:p>
    <w:p w14:paraId="7B03BF12" w14:textId="77777777" w:rsidR="00162224" w:rsidRPr="003037D2" w:rsidRDefault="00162224" w:rsidP="00A721D6">
      <w:pPr>
        <w:ind w:left="1361" w:hanging="720"/>
        <w:rPr>
          <w:rFonts w:ascii="Garamond" w:hAnsi="Garamond"/>
        </w:rPr>
      </w:pPr>
      <w:proofErr w:type="spellStart"/>
      <w:r w:rsidRPr="003037D2">
        <w:rPr>
          <w:rFonts w:ascii="Garamond" w:hAnsi="Garamond"/>
        </w:rPr>
        <w:t>Halli</w:t>
      </w:r>
      <w:proofErr w:type="spellEnd"/>
      <w:r w:rsidRPr="003037D2">
        <w:rPr>
          <w:rFonts w:ascii="Garamond" w:hAnsi="Garamond"/>
        </w:rPr>
        <w:t xml:space="preserve">, Robert, ‘The Double Hieroglyph in George Herbert’s ‘Easter-Wings’ in </w:t>
      </w:r>
      <w:r w:rsidRPr="003037D2">
        <w:rPr>
          <w:rFonts w:ascii="Garamond" w:hAnsi="Garamond"/>
          <w:i/>
        </w:rPr>
        <w:t xml:space="preserve">Philological Quarterly, </w:t>
      </w:r>
      <w:r w:rsidRPr="003037D2">
        <w:rPr>
          <w:rFonts w:ascii="Garamond" w:hAnsi="Garamond"/>
        </w:rPr>
        <w:t>63.2 (Spring 1984), pp. 265-272</w:t>
      </w:r>
    </w:p>
    <w:p w14:paraId="59C6094D" w14:textId="5728D587" w:rsidR="00162224" w:rsidRPr="003037D2" w:rsidRDefault="00162224" w:rsidP="00A721D6">
      <w:pPr>
        <w:ind w:left="1361" w:hanging="720"/>
        <w:rPr>
          <w:rFonts w:ascii="Garamond" w:hAnsi="Garamond"/>
        </w:rPr>
      </w:pPr>
      <w:proofErr w:type="spellStart"/>
      <w:r w:rsidRPr="003037D2">
        <w:rPr>
          <w:rFonts w:ascii="Garamond" w:hAnsi="Garamond"/>
        </w:rPr>
        <w:t>Halio</w:t>
      </w:r>
      <w:proofErr w:type="spellEnd"/>
      <w:r w:rsidRPr="003037D2">
        <w:rPr>
          <w:rFonts w:ascii="Garamond" w:hAnsi="Garamond"/>
        </w:rPr>
        <w:t>, Jay L., ‘</w:t>
      </w:r>
      <w:r w:rsidR="00ED0F4C">
        <w:rPr>
          <w:rFonts w:ascii="Garamond" w:hAnsi="Garamond"/>
        </w:rPr>
        <w:t>“</w:t>
      </w:r>
      <w:r w:rsidRPr="003037D2">
        <w:rPr>
          <w:rFonts w:ascii="Garamond" w:hAnsi="Garamond"/>
        </w:rPr>
        <w:t>No Clock in the Forest</w:t>
      </w:r>
      <w:r w:rsidR="00ED0F4C">
        <w:rPr>
          <w:rFonts w:ascii="Garamond" w:hAnsi="Garamond"/>
        </w:rPr>
        <w:t>”</w:t>
      </w:r>
      <w:r w:rsidRPr="003037D2">
        <w:rPr>
          <w:rFonts w:ascii="Garamond" w:hAnsi="Garamond"/>
        </w:rPr>
        <w:t xml:space="preserve">: Time in </w:t>
      </w:r>
      <w:r w:rsidRPr="003037D2">
        <w:rPr>
          <w:rFonts w:ascii="Garamond" w:hAnsi="Garamond"/>
          <w:i/>
        </w:rPr>
        <w:t>As You Like It</w:t>
      </w:r>
      <w:r w:rsidRPr="003037D2">
        <w:rPr>
          <w:rFonts w:ascii="Garamond" w:hAnsi="Garamond"/>
        </w:rPr>
        <w:t xml:space="preserve">’ in </w:t>
      </w:r>
      <w:r w:rsidRPr="003037D2">
        <w:rPr>
          <w:rFonts w:ascii="Garamond" w:hAnsi="Garamond"/>
          <w:i/>
        </w:rPr>
        <w:t xml:space="preserve">Studies in English Literature, 1500-1900, </w:t>
      </w:r>
      <w:proofErr w:type="gramStart"/>
      <w:r w:rsidRPr="003037D2">
        <w:rPr>
          <w:rFonts w:ascii="Garamond" w:hAnsi="Garamond"/>
        </w:rPr>
        <w:t>2.2  (</w:t>
      </w:r>
      <w:proofErr w:type="gramEnd"/>
      <w:r w:rsidRPr="003037D2">
        <w:rPr>
          <w:rFonts w:ascii="Garamond" w:hAnsi="Garamond"/>
        </w:rPr>
        <w:t>Spring 1962), pp. 197-207</w:t>
      </w:r>
    </w:p>
    <w:p w14:paraId="1D5FC13E" w14:textId="77777777" w:rsidR="00162224" w:rsidRPr="003037D2" w:rsidRDefault="00162224" w:rsidP="00A721D6">
      <w:pPr>
        <w:ind w:left="1361" w:hanging="720"/>
        <w:rPr>
          <w:rFonts w:ascii="Garamond" w:hAnsi="Garamond"/>
        </w:rPr>
      </w:pPr>
      <w:r w:rsidRPr="003037D2">
        <w:rPr>
          <w:rFonts w:ascii="Garamond" w:hAnsi="Garamond"/>
        </w:rPr>
        <w:t xml:space="preserve">Hamlin, </w:t>
      </w:r>
      <w:bookmarkStart w:id="263" w:name="_Hlk532632746"/>
      <w:r w:rsidRPr="003037D2">
        <w:rPr>
          <w:rFonts w:ascii="Garamond" w:hAnsi="Garamond"/>
        </w:rPr>
        <w:t>Hannibal</w:t>
      </w:r>
      <w:bookmarkEnd w:id="263"/>
      <w:r w:rsidRPr="003037D2">
        <w:rPr>
          <w:rFonts w:ascii="Garamond" w:hAnsi="Garamond"/>
        </w:rPr>
        <w:t xml:space="preserve">, </w:t>
      </w:r>
      <w:bookmarkStart w:id="264" w:name="_Hlk532632800"/>
      <w:r w:rsidRPr="003037D2">
        <w:rPr>
          <w:rFonts w:ascii="Garamond" w:hAnsi="Garamond"/>
          <w:i/>
        </w:rPr>
        <w:t>Psalm Culture and Early Modern English Literature</w:t>
      </w:r>
      <w:r w:rsidRPr="003037D2">
        <w:rPr>
          <w:rFonts w:ascii="Garamond" w:hAnsi="Garamond"/>
        </w:rPr>
        <w:t xml:space="preserve"> (Cambridge: Cambridge University Press, 2004)</w:t>
      </w:r>
      <w:bookmarkEnd w:id="264"/>
    </w:p>
    <w:p w14:paraId="7D851B12" w14:textId="5DBABFAF" w:rsidR="00162224" w:rsidRPr="003037D2" w:rsidRDefault="00162224" w:rsidP="00A721D6">
      <w:pPr>
        <w:ind w:left="1361" w:hanging="720"/>
        <w:rPr>
          <w:rFonts w:ascii="Garamond" w:hAnsi="Garamond"/>
          <w:bCs/>
        </w:rPr>
      </w:pPr>
      <w:r w:rsidRPr="003037D2">
        <w:rPr>
          <w:rFonts w:ascii="Garamond" w:hAnsi="Garamond"/>
          <w:color w:val="000000"/>
          <w:shd w:val="clear" w:color="auto" w:fill="FFFFFF"/>
        </w:rPr>
        <w:t>____</w:t>
      </w:r>
      <w:r w:rsidRPr="003037D2">
        <w:rPr>
          <w:rFonts w:ascii="Garamond" w:hAnsi="Garamond"/>
        </w:rPr>
        <w:t xml:space="preserve"> and Norman W. Jones eds</w:t>
      </w:r>
      <w:r w:rsidR="00276F4F">
        <w:rPr>
          <w:rFonts w:ascii="Garamond" w:hAnsi="Garamond"/>
        </w:rPr>
        <w:t>,</w:t>
      </w:r>
      <w:r w:rsidRPr="003037D2">
        <w:rPr>
          <w:rFonts w:ascii="Garamond" w:hAnsi="Garamond"/>
        </w:rPr>
        <w:t xml:space="preserve"> </w:t>
      </w:r>
      <w:r w:rsidRPr="003037D2">
        <w:rPr>
          <w:rFonts w:ascii="Garamond" w:hAnsi="Garamond"/>
          <w:bCs/>
          <w:i/>
          <w:iCs/>
        </w:rPr>
        <w:t xml:space="preserve">The King James Bible after 400 years </w:t>
      </w:r>
      <w:r w:rsidRPr="003037D2">
        <w:rPr>
          <w:rFonts w:ascii="Garamond" w:hAnsi="Garamond"/>
          <w:bCs/>
        </w:rPr>
        <w:t xml:space="preserve">(Cambridge: </w:t>
      </w:r>
      <w:proofErr w:type="spellStart"/>
      <w:r w:rsidRPr="003037D2">
        <w:rPr>
          <w:rFonts w:ascii="Garamond" w:hAnsi="Garamond"/>
          <w:bCs/>
        </w:rPr>
        <w:t>Cambride</w:t>
      </w:r>
      <w:proofErr w:type="spellEnd"/>
      <w:r w:rsidRPr="003037D2">
        <w:rPr>
          <w:rFonts w:ascii="Garamond" w:hAnsi="Garamond"/>
          <w:bCs/>
        </w:rPr>
        <w:t xml:space="preserve"> University Press, 2010) </w:t>
      </w:r>
    </w:p>
    <w:p w14:paraId="766C808A" w14:textId="77777777" w:rsidR="00162224" w:rsidRPr="003037D2" w:rsidRDefault="00162224" w:rsidP="00A721D6">
      <w:pPr>
        <w:ind w:left="1361" w:hanging="720"/>
        <w:rPr>
          <w:rFonts w:ascii="Garamond" w:hAnsi="Garamond"/>
          <w:bCs/>
        </w:rPr>
      </w:pPr>
      <w:r w:rsidRPr="003037D2">
        <w:rPr>
          <w:rFonts w:ascii="Garamond" w:hAnsi="Garamond"/>
          <w:bCs/>
        </w:rPr>
        <w:t xml:space="preserve">Hammond, Gerald, </w:t>
      </w:r>
      <w:r w:rsidRPr="003037D2">
        <w:rPr>
          <w:rFonts w:ascii="Garamond" w:hAnsi="Garamond"/>
          <w:bCs/>
          <w:i/>
          <w:iCs/>
        </w:rPr>
        <w:t>The Making of the English Bible</w:t>
      </w:r>
      <w:r w:rsidRPr="003037D2">
        <w:rPr>
          <w:rFonts w:ascii="Garamond" w:hAnsi="Garamond"/>
          <w:bCs/>
        </w:rPr>
        <w:t xml:space="preserve"> (Manchester: </w:t>
      </w:r>
      <w:proofErr w:type="spellStart"/>
      <w:r w:rsidRPr="003037D2">
        <w:rPr>
          <w:rFonts w:ascii="Garamond" w:hAnsi="Garamond"/>
          <w:bCs/>
        </w:rPr>
        <w:t>Carcanet</w:t>
      </w:r>
      <w:proofErr w:type="spellEnd"/>
      <w:r w:rsidRPr="003037D2">
        <w:rPr>
          <w:rFonts w:ascii="Garamond" w:hAnsi="Garamond"/>
          <w:bCs/>
        </w:rPr>
        <w:t xml:space="preserve"> New Press, 1982)</w:t>
      </w:r>
    </w:p>
    <w:p w14:paraId="3B8C29D7" w14:textId="489E4FF9" w:rsidR="00162224" w:rsidRPr="003037D2" w:rsidRDefault="00162224" w:rsidP="00A721D6">
      <w:pPr>
        <w:ind w:left="1361" w:hanging="720"/>
        <w:rPr>
          <w:rFonts w:ascii="Garamond" w:hAnsi="Garamond"/>
        </w:rPr>
      </w:pPr>
      <w:bookmarkStart w:id="265" w:name="_Hlk532650004"/>
      <w:proofErr w:type="spellStart"/>
      <w:r w:rsidRPr="003037D2">
        <w:rPr>
          <w:rFonts w:ascii="Garamond" w:hAnsi="Garamond"/>
        </w:rPr>
        <w:t>Hannay</w:t>
      </w:r>
      <w:proofErr w:type="spellEnd"/>
      <w:r w:rsidRPr="003037D2">
        <w:rPr>
          <w:rFonts w:ascii="Garamond" w:hAnsi="Garamond"/>
        </w:rPr>
        <w:t>, Margaret, ‘</w:t>
      </w:r>
      <w:r w:rsidR="00ED0F4C">
        <w:rPr>
          <w:rFonts w:ascii="Garamond" w:hAnsi="Garamond"/>
        </w:rPr>
        <w:t>“</w:t>
      </w:r>
      <w:proofErr w:type="spellStart"/>
      <w:r w:rsidRPr="003037D2">
        <w:rPr>
          <w:rFonts w:ascii="Garamond" w:hAnsi="Garamond"/>
        </w:rPr>
        <w:t>Wisdome</w:t>
      </w:r>
      <w:proofErr w:type="spellEnd"/>
      <w:r w:rsidRPr="003037D2">
        <w:rPr>
          <w:rFonts w:ascii="Garamond" w:hAnsi="Garamond"/>
        </w:rPr>
        <w:t xml:space="preserve"> the </w:t>
      </w:r>
      <w:proofErr w:type="spellStart"/>
      <w:r w:rsidRPr="003037D2">
        <w:rPr>
          <w:rFonts w:ascii="Garamond" w:hAnsi="Garamond"/>
        </w:rPr>
        <w:t>Wordes</w:t>
      </w:r>
      <w:proofErr w:type="spellEnd"/>
      <w:r w:rsidR="00ED0F4C">
        <w:rPr>
          <w:rFonts w:ascii="Garamond" w:hAnsi="Garamond"/>
        </w:rPr>
        <w:t>”</w:t>
      </w:r>
      <w:r w:rsidRPr="003037D2">
        <w:rPr>
          <w:rFonts w:ascii="Garamond" w:hAnsi="Garamond"/>
        </w:rPr>
        <w:t xml:space="preserve">: Psalm Translation and Elizabethan Women’s Spirituality’ in </w:t>
      </w:r>
      <w:r w:rsidRPr="003037D2">
        <w:rPr>
          <w:rFonts w:ascii="Garamond" w:hAnsi="Garamond"/>
          <w:i/>
        </w:rPr>
        <w:t>Religion and Literature,</w:t>
      </w:r>
      <w:r w:rsidRPr="003037D2">
        <w:rPr>
          <w:rFonts w:ascii="Garamond" w:hAnsi="Garamond"/>
        </w:rPr>
        <w:t xml:space="preserve"> 23 (1991), pp. 65-82</w:t>
      </w:r>
    </w:p>
    <w:bookmarkEnd w:id="265"/>
    <w:p w14:paraId="0B2DF2C1" w14:textId="0FA741DD" w:rsidR="00162224" w:rsidRPr="003037D2" w:rsidRDefault="00162224" w:rsidP="00A721D6">
      <w:pPr>
        <w:ind w:left="1361" w:hanging="720"/>
        <w:rPr>
          <w:rFonts w:ascii="Garamond" w:hAnsi="Garamond"/>
        </w:rPr>
      </w:pPr>
      <w:r w:rsidRPr="003037D2">
        <w:rPr>
          <w:rFonts w:ascii="Garamond" w:hAnsi="Garamond"/>
          <w:color w:val="000000"/>
          <w:shd w:val="clear" w:color="auto" w:fill="FFFFFF"/>
        </w:rPr>
        <w:t>___</w:t>
      </w:r>
      <w:proofErr w:type="gramStart"/>
      <w:r w:rsidRPr="003037D2">
        <w:rPr>
          <w:rFonts w:ascii="Garamond" w:hAnsi="Garamond"/>
          <w:color w:val="000000"/>
          <w:shd w:val="clear" w:color="auto" w:fill="FFFFFF"/>
        </w:rPr>
        <w:t>_ ,</w:t>
      </w:r>
      <w:proofErr w:type="gramEnd"/>
      <w:r w:rsidRPr="003037D2">
        <w:rPr>
          <w:rFonts w:ascii="Garamond" w:hAnsi="Garamond"/>
        </w:rPr>
        <w:t xml:space="preserve"> </w:t>
      </w:r>
      <w:bookmarkStart w:id="266" w:name="_Hlk532650194"/>
      <w:r w:rsidRPr="003037D2">
        <w:rPr>
          <w:rFonts w:ascii="Garamond" w:hAnsi="Garamond"/>
        </w:rPr>
        <w:t>‘</w:t>
      </w:r>
      <w:r w:rsidR="00161762">
        <w:rPr>
          <w:rFonts w:ascii="Garamond" w:hAnsi="Garamond"/>
        </w:rPr>
        <w:t>“</w:t>
      </w:r>
      <w:r w:rsidRPr="003037D2">
        <w:rPr>
          <w:rFonts w:ascii="Garamond" w:hAnsi="Garamond"/>
        </w:rPr>
        <w:t xml:space="preserve">Unlock my </w:t>
      </w:r>
      <w:proofErr w:type="spellStart"/>
      <w:r w:rsidRPr="003037D2">
        <w:rPr>
          <w:rFonts w:ascii="Garamond" w:hAnsi="Garamond"/>
        </w:rPr>
        <w:t>lipps</w:t>
      </w:r>
      <w:proofErr w:type="spellEnd"/>
      <w:r w:rsidR="00161762">
        <w:rPr>
          <w:rFonts w:ascii="Garamond" w:hAnsi="Garamond"/>
        </w:rPr>
        <w:t>”</w:t>
      </w:r>
      <w:r w:rsidRPr="003037D2">
        <w:rPr>
          <w:rFonts w:ascii="Garamond" w:hAnsi="Garamond"/>
        </w:rPr>
        <w:t xml:space="preserve">: The </w:t>
      </w:r>
      <w:r w:rsidRPr="003037D2">
        <w:rPr>
          <w:rFonts w:ascii="Garamond" w:hAnsi="Garamond"/>
          <w:i/>
        </w:rPr>
        <w:t xml:space="preserve">Miserere </w:t>
      </w:r>
      <w:proofErr w:type="spellStart"/>
      <w:r w:rsidRPr="003037D2">
        <w:rPr>
          <w:rFonts w:ascii="Garamond" w:hAnsi="Garamond"/>
          <w:i/>
        </w:rPr>
        <w:t>mei</w:t>
      </w:r>
      <w:proofErr w:type="spellEnd"/>
      <w:r w:rsidRPr="003037D2">
        <w:rPr>
          <w:rFonts w:ascii="Garamond" w:hAnsi="Garamond"/>
          <w:i/>
        </w:rPr>
        <w:t xml:space="preserve"> Deus</w:t>
      </w:r>
      <w:r w:rsidRPr="003037D2">
        <w:rPr>
          <w:rFonts w:ascii="Garamond" w:hAnsi="Garamond"/>
        </w:rPr>
        <w:t xml:space="preserve"> of Anne Vaughn Lok and Mary Sidney Herbert, Countess of Pembroke’ in </w:t>
      </w:r>
      <w:r w:rsidRPr="003037D2">
        <w:rPr>
          <w:rFonts w:ascii="Garamond" w:hAnsi="Garamond"/>
          <w:i/>
        </w:rPr>
        <w:t xml:space="preserve">Privileging Gender in Early Modern England, </w:t>
      </w:r>
      <w:r w:rsidRPr="003037D2">
        <w:rPr>
          <w:rFonts w:ascii="Garamond" w:hAnsi="Garamond"/>
        </w:rPr>
        <w:t>ed. by</w:t>
      </w:r>
      <w:r w:rsidRPr="003037D2">
        <w:rPr>
          <w:rFonts w:ascii="Garamond" w:hAnsi="Garamond"/>
          <w:i/>
        </w:rPr>
        <w:t xml:space="preserve"> </w:t>
      </w:r>
      <w:r w:rsidRPr="003037D2">
        <w:rPr>
          <w:rFonts w:ascii="Garamond" w:hAnsi="Garamond"/>
        </w:rPr>
        <w:t>Jane R. Brink (Kirksville, Mo. : Sixteenth Century Journal Publishers, 1993) pp. 19-36.</w:t>
      </w:r>
    </w:p>
    <w:bookmarkEnd w:id="266"/>
    <w:p w14:paraId="7CC67AD3" w14:textId="77777777" w:rsidR="00162224" w:rsidRPr="003037D2" w:rsidRDefault="00162224" w:rsidP="00A721D6">
      <w:pPr>
        <w:ind w:left="1361" w:hanging="720"/>
        <w:rPr>
          <w:rFonts w:ascii="Garamond" w:hAnsi="Garamond"/>
        </w:rPr>
      </w:pPr>
      <w:r w:rsidRPr="003037D2">
        <w:rPr>
          <w:rFonts w:ascii="Garamond" w:hAnsi="Garamond"/>
        </w:rPr>
        <w:t xml:space="preserve">Hasler, Rebecca, ‘Astrology and Comedic Truth: Thomas Middleton’s Use of Almanacs’ in </w:t>
      </w:r>
      <w:r w:rsidRPr="003037D2">
        <w:rPr>
          <w:rFonts w:ascii="Garamond" w:hAnsi="Garamond"/>
          <w:i/>
          <w:iCs/>
        </w:rPr>
        <w:t>Society for Renaissance Studies Conference</w:t>
      </w:r>
      <w:r w:rsidRPr="003037D2">
        <w:rPr>
          <w:rFonts w:ascii="Garamond" w:hAnsi="Garamond"/>
        </w:rPr>
        <w:t xml:space="preserve">, University of Sheffield, 3-5 July 2018 </w:t>
      </w:r>
    </w:p>
    <w:p w14:paraId="6562F101" w14:textId="3BB3BA24" w:rsidR="00162224" w:rsidRPr="003037D2" w:rsidRDefault="00162224" w:rsidP="00A721D6">
      <w:pPr>
        <w:ind w:left="1361" w:hanging="720"/>
        <w:rPr>
          <w:rFonts w:ascii="Garamond" w:hAnsi="Garamond"/>
        </w:rPr>
      </w:pPr>
      <w:r w:rsidRPr="003037D2">
        <w:rPr>
          <w:rFonts w:ascii="Garamond" w:hAnsi="Garamond"/>
        </w:rPr>
        <w:t>Havens, Earle, ‘</w:t>
      </w:r>
      <w:r w:rsidR="00ED0F4C">
        <w:rPr>
          <w:rFonts w:ascii="Garamond" w:hAnsi="Garamond"/>
        </w:rPr>
        <w:t>“</w:t>
      </w:r>
      <w:r w:rsidRPr="003037D2">
        <w:rPr>
          <w:rFonts w:ascii="Garamond" w:hAnsi="Garamond"/>
        </w:rPr>
        <w:t xml:space="preserve">Of Common places, or Memorial Books’: An anonymous manuscript on commonplace books and the Art of Memory in Seventeenth-Century England’ in </w:t>
      </w:r>
      <w:r w:rsidRPr="003037D2">
        <w:rPr>
          <w:rFonts w:ascii="Garamond" w:hAnsi="Garamond"/>
          <w:i/>
          <w:iCs/>
        </w:rPr>
        <w:t>Yale University Library Gazette</w:t>
      </w:r>
      <w:r w:rsidRPr="003037D2">
        <w:rPr>
          <w:rFonts w:ascii="Garamond" w:hAnsi="Garamond"/>
        </w:rPr>
        <w:t>, 76.3 (2002), pp. 136-153</w:t>
      </w:r>
    </w:p>
    <w:p w14:paraId="1FC4930D" w14:textId="77777777" w:rsidR="00162224" w:rsidRPr="003037D2" w:rsidRDefault="00162224" w:rsidP="00A721D6">
      <w:pPr>
        <w:ind w:left="1361" w:hanging="720"/>
        <w:rPr>
          <w:rFonts w:ascii="Garamond" w:hAnsi="Garamond"/>
        </w:rPr>
      </w:pPr>
      <w:r w:rsidRPr="003037D2">
        <w:rPr>
          <w:rFonts w:ascii="Garamond" w:hAnsi="Garamond"/>
        </w:rPr>
        <w:t xml:space="preserve">Hilaire, Danielle A. ‘The Grammar of Salvation and the Poetics of Possibility in Donne's Holy Sonnets’ in </w:t>
      </w:r>
      <w:r w:rsidRPr="003037D2">
        <w:rPr>
          <w:rFonts w:ascii="Garamond" w:hAnsi="Garamond"/>
          <w:i/>
        </w:rPr>
        <w:t>Studies in Philology</w:t>
      </w:r>
      <w:r w:rsidRPr="003037D2">
        <w:rPr>
          <w:rFonts w:ascii="Garamond" w:hAnsi="Garamond"/>
        </w:rPr>
        <w:t>, 114.3 (2017), pp. 591-608</w:t>
      </w:r>
    </w:p>
    <w:p w14:paraId="534A0B79" w14:textId="13A6073B" w:rsidR="00162224" w:rsidRPr="003037D2" w:rsidRDefault="00162224" w:rsidP="00A721D6">
      <w:pPr>
        <w:ind w:left="1361" w:hanging="720"/>
        <w:rPr>
          <w:rFonts w:ascii="Garamond" w:hAnsi="Garamond"/>
        </w:rPr>
      </w:pPr>
      <w:r w:rsidRPr="003037D2">
        <w:rPr>
          <w:rFonts w:ascii="Garamond" w:hAnsi="Garamond"/>
        </w:rPr>
        <w:t xml:space="preserve">Hill, Christopher, ‘Censorship and English Literature’ in </w:t>
      </w:r>
      <w:r w:rsidRPr="003037D2">
        <w:rPr>
          <w:rFonts w:ascii="Garamond" w:hAnsi="Garamond"/>
          <w:i/>
        </w:rPr>
        <w:t xml:space="preserve">Writing and Revolution in 17th Century England: The Collected Essays of Christopher Hill, Vol. I </w:t>
      </w:r>
      <w:r w:rsidRPr="003037D2">
        <w:rPr>
          <w:rFonts w:ascii="Garamond" w:hAnsi="Garamond"/>
        </w:rPr>
        <w:t>(Amherst, MA: The Harvester Press, 1985), pp. 32-71.</w:t>
      </w:r>
    </w:p>
    <w:p w14:paraId="5AA7122C" w14:textId="77777777" w:rsidR="00162224" w:rsidRPr="003037D2" w:rsidRDefault="00162224" w:rsidP="00A721D6">
      <w:pPr>
        <w:ind w:left="1361" w:hanging="720"/>
        <w:rPr>
          <w:rFonts w:ascii="Garamond" w:hAnsi="Garamond"/>
        </w:rPr>
      </w:pPr>
      <w:r w:rsidRPr="003037D2">
        <w:rPr>
          <w:rFonts w:ascii="Garamond" w:hAnsi="Garamond"/>
        </w:rPr>
        <w:t xml:space="preserve">Hiscock, Andrew, </w:t>
      </w:r>
      <w:r w:rsidRPr="003037D2">
        <w:rPr>
          <w:rFonts w:ascii="Garamond" w:hAnsi="Garamond"/>
          <w:i/>
          <w:iCs/>
        </w:rPr>
        <w:t xml:space="preserve">Reading Memory in early modern Literature </w:t>
      </w:r>
      <w:r w:rsidRPr="003037D2">
        <w:rPr>
          <w:rFonts w:ascii="Garamond" w:hAnsi="Garamond"/>
        </w:rPr>
        <w:t xml:space="preserve">(Cambridge: Cambridge University Press, 2014) </w:t>
      </w:r>
    </w:p>
    <w:p w14:paraId="56710D6E" w14:textId="183644C5" w:rsidR="00162224" w:rsidRPr="003037D2" w:rsidRDefault="00162224" w:rsidP="00A721D6">
      <w:pPr>
        <w:ind w:left="1361" w:hanging="720"/>
        <w:rPr>
          <w:rFonts w:ascii="Garamond" w:hAnsi="Garamond"/>
        </w:rPr>
      </w:pPr>
      <w:proofErr w:type="spellStart"/>
      <w:r w:rsidRPr="003037D2">
        <w:rPr>
          <w:rFonts w:ascii="Garamond" w:hAnsi="Garamond"/>
        </w:rPr>
        <w:t>Hodgkins</w:t>
      </w:r>
      <w:proofErr w:type="spellEnd"/>
      <w:r w:rsidRPr="003037D2">
        <w:rPr>
          <w:rFonts w:ascii="Garamond" w:hAnsi="Garamond"/>
        </w:rPr>
        <w:t>, Christopher, ‘</w:t>
      </w:r>
      <w:r w:rsidR="00ED0F4C">
        <w:rPr>
          <w:rFonts w:ascii="Garamond" w:hAnsi="Garamond"/>
        </w:rPr>
        <w:t>“</w:t>
      </w:r>
      <w:r w:rsidRPr="003037D2">
        <w:rPr>
          <w:rFonts w:ascii="Garamond" w:hAnsi="Garamond"/>
        </w:rPr>
        <w:t>Betwixt This World and That of Grace</w:t>
      </w:r>
      <w:r w:rsidR="00ED0F4C">
        <w:rPr>
          <w:rFonts w:ascii="Garamond" w:hAnsi="Garamond"/>
        </w:rPr>
        <w:t>”</w:t>
      </w:r>
      <w:r w:rsidRPr="003037D2">
        <w:rPr>
          <w:rFonts w:ascii="Garamond" w:hAnsi="Garamond"/>
        </w:rPr>
        <w:t xml:space="preserve">: George Herbert and the Church in Society’ in </w:t>
      </w:r>
      <w:r w:rsidRPr="003037D2">
        <w:rPr>
          <w:rFonts w:ascii="Garamond" w:hAnsi="Garamond"/>
          <w:i/>
          <w:iCs/>
        </w:rPr>
        <w:t xml:space="preserve">Studies in Philology, </w:t>
      </w:r>
      <w:r w:rsidRPr="003037D2">
        <w:rPr>
          <w:rFonts w:ascii="Garamond" w:hAnsi="Garamond"/>
        </w:rPr>
        <w:t xml:space="preserve">87.3 (Autumn, 1990), pp. 456-75 </w:t>
      </w:r>
    </w:p>
    <w:p w14:paraId="4A1D20EF" w14:textId="77777777" w:rsidR="00162224" w:rsidRPr="003037D2" w:rsidRDefault="00162224" w:rsidP="00A721D6">
      <w:pPr>
        <w:ind w:left="1361" w:hanging="720"/>
        <w:rPr>
          <w:rFonts w:ascii="Garamond" w:hAnsi="Garamond"/>
        </w:rPr>
      </w:pPr>
      <w:r w:rsidRPr="003037D2">
        <w:rPr>
          <w:rFonts w:ascii="Garamond" w:hAnsi="Garamond"/>
        </w:rPr>
        <w:t xml:space="preserve">Hollander, John, </w:t>
      </w:r>
      <w:r w:rsidRPr="003037D2">
        <w:rPr>
          <w:rFonts w:ascii="Garamond" w:hAnsi="Garamond"/>
          <w:i/>
          <w:iCs/>
        </w:rPr>
        <w:t xml:space="preserve">Vision and resonance: two senses of poetic form </w:t>
      </w:r>
      <w:r w:rsidRPr="003037D2">
        <w:rPr>
          <w:rFonts w:ascii="Garamond" w:hAnsi="Garamond"/>
        </w:rPr>
        <w:t xml:space="preserve">(New York: Oxford University Press, 1975) </w:t>
      </w:r>
    </w:p>
    <w:p w14:paraId="5A8540D9" w14:textId="77777777" w:rsidR="00162224" w:rsidRPr="003037D2" w:rsidRDefault="00162224" w:rsidP="00A721D6">
      <w:pPr>
        <w:ind w:left="1361" w:hanging="720"/>
        <w:rPr>
          <w:rFonts w:ascii="Garamond" w:hAnsi="Garamond"/>
        </w:rPr>
      </w:pPr>
      <w:r w:rsidRPr="003037D2">
        <w:rPr>
          <w:rFonts w:ascii="Garamond" w:hAnsi="Garamond"/>
          <w:i/>
          <w:iCs/>
        </w:rPr>
        <w:lastRenderedPageBreak/>
        <w:t xml:space="preserve"> </w:t>
      </w:r>
      <w:r w:rsidRPr="003037D2">
        <w:rPr>
          <w:rFonts w:ascii="Garamond" w:hAnsi="Garamond"/>
          <w:iCs/>
        </w:rPr>
        <w:t xml:space="preserve">Hoskin, Michael, </w:t>
      </w:r>
      <w:r w:rsidRPr="003037D2">
        <w:rPr>
          <w:rFonts w:ascii="Garamond" w:hAnsi="Garamond"/>
        </w:rPr>
        <w:t>‘From geometry to physics: astronomy transformed’ in</w:t>
      </w:r>
      <w:r w:rsidRPr="003037D2">
        <w:rPr>
          <w:rFonts w:ascii="Garamond" w:hAnsi="Garamond"/>
          <w:iCs/>
        </w:rPr>
        <w:t xml:space="preserve"> </w:t>
      </w:r>
      <w:r w:rsidRPr="003037D2">
        <w:rPr>
          <w:rFonts w:ascii="Garamond" w:hAnsi="Garamond"/>
          <w:i/>
          <w:iCs/>
        </w:rPr>
        <w:t xml:space="preserve">The Cambridge Concise History of Astronomy </w:t>
      </w:r>
      <w:r w:rsidRPr="003037D2">
        <w:rPr>
          <w:rFonts w:ascii="Garamond" w:hAnsi="Garamond"/>
        </w:rPr>
        <w:t xml:space="preserve">(Cambridge: Cambridge University Press, 1999), pp. 94-124 </w:t>
      </w:r>
    </w:p>
    <w:p w14:paraId="45159E5F" w14:textId="77777777" w:rsidR="00162224" w:rsidRPr="003037D2" w:rsidRDefault="00162224" w:rsidP="00A721D6">
      <w:pPr>
        <w:ind w:left="1361" w:hanging="720"/>
        <w:rPr>
          <w:rFonts w:ascii="Garamond" w:hAnsi="Garamond"/>
          <w:iCs/>
        </w:rPr>
      </w:pPr>
      <w:r w:rsidRPr="003037D2">
        <w:rPr>
          <w:rFonts w:ascii="Garamond" w:hAnsi="Garamond"/>
        </w:rPr>
        <w:t xml:space="preserve">Houston Wood, David, </w:t>
      </w:r>
      <w:r w:rsidRPr="003037D2">
        <w:rPr>
          <w:rFonts w:ascii="Garamond" w:hAnsi="Garamond"/>
          <w:i/>
          <w:iCs/>
        </w:rPr>
        <w:t xml:space="preserve">Time, narrative, and emotion in early modern England </w:t>
      </w:r>
      <w:r w:rsidRPr="003037D2">
        <w:rPr>
          <w:rFonts w:ascii="Garamond" w:hAnsi="Garamond"/>
          <w:iCs/>
        </w:rPr>
        <w:t>(</w:t>
      </w:r>
      <w:proofErr w:type="spellStart"/>
      <w:r w:rsidRPr="003037D2">
        <w:rPr>
          <w:rFonts w:ascii="Garamond" w:hAnsi="Garamond"/>
          <w:iCs/>
        </w:rPr>
        <w:t>Farnham</w:t>
      </w:r>
      <w:proofErr w:type="spellEnd"/>
      <w:r w:rsidRPr="003037D2">
        <w:rPr>
          <w:rFonts w:ascii="Garamond" w:hAnsi="Garamond"/>
          <w:iCs/>
        </w:rPr>
        <w:t xml:space="preserve">: Ashgate, 2009) </w:t>
      </w:r>
    </w:p>
    <w:p w14:paraId="69697EAC" w14:textId="77777777" w:rsidR="00162224" w:rsidRPr="003037D2" w:rsidRDefault="00162224" w:rsidP="00A721D6">
      <w:pPr>
        <w:ind w:left="1361" w:hanging="720"/>
        <w:rPr>
          <w:rFonts w:ascii="Garamond" w:hAnsi="Garamond"/>
          <w:iCs/>
        </w:rPr>
      </w:pPr>
      <w:r w:rsidRPr="003037D2">
        <w:rPr>
          <w:rFonts w:ascii="Garamond" w:hAnsi="Garamond"/>
          <w:iCs/>
        </w:rPr>
        <w:t xml:space="preserve">Hunt, Arnold, </w:t>
      </w:r>
      <w:r w:rsidRPr="003037D2">
        <w:rPr>
          <w:rFonts w:ascii="Garamond" w:hAnsi="Garamond"/>
          <w:i/>
          <w:iCs/>
        </w:rPr>
        <w:t xml:space="preserve">The Art of Hearing: English preachers and their audiences, 1590-1640 </w:t>
      </w:r>
      <w:r w:rsidRPr="003037D2">
        <w:rPr>
          <w:rFonts w:ascii="Garamond" w:hAnsi="Garamond"/>
          <w:iCs/>
        </w:rPr>
        <w:t xml:space="preserve">(Cambridge: Cambridge University Press, 2010) </w:t>
      </w:r>
    </w:p>
    <w:p w14:paraId="0F2D765D" w14:textId="77777777" w:rsidR="00162224" w:rsidRPr="003037D2" w:rsidRDefault="00162224" w:rsidP="00A721D6">
      <w:pPr>
        <w:ind w:left="1361" w:hanging="720"/>
        <w:rPr>
          <w:rFonts w:ascii="Garamond" w:hAnsi="Garamond"/>
          <w:iCs/>
        </w:rPr>
      </w:pPr>
      <w:r w:rsidRPr="003037D2">
        <w:rPr>
          <w:rFonts w:ascii="Garamond" w:hAnsi="Garamond"/>
          <w:iCs/>
        </w:rPr>
        <w:t xml:space="preserve">Hutton, Ronald, </w:t>
      </w:r>
      <w:r w:rsidRPr="003037D2">
        <w:rPr>
          <w:rFonts w:ascii="Garamond" w:hAnsi="Garamond"/>
          <w:i/>
          <w:iCs/>
        </w:rPr>
        <w:t xml:space="preserve">The Rise and Fall of Merry England: The Ritual Year 1400-1700 </w:t>
      </w:r>
      <w:r w:rsidRPr="003037D2">
        <w:rPr>
          <w:rFonts w:ascii="Garamond" w:hAnsi="Garamond"/>
          <w:iCs/>
        </w:rPr>
        <w:t>(Oxford: Oxford University Press, 1994)</w:t>
      </w:r>
    </w:p>
    <w:p w14:paraId="5E227426" w14:textId="77777777" w:rsidR="00162224" w:rsidRPr="003037D2" w:rsidRDefault="00162224" w:rsidP="00A721D6">
      <w:pPr>
        <w:ind w:left="1361" w:hanging="720"/>
        <w:rPr>
          <w:rFonts w:ascii="Garamond" w:hAnsi="Garamond"/>
          <w:iCs/>
        </w:rPr>
      </w:pPr>
      <w:r w:rsidRPr="003037D2">
        <w:rPr>
          <w:rFonts w:ascii="Garamond" w:hAnsi="Garamond"/>
        </w:rPr>
        <w:t xml:space="preserve">Idol, John, ‘George Herbert and John Ruskin’ in </w:t>
      </w:r>
      <w:r w:rsidRPr="003037D2">
        <w:rPr>
          <w:rFonts w:ascii="Garamond" w:hAnsi="Garamond"/>
          <w:i/>
        </w:rPr>
        <w:t xml:space="preserve">George Herbert Journal, </w:t>
      </w:r>
      <w:r w:rsidRPr="003037D2">
        <w:rPr>
          <w:rFonts w:ascii="Garamond" w:hAnsi="Garamond"/>
        </w:rPr>
        <w:t>4.1 (1980), pp. 11-28</w:t>
      </w:r>
    </w:p>
    <w:p w14:paraId="6ACEAFA4" w14:textId="067547E9" w:rsidR="00162224" w:rsidRPr="003037D2" w:rsidRDefault="00162224" w:rsidP="00A721D6">
      <w:pPr>
        <w:ind w:left="1361" w:hanging="720"/>
        <w:rPr>
          <w:rFonts w:ascii="Garamond" w:hAnsi="Garamond"/>
        </w:rPr>
      </w:pPr>
      <w:r w:rsidRPr="003037D2">
        <w:rPr>
          <w:rFonts w:ascii="Garamond" w:hAnsi="Garamond"/>
        </w:rPr>
        <w:t>Jackson, Simon, ‘</w:t>
      </w:r>
      <w:r w:rsidR="00ED0F4C">
        <w:rPr>
          <w:rFonts w:ascii="Garamond" w:hAnsi="Garamond"/>
        </w:rPr>
        <w:t>“</w:t>
      </w:r>
      <w:r w:rsidRPr="003037D2">
        <w:rPr>
          <w:rFonts w:ascii="Garamond" w:hAnsi="Garamond"/>
        </w:rPr>
        <w:t>Double Motion</w:t>
      </w:r>
      <w:r w:rsidR="00ED0F4C">
        <w:rPr>
          <w:rFonts w:ascii="Garamond" w:hAnsi="Garamond"/>
        </w:rPr>
        <w:t>”</w:t>
      </w:r>
      <w:r w:rsidRPr="003037D2">
        <w:rPr>
          <w:rFonts w:ascii="Garamond" w:hAnsi="Garamond"/>
        </w:rPr>
        <w:t xml:space="preserve">: Herbert and Seventeenth-Century Polyphonic Practice’ in </w:t>
      </w:r>
      <w:r w:rsidRPr="003037D2">
        <w:rPr>
          <w:rFonts w:ascii="Garamond" w:hAnsi="Garamond"/>
          <w:i/>
          <w:iCs/>
        </w:rPr>
        <w:t>George Herbert Journal</w:t>
      </w:r>
      <w:r w:rsidRPr="003037D2">
        <w:rPr>
          <w:rFonts w:ascii="Garamond" w:hAnsi="Garamond"/>
        </w:rPr>
        <w:t>, 37 (Fall 2013), pp. 146-161</w:t>
      </w:r>
    </w:p>
    <w:p w14:paraId="16351E9E" w14:textId="77777777" w:rsidR="00162224" w:rsidRPr="003037D2" w:rsidRDefault="00162224" w:rsidP="00A721D6">
      <w:pPr>
        <w:ind w:left="1361" w:hanging="720"/>
        <w:rPr>
          <w:rFonts w:ascii="Garamond" w:hAnsi="Garamond"/>
          <w:iCs/>
        </w:rPr>
      </w:pPr>
      <w:r w:rsidRPr="003037D2">
        <w:rPr>
          <w:rFonts w:ascii="Garamond" w:hAnsi="Garamond"/>
        </w:rPr>
        <w:t>Jameson, Fredric,</w:t>
      </w:r>
      <w:r w:rsidRPr="003037D2">
        <w:rPr>
          <w:rFonts w:ascii="Garamond" w:hAnsi="Garamond"/>
          <w:i/>
        </w:rPr>
        <w:t xml:space="preserve"> The Political Unconscious: Narrative as a Socially Symbolic Act </w:t>
      </w:r>
      <w:r w:rsidRPr="003037D2">
        <w:rPr>
          <w:rFonts w:ascii="Garamond" w:hAnsi="Garamond"/>
          <w:iCs/>
        </w:rPr>
        <w:t>(London: Routledge, 2002)</w:t>
      </w:r>
    </w:p>
    <w:p w14:paraId="0EE44694" w14:textId="7AED2F73" w:rsidR="00162224" w:rsidRPr="003037D2" w:rsidRDefault="00162224" w:rsidP="00A721D6">
      <w:pPr>
        <w:ind w:left="1361" w:hanging="720"/>
        <w:rPr>
          <w:rFonts w:ascii="Garamond" w:hAnsi="Garamond"/>
        </w:rPr>
      </w:pPr>
      <w:r w:rsidRPr="003037D2">
        <w:rPr>
          <w:rFonts w:ascii="Garamond" w:hAnsi="Garamond"/>
        </w:rPr>
        <w:t>Janssen, Lydia, </w:t>
      </w:r>
      <w:r w:rsidR="00ED0F4C">
        <w:rPr>
          <w:rFonts w:ascii="Garamond" w:hAnsi="Garamond"/>
        </w:rPr>
        <w:t>‘</w:t>
      </w:r>
      <w:r w:rsidRPr="003037D2">
        <w:rPr>
          <w:rFonts w:ascii="Garamond" w:hAnsi="Garamond"/>
        </w:rPr>
        <w:t xml:space="preserve">The rise of </w:t>
      </w:r>
      <w:r w:rsidR="00ED0F4C">
        <w:rPr>
          <w:rFonts w:ascii="Garamond" w:hAnsi="Garamond"/>
        </w:rPr>
        <w:t>“</w:t>
      </w:r>
      <w:r w:rsidRPr="003037D2">
        <w:rPr>
          <w:rFonts w:ascii="Garamond" w:hAnsi="Garamond"/>
        </w:rPr>
        <w:t>auxiliary sciences</w:t>
      </w:r>
      <w:r w:rsidR="00ED0F4C">
        <w:rPr>
          <w:rFonts w:ascii="Garamond" w:hAnsi="Garamond"/>
        </w:rPr>
        <w:t>”</w:t>
      </w:r>
      <w:r w:rsidRPr="003037D2">
        <w:rPr>
          <w:rFonts w:ascii="Garamond" w:hAnsi="Garamond"/>
        </w:rPr>
        <w:t xml:space="preserve"> in early modern national historiography: an </w:t>
      </w:r>
      <w:r w:rsidR="00ED0F4C">
        <w:rPr>
          <w:rFonts w:ascii="Garamond" w:hAnsi="Garamond"/>
        </w:rPr>
        <w:t>“</w:t>
      </w:r>
      <w:r w:rsidRPr="003037D2">
        <w:rPr>
          <w:rFonts w:ascii="Garamond" w:hAnsi="Garamond"/>
        </w:rPr>
        <w:t>interdisciplinary</w:t>
      </w:r>
      <w:r w:rsidR="00ED0F4C">
        <w:rPr>
          <w:rFonts w:ascii="Garamond" w:hAnsi="Garamond"/>
        </w:rPr>
        <w:t>”</w:t>
      </w:r>
      <w:r w:rsidRPr="003037D2">
        <w:rPr>
          <w:rFonts w:ascii="Garamond" w:hAnsi="Garamond"/>
        </w:rPr>
        <w:t xml:space="preserve"> answer to historical </w:t>
      </w:r>
      <w:proofErr w:type="spellStart"/>
      <w:r w:rsidRPr="003037D2">
        <w:rPr>
          <w:rFonts w:ascii="Garamond" w:hAnsi="Garamond"/>
        </w:rPr>
        <w:t>scepticism</w:t>
      </w:r>
      <w:proofErr w:type="spellEnd"/>
      <w:r w:rsidRPr="003037D2">
        <w:rPr>
          <w:rFonts w:ascii="Garamond" w:hAnsi="Garamond"/>
        </w:rPr>
        <w:t>’ in </w:t>
      </w:r>
      <w:r w:rsidRPr="003037D2">
        <w:rPr>
          <w:rFonts w:ascii="Garamond" w:hAnsi="Garamond"/>
          <w:i/>
          <w:iCs/>
        </w:rPr>
        <w:t>History of European Ideas</w:t>
      </w:r>
      <w:r w:rsidRPr="003037D2">
        <w:rPr>
          <w:rFonts w:ascii="Garamond" w:hAnsi="Garamond"/>
        </w:rPr>
        <w:t>, 43.5 (2017), pp. 427-441</w:t>
      </w:r>
    </w:p>
    <w:p w14:paraId="66745190" w14:textId="77777777" w:rsidR="00162224" w:rsidRPr="003037D2" w:rsidRDefault="00162224" w:rsidP="00A721D6">
      <w:pPr>
        <w:ind w:left="1361" w:hanging="720"/>
        <w:rPr>
          <w:rFonts w:ascii="Garamond" w:hAnsi="Garamond"/>
        </w:rPr>
      </w:pPr>
      <w:r w:rsidRPr="003037D2">
        <w:rPr>
          <w:rFonts w:ascii="Garamond" w:hAnsi="Garamond"/>
        </w:rPr>
        <w:t xml:space="preserve">Jeffries, Tania Claire, ‘Hastings, Lucy, countess of Huntingdon (1613–1679)’, </w:t>
      </w:r>
      <w:r w:rsidRPr="003037D2">
        <w:rPr>
          <w:rFonts w:ascii="Garamond" w:hAnsi="Garamond"/>
          <w:i/>
        </w:rPr>
        <w:t>Oxford Dictionary of National Biography</w:t>
      </w:r>
      <w:r w:rsidRPr="003037D2">
        <w:rPr>
          <w:rFonts w:ascii="Garamond" w:hAnsi="Garamond"/>
        </w:rPr>
        <w:t>, Oxford University Press, 2004 &lt;http://www.oxforddnb.com/view/article/65147&gt; [accessed 21 September 2016]</w:t>
      </w:r>
    </w:p>
    <w:p w14:paraId="1769EB30" w14:textId="3C4025D7" w:rsidR="00162224" w:rsidRPr="003037D2" w:rsidRDefault="00162224" w:rsidP="00A721D6">
      <w:pPr>
        <w:ind w:left="1361" w:hanging="720"/>
        <w:rPr>
          <w:rFonts w:ascii="Garamond" w:hAnsi="Garamond"/>
        </w:rPr>
      </w:pPr>
      <w:r w:rsidRPr="003037D2">
        <w:rPr>
          <w:rFonts w:ascii="Garamond" w:hAnsi="Garamond"/>
        </w:rPr>
        <w:t xml:space="preserve">Johns, Adrian, ‘London and the early modern book’ in </w:t>
      </w:r>
      <w:r w:rsidRPr="003037D2">
        <w:rPr>
          <w:rFonts w:ascii="Garamond" w:hAnsi="Garamond"/>
          <w:i/>
        </w:rPr>
        <w:t>The Cambridge Companion to the Literature of London</w:t>
      </w:r>
      <w:r w:rsidR="0065623B">
        <w:rPr>
          <w:rFonts w:ascii="Garamond" w:hAnsi="Garamond"/>
          <w:i/>
        </w:rPr>
        <w:t>,</w:t>
      </w:r>
      <w:r w:rsidRPr="003037D2">
        <w:rPr>
          <w:rFonts w:ascii="Garamond" w:hAnsi="Garamond"/>
          <w:i/>
        </w:rPr>
        <w:t xml:space="preserve"> </w:t>
      </w:r>
      <w:r w:rsidRPr="003037D2">
        <w:rPr>
          <w:rFonts w:ascii="Garamond" w:hAnsi="Garamond"/>
        </w:rPr>
        <w:t xml:space="preserve">ed. </w:t>
      </w:r>
      <w:r w:rsidR="0065623B">
        <w:rPr>
          <w:rFonts w:ascii="Garamond" w:hAnsi="Garamond"/>
        </w:rPr>
        <w:t xml:space="preserve">by </w:t>
      </w:r>
      <w:r w:rsidRPr="003037D2">
        <w:rPr>
          <w:rFonts w:ascii="Garamond" w:hAnsi="Garamond"/>
        </w:rPr>
        <w:t>Lawrence Manley (Cambridge: Cambridge University Press, 2011), pp. 50-66</w:t>
      </w:r>
    </w:p>
    <w:p w14:paraId="55705D2A" w14:textId="77777777" w:rsidR="00162224" w:rsidRPr="003037D2" w:rsidRDefault="00162224" w:rsidP="00A721D6">
      <w:pPr>
        <w:ind w:left="1361" w:hanging="720"/>
        <w:rPr>
          <w:rFonts w:ascii="Garamond" w:hAnsi="Garamond"/>
        </w:rPr>
      </w:pPr>
      <w:r w:rsidRPr="003037D2">
        <w:rPr>
          <w:rFonts w:ascii="Garamond" w:hAnsi="Garamond"/>
        </w:rPr>
        <w:t xml:space="preserve">Johnson, Jeffrey, </w:t>
      </w:r>
      <w:r w:rsidRPr="003037D2">
        <w:rPr>
          <w:rFonts w:ascii="Garamond" w:hAnsi="Garamond"/>
          <w:i/>
          <w:iCs/>
        </w:rPr>
        <w:t xml:space="preserve">The Theology of John Donne </w:t>
      </w:r>
      <w:r w:rsidRPr="003037D2">
        <w:rPr>
          <w:rFonts w:ascii="Garamond" w:hAnsi="Garamond"/>
          <w:iCs/>
        </w:rPr>
        <w:t>(</w:t>
      </w:r>
      <w:r w:rsidRPr="003037D2">
        <w:rPr>
          <w:rFonts w:ascii="Garamond" w:hAnsi="Garamond"/>
        </w:rPr>
        <w:t xml:space="preserve">Cambridge: Brewer, 1991) </w:t>
      </w:r>
    </w:p>
    <w:p w14:paraId="52B2EE19" w14:textId="77777777" w:rsidR="00162224" w:rsidRPr="003037D2" w:rsidRDefault="00162224" w:rsidP="00A721D6">
      <w:pPr>
        <w:ind w:left="1361" w:hanging="720"/>
        <w:rPr>
          <w:rFonts w:ascii="Garamond" w:hAnsi="Garamond"/>
        </w:rPr>
      </w:pPr>
      <w:r w:rsidRPr="003037D2">
        <w:rPr>
          <w:rFonts w:ascii="Garamond" w:hAnsi="Garamond"/>
        </w:rPr>
        <w:t xml:space="preserve">Jones, Norman L. ‘Matthew Parker, John Bale, and the Magdeburg </w:t>
      </w:r>
      <w:proofErr w:type="spellStart"/>
      <w:r w:rsidRPr="003037D2">
        <w:rPr>
          <w:rFonts w:ascii="Garamond" w:hAnsi="Garamond"/>
        </w:rPr>
        <w:t>Centuriators</w:t>
      </w:r>
      <w:proofErr w:type="spellEnd"/>
      <w:r w:rsidRPr="003037D2">
        <w:rPr>
          <w:rFonts w:ascii="Garamond" w:hAnsi="Garamond"/>
        </w:rPr>
        <w:t xml:space="preserve">’ in </w:t>
      </w:r>
      <w:r w:rsidRPr="003037D2">
        <w:rPr>
          <w:rFonts w:ascii="Garamond" w:hAnsi="Garamond"/>
          <w:i/>
        </w:rPr>
        <w:t xml:space="preserve">The Sixteenth Century Journal, </w:t>
      </w:r>
      <w:r w:rsidRPr="003037D2">
        <w:rPr>
          <w:rFonts w:ascii="Garamond" w:hAnsi="Garamond"/>
        </w:rPr>
        <w:t xml:space="preserve">12.3 (Autumn, 1981), pp. 35-40 </w:t>
      </w:r>
    </w:p>
    <w:p w14:paraId="356506C1" w14:textId="77777777" w:rsidR="00162224" w:rsidRPr="003037D2" w:rsidRDefault="00162224" w:rsidP="00A721D6">
      <w:pPr>
        <w:ind w:left="1361" w:hanging="720"/>
        <w:rPr>
          <w:rFonts w:ascii="Garamond" w:hAnsi="Garamond"/>
        </w:rPr>
      </w:pPr>
      <w:r w:rsidRPr="003037D2">
        <w:rPr>
          <w:rFonts w:ascii="Garamond" w:hAnsi="Garamond"/>
        </w:rPr>
        <w:t xml:space="preserve">Jones-Baker, </w:t>
      </w:r>
      <w:proofErr w:type="spellStart"/>
      <w:r w:rsidRPr="003037D2">
        <w:rPr>
          <w:rFonts w:ascii="Garamond" w:hAnsi="Garamond"/>
        </w:rPr>
        <w:t>Dorris</w:t>
      </w:r>
      <w:proofErr w:type="spellEnd"/>
      <w:r w:rsidRPr="003037D2">
        <w:rPr>
          <w:rFonts w:ascii="Garamond" w:hAnsi="Garamond"/>
        </w:rPr>
        <w:t xml:space="preserve">, ‘Graffiti in Cotswold Churches’ in </w:t>
      </w:r>
      <w:r w:rsidRPr="003037D2">
        <w:rPr>
          <w:rFonts w:ascii="Garamond" w:hAnsi="Garamond"/>
          <w:i/>
        </w:rPr>
        <w:t xml:space="preserve">Folklore, </w:t>
      </w:r>
      <w:r w:rsidRPr="003037D2">
        <w:rPr>
          <w:rFonts w:ascii="Garamond" w:hAnsi="Garamond"/>
        </w:rPr>
        <w:t xml:space="preserve">92.2 (1981), pp. 160-67 </w:t>
      </w:r>
    </w:p>
    <w:p w14:paraId="7FC0F380" w14:textId="77777777" w:rsidR="00162224" w:rsidRPr="003037D2" w:rsidRDefault="00162224" w:rsidP="00A721D6">
      <w:pPr>
        <w:ind w:left="1361" w:hanging="720"/>
        <w:rPr>
          <w:rFonts w:ascii="Garamond" w:hAnsi="Garamond"/>
        </w:rPr>
      </w:pPr>
      <w:proofErr w:type="spellStart"/>
      <w:r w:rsidRPr="003037D2">
        <w:rPr>
          <w:rFonts w:ascii="Garamond" w:hAnsi="Garamond"/>
        </w:rPr>
        <w:t>Jordanova</w:t>
      </w:r>
      <w:proofErr w:type="spellEnd"/>
      <w:r w:rsidRPr="003037D2">
        <w:rPr>
          <w:rFonts w:ascii="Garamond" w:hAnsi="Garamond"/>
        </w:rPr>
        <w:t xml:space="preserve">, Ludmilla, </w:t>
      </w:r>
      <w:r w:rsidRPr="003037D2">
        <w:rPr>
          <w:rFonts w:ascii="Garamond" w:hAnsi="Garamond"/>
          <w:i/>
          <w:iCs/>
        </w:rPr>
        <w:t xml:space="preserve">History in Practice </w:t>
      </w:r>
      <w:r w:rsidRPr="003037D2">
        <w:rPr>
          <w:rFonts w:ascii="Garamond" w:hAnsi="Garamond"/>
        </w:rPr>
        <w:t>(London: Bloomsbury, 2006)</w:t>
      </w:r>
    </w:p>
    <w:p w14:paraId="284A6A17" w14:textId="77777777" w:rsidR="00162224" w:rsidRPr="003037D2" w:rsidRDefault="00162224" w:rsidP="00A721D6">
      <w:pPr>
        <w:ind w:left="1361" w:hanging="720"/>
        <w:rPr>
          <w:rFonts w:ascii="Garamond" w:hAnsi="Garamond"/>
        </w:rPr>
      </w:pPr>
      <w:proofErr w:type="spellStart"/>
      <w:r w:rsidRPr="003037D2">
        <w:rPr>
          <w:rFonts w:ascii="Garamond" w:hAnsi="Garamond"/>
        </w:rPr>
        <w:t>Kastan</w:t>
      </w:r>
      <w:proofErr w:type="spellEnd"/>
      <w:r w:rsidRPr="003037D2">
        <w:rPr>
          <w:rFonts w:ascii="Garamond" w:hAnsi="Garamond"/>
        </w:rPr>
        <w:t xml:space="preserve">, David Scott, </w:t>
      </w:r>
      <w:r w:rsidRPr="003037D2">
        <w:rPr>
          <w:rFonts w:ascii="Garamond" w:hAnsi="Garamond"/>
          <w:i/>
          <w:iCs/>
        </w:rPr>
        <w:t xml:space="preserve">Shakespeare After Theory </w:t>
      </w:r>
      <w:r w:rsidRPr="003037D2">
        <w:rPr>
          <w:rFonts w:ascii="Garamond" w:hAnsi="Garamond"/>
        </w:rPr>
        <w:t xml:space="preserve">(London: Routledge, 1999) </w:t>
      </w:r>
    </w:p>
    <w:p w14:paraId="49D4C01C" w14:textId="77777777" w:rsidR="00162224" w:rsidRPr="003037D2" w:rsidRDefault="00162224" w:rsidP="00A721D6">
      <w:pPr>
        <w:ind w:left="1361" w:hanging="720"/>
        <w:rPr>
          <w:rFonts w:ascii="Garamond" w:hAnsi="Garamond"/>
        </w:rPr>
      </w:pPr>
      <w:r w:rsidRPr="003037D2">
        <w:rPr>
          <w:rFonts w:ascii="Garamond" w:hAnsi="Garamond"/>
        </w:rPr>
        <w:t xml:space="preserve">Sean Kelsey, ‘Danvers, Sir John (1584/5–1655)’, in </w:t>
      </w:r>
      <w:r w:rsidRPr="003037D2">
        <w:rPr>
          <w:rFonts w:ascii="Garamond" w:hAnsi="Garamond"/>
          <w:i/>
          <w:iCs/>
        </w:rPr>
        <w:t>Oxford Dictionary of National Biography</w:t>
      </w:r>
      <w:r w:rsidRPr="003037D2">
        <w:rPr>
          <w:rFonts w:ascii="Garamond" w:hAnsi="Garamond"/>
        </w:rPr>
        <w:t>, Oxford University Press, 2004 &lt;http://www.oxforddnb.com.sheffield.idm.oclc.org/view/article/7135&gt; [accessed 26 Nov 2017]</w:t>
      </w:r>
    </w:p>
    <w:p w14:paraId="01DABE27" w14:textId="60587CC8" w:rsidR="00162224" w:rsidRPr="003037D2" w:rsidRDefault="00162224" w:rsidP="00A721D6">
      <w:pPr>
        <w:ind w:left="1361" w:hanging="720"/>
        <w:rPr>
          <w:rFonts w:ascii="Garamond" w:hAnsi="Garamond"/>
          <w:iCs/>
        </w:rPr>
      </w:pPr>
      <w:r w:rsidRPr="003037D2">
        <w:rPr>
          <w:rFonts w:ascii="Garamond" w:hAnsi="Garamond"/>
          <w:iCs/>
        </w:rPr>
        <w:t xml:space="preserve">Killeen, Kevin, Helen Smith, and Rachel Willie eds, </w:t>
      </w:r>
      <w:r w:rsidRPr="003037D2">
        <w:rPr>
          <w:rFonts w:ascii="Garamond" w:hAnsi="Garamond"/>
          <w:i/>
          <w:iCs/>
        </w:rPr>
        <w:t xml:space="preserve">The Oxford Handbook of the Bible in Early Modern England, c.1530-1700 </w:t>
      </w:r>
      <w:r w:rsidRPr="003037D2">
        <w:rPr>
          <w:rFonts w:ascii="Garamond" w:hAnsi="Garamond"/>
          <w:iCs/>
        </w:rPr>
        <w:t>(Oxford: Oxford University Press, 2015)</w:t>
      </w:r>
    </w:p>
    <w:p w14:paraId="3FBD98B0" w14:textId="77777777" w:rsidR="00162224" w:rsidRPr="003037D2" w:rsidRDefault="00162224" w:rsidP="00A721D6">
      <w:pPr>
        <w:ind w:left="1361" w:hanging="720"/>
        <w:rPr>
          <w:rFonts w:ascii="Garamond" w:hAnsi="Garamond"/>
        </w:rPr>
      </w:pPr>
      <w:proofErr w:type="spellStart"/>
      <w:r w:rsidRPr="003037D2">
        <w:rPr>
          <w:rFonts w:ascii="Garamond" w:hAnsi="Garamond"/>
        </w:rPr>
        <w:t>Kristenva</w:t>
      </w:r>
      <w:proofErr w:type="spellEnd"/>
      <w:r w:rsidRPr="003037D2">
        <w:rPr>
          <w:rFonts w:ascii="Garamond" w:hAnsi="Garamond"/>
        </w:rPr>
        <w:t xml:space="preserve">, Julia, translated by Alice Jardine and Harry Blake, ‘Women’s Time’ in </w:t>
      </w:r>
      <w:r w:rsidRPr="003037D2">
        <w:rPr>
          <w:rFonts w:ascii="Garamond" w:hAnsi="Garamond"/>
          <w:i/>
          <w:iCs/>
        </w:rPr>
        <w:t xml:space="preserve">Signs, </w:t>
      </w:r>
      <w:r w:rsidRPr="003037D2">
        <w:rPr>
          <w:rFonts w:ascii="Garamond" w:hAnsi="Garamond"/>
        </w:rPr>
        <w:t xml:space="preserve">7.1 (Autumn, 1981), pp. 13-35 [Originally published as ‘Le Temps des femmes’ in </w:t>
      </w:r>
      <w:r w:rsidRPr="003037D2">
        <w:rPr>
          <w:rFonts w:ascii="Garamond" w:hAnsi="Garamond"/>
          <w:i/>
          <w:iCs/>
        </w:rPr>
        <w:t xml:space="preserve">Cahiers de recherché de sciences des </w:t>
      </w:r>
      <w:proofErr w:type="spellStart"/>
      <w:r w:rsidRPr="003037D2">
        <w:rPr>
          <w:rFonts w:ascii="Garamond" w:hAnsi="Garamond"/>
          <w:i/>
          <w:iCs/>
        </w:rPr>
        <w:t>textes</w:t>
      </w:r>
      <w:proofErr w:type="spellEnd"/>
      <w:r w:rsidRPr="003037D2">
        <w:rPr>
          <w:rFonts w:ascii="Garamond" w:hAnsi="Garamond"/>
          <w:i/>
          <w:iCs/>
        </w:rPr>
        <w:t xml:space="preserve"> et documents, </w:t>
      </w:r>
      <w:r w:rsidRPr="003037D2">
        <w:rPr>
          <w:rFonts w:ascii="Garamond" w:hAnsi="Garamond"/>
        </w:rPr>
        <w:t xml:space="preserve">5 (Winter 1979), pp. 5-19]  </w:t>
      </w:r>
    </w:p>
    <w:p w14:paraId="67976C75" w14:textId="7426513F" w:rsidR="00162224" w:rsidRPr="003037D2" w:rsidRDefault="00162224" w:rsidP="00A721D6">
      <w:pPr>
        <w:ind w:left="1361" w:hanging="720"/>
        <w:rPr>
          <w:rFonts w:ascii="Garamond" w:hAnsi="Garamond"/>
        </w:rPr>
      </w:pPr>
      <w:r w:rsidRPr="003037D2">
        <w:rPr>
          <w:rFonts w:ascii="Garamond" w:hAnsi="Garamond"/>
        </w:rPr>
        <w:t xml:space="preserve">Lake, Peter, ‘Joseph Hall, Robert Skinner and the rhetoric of moderation at the early Stuart court’ in </w:t>
      </w:r>
      <w:r w:rsidRPr="003037D2">
        <w:rPr>
          <w:rFonts w:ascii="Garamond" w:hAnsi="Garamond"/>
          <w:i/>
        </w:rPr>
        <w:t>The English Sermon Revised</w:t>
      </w:r>
      <w:r w:rsidR="00814479">
        <w:rPr>
          <w:rFonts w:ascii="Garamond" w:hAnsi="Garamond"/>
          <w:i/>
        </w:rPr>
        <w:t>,</w:t>
      </w:r>
      <w:r w:rsidRPr="003037D2">
        <w:rPr>
          <w:rFonts w:ascii="Garamond" w:hAnsi="Garamond"/>
          <w:i/>
        </w:rPr>
        <w:t xml:space="preserve"> </w:t>
      </w:r>
      <w:r w:rsidRPr="003037D2">
        <w:rPr>
          <w:rFonts w:ascii="Garamond" w:hAnsi="Garamond"/>
        </w:rPr>
        <w:t xml:space="preserve">ed. Lori Anne Ferrell and Peter McCullough </w:t>
      </w:r>
      <w:bookmarkStart w:id="267" w:name="_Hlk530558798"/>
      <w:r w:rsidRPr="003037D2">
        <w:rPr>
          <w:rFonts w:ascii="Garamond" w:hAnsi="Garamond"/>
        </w:rPr>
        <w:t xml:space="preserve">(Manchester: Manchester University Press, 2000), </w:t>
      </w:r>
      <w:bookmarkEnd w:id="267"/>
      <w:r w:rsidRPr="003037D2">
        <w:rPr>
          <w:rFonts w:ascii="Garamond" w:hAnsi="Garamond"/>
        </w:rPr>
        <w:t xml:space="preserve">pp. 167-87 </w:t>
      </w:r>
    </w:p>
    <w:p w14:paraId="3728B127" w14:textId="77777777" w:rsidR="00162224" w:rsidRPr="003037D2" w:rsidRDefault="00162224" w:rsidP="00A721D6">
      <w:pPr>
        <w:ind w:left="1361" w:hanging="720"/>
        <w:rPr>
          <w:rFonts w:ascii="Garamond" w:hAnsi="Garamond"/>
        </w:rPr>
      </w:pPr>
      <w:r w:rsidRPr="003037D2">
        <w:rPr>
          <w:rFonts w:ascii="Garamond" w:hAnsi="Garamond"/>
        </w:rPr>
        <w:t xml:space="preserve">Latour, Bruno, </w:t>
      </w:r>
      <w:proofErr w:type="gramStart"/>
      <w:r w:rsidRPr="003037D2">
        <w:rPr>
          <w:rFonts w:ascii="Garamond" w:hAnsi="Garamond"/>
          <w:i/>
        </w:rPr>
        <w:t>We</w:t>
      </w:r>
      <w:proofErr w:type="gramEnd"/>
      <w:r w:rsidRPr="003037D2">
        <w:rPr>
          <w:rFonts w:ascii="Garamond" w:hAnsi="Garamond"/>
          <w:i/>
        </w:rPr>
        <w:t xml:space="preserve"> have Never been Modern</w:t>
      </w:r>
      <w:r w:rsidRPr="003037D2">
        <w:rPr>
          <w:rFonts w:ascii="Garamond" w:hAnsi="Garamond"/>
        </w:rPr>
        <w:t xml:space="preserve">, translated by Catherine Porter (London: Longman Press, 1993) </w:t>
      </w:r>
    </w:p>
    <w:p w14:paraId="2F20E72E" w14:textId="77777777" w:rsidR="00162224" w:rsidRPr="003037D2" w:rsidRDefault="00162224" w:rsidP="00A721D6">
      <w:pPr>
        <w:ind w:left="1361" w:hanging="720"/>
        <w:rPr>
          <w:rFonts w:ascii="Garamond" w:hAnsi="Garamond"/>
        </w:rPr>
      </w:pPr>
      <w:r w:rsidRPr="003037D2">
        <w:rPr>
          <w:rFonts w:ascii="Garamond" w:hAnsi="Garamond"/>
        </w:rPr>
        <w:t>Leach, Elsie, ‘More seventeenth-century admirers of Herbert’ in N</w:t>
      </w:r>
      <w:r w:rsidRPr="003037D2">
        <w:rPr>
          <w:rFonts w:ascii="Garamond" w:hAnsi="Garamond"/>
          <w:i/>
        </w:rPr>
        <w:t>otes and Queries</w:t>
      </w:r>
      <w:r w:rsidRPr="003037D2">
        <w:rPr>
          <w:rFonts w:ascii="Garamond" w:hAnsi="Garamond"/>
        </w:rPr>
        <w:t>, 7.2 (February 1960), pp. 62–63</w:t>
      </w:r>
    </w:p>
    <w:p w14:paraId="1C51AA87" w14:textId="68838AAE" w:rsidR="00162224" w:rsidRPr="003037D2" w:rsidRDefault="00162224" w:rsidP="00A721D6">
      <w:pPr>
        <w:ind w:left="1361" w:hanging="720"/>
        <w:rPr>
          <w:rFonts w:ascii="Garamond" w:hAnsi="Garamond"/>
        </w:rPr>
      </w:pPr>
      <w:r w:rsidRPr="003037D2">
        <w:rPr>
          <w:rFonts w:ascii="Garamond" w:hAnsi="Garamond"/>
        </w:rPr>
        <w:t xml:space="preserve">Leaver, Robin, </w:t>
      </w:r>
      <w:proofErr w:type="spellStart"/>
      <w:r w:rsidRPr="003037D2">
        <w:rPr>
          <w:rFonts w:ascii="Garamond" w:hAnsi="Garamond"/>
          <w:i/>
          <w:iCs/>
        </w:rPr>
        <w:t>Goostly</w:t>
      </w:r>
      <w:proofErr w:type="spellEnd"/>
      <w:r w:rsidRPr="003037D2">
        <w:rPr>
          <w:rFonts w:ascii="Garamond" w:hAnsi="Garamond"/>
          <w:i/>
          <w:iCs/>
        </w:rPr>
        <w:t xml:space="preserve"> Psalms and </w:t>
      </w:r>
      <w:proofErr w:type="spellStart"/>
      <w:r w:rsidRPr="003037D2">
        <w:rPr>
          <w:rFonts w:ascii="Garamond" w:hAnsi="Garamond"/>
          <w:i/>
          <w:iCs/>
        </w:rPr>
        <w:t>Spirituall</w:t>
      </w:r>
      <w:proofErr w:type="spellEnd"/>
      <w:r w:rsidRPr="003037D2">
        <w:rPr>
          <w:rFonts w:ascii="Garamond" w:hAnsi="Garamond"/>
          <w:i/>
          <w:iCs/>
        </w:rPr>
        <w:t xml:space="preserve"> </w:t>
      </w:r>
      <w:proofErr w:type="spellStart"/>
      <w:r w:rsidRPr="003037D2">
        <w:rPr>
          <w:rFonts w:ascii="Garamond" w:hAnsi="Garamond"/>
          <w:i/>
          <w:iCs/>
        </w:rPr>
        <w:t>Songes</w:t>
      </w:r>
      <w:proofErr w:type="spellEnd"/>
      <w:r w:rsidRPr="003037D2">
        <w:rPr>
          <w:rFonts w:ascii="Garamond" w:hAnsi="Garamond"/>
          <w:i/>
          <w:iCs/>
        </w:rPr>
        <w:t xml:space="preserve">: English and Dutch Metrical Psalms from Coverdale to </w:t>
      </w:r>
      <w:proofErr w:type="spellStart"/>
      <w:r w:rsidRPr="003037D2">
        <w:rPr>
          <w:rFonts w:ascii="Garamond" w:hAnsi="Garamond"/>
          <w:i/>
          <w:iCs/>
        </w:rPr>
        <w:t>Utenhove</w:t>
      </w:r>
      <w:proofErr w:type="spellEnd"/>
      <w:r w:rsidRPr="003037D2">
        <w:rPr>
          <w:rFonts w:ascii="Garamond" w:hAnsi="Garamond"/>
          <w:i/>
          <w:iCs/>
        </w:rPr>
        <w:t xml:space="preserve">, 1533-1566 </w:t>
      </w:r>
      <w:r w:rsidRPr="003037D2">
        <w:rPr>
          <w:rFonts w:ascii="Garamond" w:hAnsi="Garamond"/>
        </w:rPr>
        <w:t>(Oxford: Oxford University Press, 1991)</w:t>
      </w:r>
    </w:p>
    <w:p w14:paraId="196C1A84" w14:textId="7C5E6209" w:rsidR="00680BCB" w:rsidRPr="003037D2" w:rsidRDefault="00680BCB" w:rsidP="00A721D6">
      <w:pPr>
        <w:ind w:left="1361" w:hanging="720"/>
        <w:rPr>
          <w:rFonts w:ascii="Garamond" w:hAnsi="Garamond"/>
        </w:rPr>
      </w:pPr>
      <w:proofErr w:type="spellStart"/>
      <w:r w:rsidRPr="003037D2">
        <w:rPr>
          <w:rFonts w:ascii="Garamond" w:hAnsi="Garamond"/>
        </w:rPr>
        <w:lastRenderedPageBreak/>
        <w:t>Levack</w:t>
      </w:r>
      <w:proofErr w:type="spellEnd"/>
      <w:r w:rsidRPr="003037D2">
        <w:rPr>
          <w:rFonts w:ascii="Garamond" w:hAnsi="Garamond"/>
        </w:rPr>
        <w:t xml:space="preserve">, Brian P., </w:t>
      </w:r>
      <w:r w:rsidRPr="003037D2">
        <w:rPr>
          <w:rFonts w:ascii="Garamond" w:hAnsi="Garamond"/>
          <w:i/>
        </w:rPr>
        <w:t>The Formation of the British State: England, Scotland, and the Union, 1603-1707</w:t>
      </w:r>
      <w:r w:rsidRPr="003037D2">
        <w:rPr>
          <w:rFonts w:ascii="Garamond" w:hAnsi="Garamond"/>
        </w:rPr>
        <w:t xml:space="preserve"> (Oxford: Oxford University Press, 1987)</w:t>
      </w:r>
    </w:p>
    <w:p w14:paraId="0407B638" w14:textId="77777777" w:rsidR="00162224" w:rsidRPr="003037D2" w:rsidRDefault="00162224" w:rsidP="00A721D6">
      <w:pPr>
        <w:ind w:left="1361" w:hanging="720"/>
        <w:rPr>
          <w:rFonts w:ascii="Garamond" w:hAnsi="Garamond"/>
        </w:rPr>
      </w:pPr>
      <w:proofErr w:type="spellStart"/>
      <w:r w:rsidRPr="003037D2">
        <w:rPr>
          <w:rFonts w:ascii="Garamond" w:hAnsi="Garamond"/>
        </w:rPr>
        <w:t>Lewalski</w:t>
      </w:r>
      <w:proofErr w:type="spellEnd"/>
      <w:r w:rsidRPr="003037D2">
        <w:rPr>
          <w:rFonts w:ascii="Garamond" w:hAnsi="Garamond"/>
        </w:rPr>
        <w:t xml:space="preserve">, Barbara, </w:t>
      </w:r>
      <w:r w:rsidRPr="003037D2">
        <w:rPr>
          <w:rFonts w:ascii="Garamond" w:hAnsi="Garamond"/>
          <w:i/>
          <w:iCs/>
        </w:rPr>
        <w:t xml:space="preserve">Protestant Poetics and the Seventeenth-Century Lyric </w:t>
      </w:r>
      <w:r w:rsidRPr="003037D2">
        <w:rPr>
          <w:rFonts w:ascii="Garamond" w:hAnsi="Garamond"/>
        </w:rPr>
        <w:t>(Princeton: Princeton University Press, 1979)</w:t>
      </w:r>
    </w:p>
    <w:p w14:paraId="36E62629" w14:textId="77777777" w:rsidR="00162224" w:rsidRPr="003037D2" w:rsidRDefault="00162224" w:rsidP="00A721D6">
      <w:pPr>
        <w:ind w:left="1361" w:hanging="720"/>
        <w:rPr>
          <w:rFonts w:ascii="Garamond" w:hAnsi="Garamond"/>
        </w:rPr>
      </w:pPr>
      <w:r w:rsidRPr="003037D2">
        <w:rPr>
          <w:rFonts w:ascii="Garamond" w:hAnsi="Garamond"/>
        </w:rPr>
        <w:t xml:space="preserve">Lewis, C.S., </w:t>
      </w:r>
      <w:r w:rsidRPr="003037D2">
        <w:rPr>
          <w:rFonts w:ascii="Garamond" w:hAnsi="Garamond"/>
          <w:i/>
        </w:rPr>
        <w:t xml:space="preserve">The Allegory of Love: A Study in Medieval Tradition </w:t>
      </w:r>
      <w:r w:rsidRPr="003037D2">
        <w:rPr>
          <w:rFonts w:ascii="Garamond" w:hAnsi="Garamond"/>
        </w:rPr>
        <w:t>(Cambridge: Cambridge University Press, 2013)</w:t>
      </w:r>
    </w:p>
    <w:p w14:paraId="3652C5FE" w14:textId="77777777" w:rsidR="00162224" w:rsidRPr="003037D2" w:rsidRDefault="00162224" w:rsidP="00A721D6">
      <w:pPr>
        <w:ind w:left="1361" w:hanging="720"/>
        <w:rPr>
          <w:rFonts w:ascii="Garamond" w:hAnsi="Garamond"/>
        </w:rPr>
      </w:pPr>
      <w:proofErr w:type="spellStart"/>
      <w:r w:rsidRPr="003037D2">
        <w:rPr>
          <w:rFonts w:ascii="Garamond" w:hAnsi="Garamond"/>
        </w:rPr>
        <w:t>Litvine</w:t>
      </w:r>
      <w:proofErr w:type="spellEnd"/>
      <w:r w:rsidRPr="003037D2">
        <w:rPr>
          <w:rFonts w:ascii="Garamond" w:hAnsi="Garamond"/>
        </w:rPr>
        <w:t xml:space="preserve">, Alexis D., ‘The Industrious revolution, the industriousness discourse, and the development of Modern Economies’ in </w:t>
      </w:r>
      <w:r w:rsidRPr="003037D2">
        <w:rPr>
          <w:rFonts w:ascii="Garamond" w:hAnsi="Garamond"/>
          <w:i/>
          <w:iCs/>
        </w:rPr>
        <w:t>The Historical Journal</w:t>
      </w:r>
      <w:r w:rsidRPr="003037D2">
        <w:rPr>
          <w:rFonts w:ascii="Garamond" w:hAnsi="Garamond"/>
        </w:rPr>
        <w:t xml:space="preserve">, 57 (2014), pp. 531–570 </w:t>
      </w:r>
    </w:p>
    <w:p w14:paraId="2082659C" w14:textId="77777777" w:rsidR="00162224" w:rsidRPr="003037D2" w:rsidRDefault="00162224" w:rsidP="00A721D6">
      <w:pPr>
        <w:ind w:left="1361" w:hanging="720"/>
        <w:rPr>
          <w:rFonts w:ascii="Garamond" w:hAnsi="Garamond"/>
        </w:rPr>
      </w:pPr>
      <w:r w:rsidRPr="003037D2">
        <w:rPr>
          <w:rFonts w:ascii="Garamond" w:hAnsi="Garamond"/>
        </w:rPr>
        <w:t xml:space="preserve">Lockyer, Roger ‘Villiers, George, first duke of Buckingham (1592–1628)’, </w:t>
      </w:r>
      <w:r w:rsidRPr="003037D2">
        <w:rPr>
          <w:rFonts w:ascii="Garamond" w:hAnsi="Garamond"/>
          <w:i/>
          <w:iCs/>
        </w:rPr>
        <w:t>Oxford Dictionary of National Biography</w:t>
      </w:r>
      <w:r w:rsidRPr="003037D2">
        <w:rPr>
          <w:rFonts w:ascii="Garamond" w:hAnsi="Garamond"/>
        </w:rPr>
        <w:t>, Oxford University Press, 2004 &lt;http://www.oxforddnb.com/view/article/28293&gt; [accessed 10 January 2017]</w:t>
      </w:r>
    </w:p>
    <w:p w14:paraId="4580DE53" w14:textId="77777777" w:rsidR="00162224" w:rsidRPr="003037D2" w:rsidRDefault="00162224" w:rsidP="00A721D6">
      <w:pPr>
        <w:ind w:left="1361" w:hanging="720"/>
        <w:rPr>
          <w:rFonts w:ascii="Garamond" w:hAnsi="Garamond"/>
        </w:rPr>
      </w:pPr>
      <w:r w:rsidRPr="003037D2">
        <w:rPr>
          <w:rFonts w:ascii="Garamond" w:hAnsi="Garamond"/>
        </w:rPr>
        <w:t xml:space="preserve">Lull, Janis, </w:t>
      </w:r>
      <w:bookmarkStart w:id="268" w:name="_Hlk496516823"/>
      <w:r w:rsidRPr="003037D2">
        <w:rPr>
          <w:rFonts w:ascii="Garamond" w:hAnsi="Garamond"/>
          <w:i/>
        </w:rPr>
        <w:t>The Poem in Time: Reading George Herbert’s revisions of ‘The Church’</w:t>
      </w:r>
      <w:r w:rsidRPr="003037D2">
        <w:rPr>
          <w:rFonts w:ascii="Garamond" w:hAnsi="Garamond"/>
        </w:rPr>
        <w:t xml:space="preserve"> (Newark: University of Delaware Press, 1990)</w:t>
      </w:r>
    </w:p>
    <w:p w14:paraId="7BDDE905" w14:textId="77777777" w:rsidR="00162224" w:rsidRPr="003037D2" w:rsidRDefault="00162224" w:rsidP="00A721D6">
      <w:pPr>
        <w:ind w:left="1361" w:hanging="720"/>
        <w:rPr>
          <w:rFonts w:ascii="Garamond" w:hAnsi="Garamond"/>
          <w:lang w:val="fr-FR"/>
        </w:rPr>
      </w:pPr>
      <w:r w:rsidRPr="003037D2">
        <w:rPr>
          <w:rFonts w:ascii="Garamond" w:hAnsi="Garamond"/>
          <w:lang w:val="fr-FR"/>
        </w:rPr>
        <w:t>Lund, Mary Ann, ‘</w:t>
      </w:r>
      <w:proofErr w:type="spellStart"/>
      <w:r w:rsidRPr="003037D2">
        <w:rPr>
          <w:rFonts w:ascii="Garamond" w:hAnsi="Garamond"/>
          <w:lang w:val="fr-FR"/>
        </w:rPr>
        <w:t>Donne’s</w:t>
      </w:r>
      <w:proofErr w:type="spellEnd"/>
      <w:r w:rsidRPr="003037D2">
        <w:rPr>
          <w:rFonts w:ascii="Garamond" w:hAnsi="Garamond"/>
          <w:lang w:val="fr-FR"/>
        </w:rPr>
        <w:t xml:space="preserve"> convalescence’ in </w:t>
      </w:r>
      <w:r w:rsidRPr="003037D2">
        <w:rPr>
          <w:rFonts w:ascii="Garamond" w:hAnsi="Garamond"/>
          <w:i/>
          <w:lang w:val="fr-FR"/>
        </w:rPr>
        <w:t xml:space="preserve">Renaissance </w:t>
      </w:r>
      <w:proofErr w:type="spellStart"/>
      <w:r w:rsidRPr="003037D2">
        <w:rPr>
          <w:rFonts w:ascii="Garamond" w:hAnsi="Garamond"/>
          <w:i/>
          <w:lang w:val="fr-FR"/>
        </w:rPr>
        <w:t>Studies</w:t>
      </w:r>
      <w:proofErr w:type="spellEnd"/>
      <w:r w:rsidRPr="003037D2">
        <w:rPr>
          <w:rFonts w:ascii="Garamond" w:hAnsi="Garamond"/>
          <w:i/>
          <w:lang w:val="fr-FR"/>
        </w:rPr>
        <w:t>,</w:t>
      </w:r>
      <w:r w:rsidRPr="003037D2">
        <w:rPr>
          <w:rFonts w:ascii="Garamond" w:hAnsi="Garamond"/>
          <w:lang w:val="fr-FR"/>
        </w:rPr>
        <w:t xml:space="preserve"> 31.4 (</w:t>
      </w:r>
      <w:proofErr w:type="spellStart"/>
      <w:r w:rsidRPr="003037D2">
        <w:rPr>
          <w:rFonts w:ascii="Garamond" w:hAnsi="Garamond"/>
          <w:lang w:val="fr-FR"/>
        </w:rPr>
        <w:t>September</w:t>
      </w:r>
      <w:proofErr w:type="spellEnd"/>
      <w:r w:rsidRPr="003037D2">
        <w:rPr>
          <w:rFonts w:ascii="Garamond" w:hAnsi="Garamond"/>
          <w:lang w:val="fr-FR"/>
        </w:rPr>
        <w:t xml:space="preserve"> 2017), pp. 532-548</w:t>
      </w:r>
    </w:p>
    <w:bookmarkEnd w:id="268"/>
    <w:p w14:paraId="0B4160FA" w14:textId="7D07C2D0" w:rsidR="00162224" w:rsidRPr="003037D2" w:rsidRDefault="00162224" w:rsidP="00A721D6">
      <w:pPr>
        <w:ind w:left="1361" w:hanging="720"/>
        <w:rPr>
          <w:rFonts w:ascii="Garamond" w:hAnsi="Garamond"/>
        </w:rPr>
      </w:pPr>
      <w:r w:rsidRPr="003037D2">
        <w:rPr>
          <w:rFonts w:ascii="Garamond" w:hAnsi="Garamond"/>
        </w:rPr>
        <w:t xml:space="preserve">Lynch, Kathleen, ‘Devotion Bound: A Social History of </w:t>
      </w:r>
      <w:r w:rsidRPr="003037D2">
        <w:rPr>
          <w:rFonts w:ascii="Garamond" w:hAnsi="Garamond"/>
          <w:i/>
          <w:iCs/>
        </w:rPr>
        <w:t>The Temple</w:t>
      </w:r>
      <w:r w:rsidRPr="003037D2">
        <w:rPr>
          <w:rFonts w:ascii="Garamond" w:hAnsi="Garamond"/>
        </w:rPr>
        <w:t xml:space="preserve">’ in </w:t>
      </w:r>
      <w:r w:rsidRPr="003037D2">
        <w:rPr>
          <w:rFonts w:ascii="Garamond" w:hAnsi="Garamond"/>
          <w:i/>
          <w:iCs/>
        </w:rPr>
        <w:t>Books and Readers in Early Modern England</w:t>
      </w:r>
      <w:r w:rsidR="00814479">
        <w:rPr>
          <w:rFonts w:ascii="Garamond" w:hAnsi="Garamond"/>
          <w:i/>
          <w:iCs/>
        </w:rPr>
        <w:t>,</w:t>
      </w:r>
      <w:r w:rsidRPr="003037D2">
        <w:rPr>
          <w:rFonts w:ascii="Garamond" w:hAnsi="Garamond"/>
          <w:i/>
          <w:iCs/>
        </w:rPr>
        <w:t xml:space="preserve"> </w:t>
      </w:r>
      <w:r w:rsidRPr="003037D2">
        <w:rPr>
          <w:rFonts w:ascii="Garamond" w:hAnsi="Garamond"/>
        </w:rPr>
        <w:t>ed. by Jenifer Andersen and Elizabeth Sauer (Philadelphia: University of Pennsylvania Press, 2002), pp. 177-97</w:t>
      </w:r>
    </w:p>
    <w:p w14:paraId="6632098B" w14:textId="3C8CE993" w:rsidR="00162224" w:rsidRPr="003037D2" w:rsidRDefault="00162224" w:rsidP="00A721D6">
      <w:pPr>
        <w:ind w:left="1361" w:hanging="720"/>
        <w:rPr>
          <w:rFonts w:ascii="Garamond" w:hAnsi="Garamond"/>
        </w:rPr>
      </w:pPr>
      <w:r w:rsidRPr="003037D2">
        <w:rPr>
          <w:rFonts w:ascii="Garamond" w:hAnsi="Garamond"/>
        </w:rPr>
        <w:t xml:space="preserve">McCabe, Richard A., ‘Hall, Joseph (1574–1656), bishop of Norwich, religious writer, and satirist’, </w:t>
      </w:r>
      <w:r w:rsidRPr="003037D2">
        <w:rPr>
          <w:rFonts w:ascii="Garamond" w:hAnsi="Garamond"/>
          <w:i/>
        </w:rPr>
        <w:t>Oxford Dictionary of National Biography,</w:t>
      </w:r>
      <w:r w:rsidRPr="003037D2">
        <w:rPr>
          <w:rFonts w:ascii="Garamond" w:hAnsi="Garamond"/>
        </w:rPr>
        <w:t xml:space="preserve"> Oxford University Press, 2004 &lt;</w:t>
      </w:r>
      <w:hyperlink r:id="rId80" w:history="1">
        <w:r w:rsidRPr="003037D2">
          <w:rPr>
            <w:rStyle w:val="Hyperlink"/>
            <w:rFonts w:ascii="Garamond" w:hAnsi="Garamond"/>
          </w:rPr>
          <w:t>http://www.oxforddnb.com.sheffield.idm.oclc.org/view/10.1093/ref:odnb/9780198614128.001.0001/odnb-9780198614128-e-11976</w:t>
        </w:r>
      </w:hyperlink>
      <w:r w:rsidRPr="003037D2">
        <w:rPr>
          <w:rFonts w:ascii="Garamond" w:hAnsi="Garamond"/>
        </w:rPr>
        <w:t>&gt; [accessed 1 May 2018]</w:t>
      </w:r>
    </w:p>
    <w:p w14:paraId="28A51894" w14:textId="77777777" w:rsidR="00162224" w:rsidRPr="003037D2" w:rsidRDefault="00162224" w:rsidP="00A721D6">
      <w:pPr>
        <w:ind w:left="1361" w:hanging="720"/>
        <w:rPr>
          <w:rFonts w:ascii="Garamond" w:hAnsi="Garamond"/>
        </w:rPr>
      </w:pPr>
      <w:r w:rsidRPr="003037D2">
        <w:rPr>
          <w:rFonts w:ascii="Garamond" w:hAnsi="Garamond"/>
        </w:rPr>
        <w:t xml:space="preserve">McCarthy, Erin, ‘Reading Women Reading Donne in Manuscript and Printed Miscellanies: A </w:t>
      </w:r>
      <w:proofErr w:type="spellStart"/>
      <w:r w:rsidRPr="003037D2">
        <w:rPr>
          <w:rFonts w:ascii="Garamond" w:hAnsi="Garamond"/>
        </w:rPr>
        <w:t>Quantative</w:t>
      </w:r>
      <w:proofErr w:type="spellEnd"/>
      <w:r w:rsidRPr="003037D2">
        <w:rPr>
          <w:rFonts w:ascii="Garamond" w:hAnsi="Garamond"/>
        </w:rPr>
        <w:t xml:space="preserve"> approach’ in </w:t>
      </w:r>
      <w:r w:rsidRPr="003037D2">
        <w:rPr>
          <w:rFonts w:ascii="Garamond" w:hAnsi="Garamond"/>
          <w:i/>
        </w:rPr>
        <w:t xml:space="preserve">The Review of English Studies </w:t>
      </w:r>
      <w:r w:rsidRPr="003037D2">
        <w:rPr>
          <w:rFonts w:ascii="Garamond" w:hAnsi="Garamond"/>
        </w:rPr>
        <w:t xml:space="preserve">(advance 2018), pp. 1-25 </w:t>
      </w:r>
    </w:p>
    <w:p w14:paraId="60AC9BA3" w14:textId="77777777" w:rsidR="00162224" w:rsidRPr="003037D2" w:rsidRDefault="00162224" w:rsidP="00A721D6">
      <w:pPr>
        <w:ind w:left="1361" w:hanging="720"/>
        <w:rPr>
          <w:rFonts w:ascii="Garamond" w:hAnsi="Garamond"/>
        </w:rPr>
      </w:pPr>
      <w:proofErr w:type="spellStart"/>
      <w:r w:rsidRPr="003037D2">
        <w:rPr>
          <w:rFonts w:ascii="Garamond" w:hAnsi="Garamond"/>
        </w:rPr>
        <w:t>MacCulloch</w:t>
      </w:r>
      <w:proofErr w:type="spellEnd"/>
      <w:r w:rsidRPr="003037D2">
        <w:rPr>
          <w:rFonts w:ascii="Garamond" w:hAnsi="Garamond"/>
        </w:rPr>
        <w:t xml:space="preserve">, </w:t>
      </w:r>
      <w:proofErr w:type="spellStart"/>
      <w:r w:rsidRPr="003037D2">
        <w:rPr>
          <w:rFonts w:ascii="Garamond" w:hAnsi="Garamond"/>
        </w:rPr>
        <w:t>Diarmaid</w:t>
      </w:r>
      <w:proofErr w:type="spellEnd"/>
      <w:r w:rsidRPr="003037D2">
        <w:rPr>
          <w:rFonts w:ascii="Garamond" w:hAnsi="Garamond"/>
        </w:rPr>
        <w:t xml:space="preserve">, </w:t>
      </w:r>
      <w:r w:rsidRPr="003037D2">
        <w:rPr>
          <w:rFonts w:ascii="Garamond" w:hAnsi="Garamond"/>
          <w:i/>
          <w:iCs/>
        </w:rPr>
        <w:t xml:space="preserve">Silence: A Christian History </w:t>
      </w:r>
      <w:r w:rsidRPr="003037D2">
        <w:rPr>
          <w:rFonts w:ascii="Garamond" w:hAnsi="Garamond"/>
        </w:rPr>
        <w:t xml:space="preserve">(London: Allen Lane, 2013) </w:t>
      </w:r>
    </w:p>
    <w:p w14:paraId="58DBAD0E" w14:textId="2DC9992E" w:rsidR="00162224" w:rsidRPr="003037D2" w:rsidRDefault="00162224" w:rsidP="00A721D6">
      <w:pPr>
        <w:ind w:left="1361" w:hanging="720"/>
        <w:rPr>
          <w:rFonts w:ascii="Garamond" w:hAnsi="Garamond"/>
        </w:rPr>
      </w:pPr>
      <w:r w:rsidRPr="003037D2">
        <w:rPr>
          <w:rFonts w:ascii="Garamond" w:hAnsi="Garamond"/>
        </w:rPr>
        <w:t xml:space="preserve">McCullough, Peter, ‘Donne as preacher at Court: precarious </w:t>
      </w:r>
      <w:r w:rsidR="00ED0F4C">
        <w:rPr>
          <w:rFonts w:ascii="Garamond" w:hAnsi="Garamond"/>
        </w:rPr>
        <w:t>“</w:t>
      </w:r>
      <w:proofErr w:type="spellStart"/>
      <w:r w:rsidRPr="003037D2">
        <w:rPr>
          <w:rFonts w:ascii="Garamond" w:hAnsi="Garamond"/>
        </w:rPr>
        <w:t>Inthronization</w:t>
      </w:r>
      <w:proofErr w:type="spellEnd"/>
      <w:r w:rsidR="00ED0F4C">
        <w:rPr>
          <w:rFonts w:ascii="Garamond" w:hAnsi="Garamond"/>
        </w:rPr>
        <w:t>”’</w:t>
      </w:r>
      <w:r w:rsidRPr="003037D2">
        <w:rPr>
          <w:rFonts w:ascii="Garamond" w:hAnsi="Garamond"/>
        </w:rPr>
        <w:t xml:space="preserve"> in </w:t>
      </w:r>
      <w:r w:rsidRPr="003037D2">
        <w:rPr>
          <w:rFonts w:ascii="Garamond" w:hAnsi="Garamond"/>
          <w:i/>
          <w:iCs/>
        </w:rPr>
        <w:t>John Donne’s Professional Lives</w:t>
      </w:r>
      <w:r w:rsidR="00814479">
        <w:rPr>
          <w:rFonts w:ascii="Garamond" w:hAnsi="Garamond"/>
          <w:i/>
          <w:iCs/>
        </w:rPr>
        <w:t>,</w:t>
      </w:r>
      <w:r w:rsidRPr="003037D2">
        <w:rPr>
          <w:rFonts w:ascii="Garamond" w:hAnsi="Garamond"/>
          <w:i/>
          <w:iCs/>
        </w:rPr>
        <w:t xml:space="preserve"> </w:t>
      </w:r>
      <w:r w:rsidRPr="003037D2">
        <w:rPr>
          <w:rFonts w:ascii="Garamond" w:hAnsi="Garamond"/>
        </w:rPr>
        <w:t>ed. by David Colclough (Cambridge: D.S. Brewer, 2003), pp. 179-204</w:t>
      </w:r>
    </w:p>
    <w:p w14:paraId="7E8AE10D" w14:textId="77777777" w:rsidR="00162224" w:rsidRPr="003037D2" w:rsidRDefault="00162224" w:rsidP="00A721D6">
      <w:pPr>
        <w:ind w:left="1361" w:hanging="720"/>
        <w:rPr>
          <w:rFonts w:ascii="Garamond" w:hAnsi="Garamond"/>
        </w:rPr>
      </w:pPr>
      <w:r w:rsidRPr="003037D2">
        <w:rPr>
          <w:rFonts w:ascii="Garamond" w:hAnsi="Garamond"/>
        </w:rPr>
        <w:softHyphen/>
        <w:t>___</w:t>
      </w:r>
      <w:proofErr w:type="gramStart"/>
      <w:r w:rsidRPr="003037D2">
        <w:rPr>
          <w:rFonts w:ascii="Garamond" w:hAnsi="Garamond"/>
        </w:rPr>
        <w:t>_ ,</w:t>
      </w:r>
      <w:proofErr w:type="gramEnd"/>
      <w:r w:rsidRPr="003037D2">
        <w:rPr>
          <w:rFonts w:ascii="Garamond" w:hAnsi="Garamond"/>
        </w:rPr>
        <w:t xml:space="preserve"> ‘Sermons’ in </w:t>
      </w:r>
      <w:r w:rsidRPr="003037D2">
        <w:rPr>
          <w:rFonts w:ascii="Garamond" w:hAnsi="Garamond"/>
          <w:i/>
        </w:rPr>
        <w:t xml:space="preserve">The Oxford Handbook of English Prose, 1500-1640 </w:t>
      </w:r>
      <w:r w:rsidRPr="003037D2">
        <w:rPr>
          <w:rFonts w:ascii="Garamond" w:hAnsi="Garamond"/>
        </w:rPr>
        <w:t xml:space="preserve">edited by Andrew Hadfield (Oxford: Oxford University Press, 2013), pp. 561-575 </w:t>
      </w:r>
    </w:p>
    <w:p w14:paraId="30E8B04D" w14:textId="77777777" w:rsidR="00162224" w:rsidRPr="003037D2" w:rsidRDefault="00162224" w:rsidP="00A721D6">
      <w:pPr>
        <w:ind w:left="1361" w:hanging="720"/>
        <w:rPr>
          <w:rFonts w:ascii="Garamond" w:hAnsi="Garamond"/>
        </w:rPr>
      </w:pPr>
      <w:r w:rsidRPr="003037D2">
        <w:rPr>
          <w:rFonts w:ascii="Garamond" w:hAnsi="Garamond"/>
        </w:rPr>
        <w:t>___</w:t>
      </w:r>
      <w:proofErr w:type="gramStart"/>
      <w:r w:rsidRPr="003037D2">
        <w:rPr>
          <w:rFonts w:ascii="Garamond" w:hAnsi="Garamond"/>
        </w:rPr>
        <w:t>_ ,</w:t>
      </w:r>
      <w:proofErr w:type="gramEnd"/>
      <w:r w:rsidRPr="003037D2">
        <w:rPr>
          <w:rFonts w:ascii="Garamond" w:hAnsi="Garamond"/>
        </w:rPr>
        <w:t xml:space="preserve"> </w:t>
      </w:r>
      <w:r w:rsidRPr="003037D2">
        <w:rPr>
          <w:rFonts w:ascii="Garamond" w:hAnsi="Garamond"/>
          <w:i/>
        </w:rPr>
        <w:t xml:space="preserve">Sermons at Court: Politics and religion in Elizabethan and Jacobean preaching </w:t>
      </w:r>
      <w:r w:rsidRPr="003037D2">
        <w:rPr>
          <w:rFonts w:ascii="Garamond" w:hAnsi="Garamond"/>
        </w:rPr>
        <w:t>(Cambridge: Cambridge University Press, 1998)</w:t>
      </w:r>
    </w:p>
    <w:p w14:paraId="69C0481F" w14:textId="77777777" w:rsidR="00162224" w:rsidRPr="003037D2" w:rsidRDefault="00162224" w:rsidP="00A721D6">
      <w:pPr>
        <w:ind w:left="1361" w:hanging="720"/>
        <w:rPr>
          <w:rFonts w:ascii="Garamond" w:hAnsi="Garamond"/>
          <w:i/>
        </w:rPr>
      </w:pPr>
      <w:r w:rsidRPr="003037D2">
        <w:rPr>
          <w:rFonts w:ascii="Garamond" w:hAnsi="Garamond"/>
          <w:color w:val="000000"/>
          <w:shd w:val="clear" w:color="auto" w:fill="FFFFFF"/>
        </w:rPr>
        <w:t>___</w:t>
      </w:r>
      <w:proofErr w:type="gramStart"/>
      <w:r w:rsidRPr="003037D2">
        <w:rPr>
          <w:rFonts w:ascii="Garamond" w:hAnsi="Garamond"/>
          <w:color w:val="000000"/>
          <w:shd w:val="clear" w:color="auto" w:fill="FFFFFF"/>
        </w:rPr>
        <w:t>_ ,</w:t>
      </w:r>
      <w:proofErr w:type="gramEnd"/>
      <w:r w:rsidRPr="003037D2">
        <w:rPr>
          <w:rFonts w:ascii="Garamond" w:hAnsi="Garamond"/>
        </w:rPr>
        <w:t xml:space="preserve"> Hugh Adlington, and Emma </w:t>
      </w:r>
      <w:proofErr w:type="spellStart"/>
      <w:r w:rsidRPr="003037D2">
        <w:rPr>
          <w:rFonts w:ascii="Garamond" w:hAnsi="Garamond"/>
        </w:rPr>
        <w:t>Rhatigan</w:t>
      </w:r>
      <w:proofErr w:type="spellEnd"/>
      <w:r w:rsidRPr="003037D2">
        <w:rPr>
          <w:rFonts w:ascii="Garamond" w:hAnsi="Garamond"/>
        </w:rPr>
        <w:t xml:space="preserve"> edited, </w:t>
      </w:r>
      <w:r w:rsidRPr="003037D2">
        <w:rPr>
          <w:rFonts w:ascii="Garamond" w:hAnsi="Garamond"/>
          <w:i/>
        </w:rPr>
        <w:t xml:space="preserve">The Oxford Handbook of the Early Modern Sermon </w:t>
      </w:r>
      <w:r w:rsidRPr="003037D2">
        <w:rPr>
          <w:rFonts w:ascii="Garamond" w:hAnsi="Garamond"/>
        </w:rPr>
        <w:t xml:space="preserve">(Oxford: Oxford University Press, 2011) </w:t>
      </w:r>
    </w:p>
    <w:p w14:paraId="109BB86A" w14:textId="77777777" w:rsidR="00162224" w:rsidRPr="003037D2" w:rsidRDefault="00162224" w:rsidP="00A721D6">
      <w:pPr>
        <w:ind w:left="1361" w:hanging="720"/>
        <w:rPr>
          <w:rFonts w:ascii="Garamond" w:hAnsi="Garamond"/>
        </w:rPr>
      </w:pPr>
      <w:r w:rsidRPr="003037D2">
        <w:rPr>
          <w:rFonts w:ascii="Garamond" w:hAnsi="Garamond"/>
        </w:rPr>
        <w:t xml:space="preserve">McKay, Elaine, ‘English Diarists: Gender, Geography and Occupation, 1500-1700’ in </w:t>
      </w:r>
      <w:r w:rsidRPr="003037D2">
        <w:rPr>
          <w:rFonts w:ascii="Garamond" w:hAnsi="Garamond"/>
          <w:i/>
          <w:iCs/>
        </w:rPr>
        <w:t>History</w:t>
      </w:r>
      <w:r w:rsidRPr="003037D2">
        <w:rPr>
          <w:rFonts w:ascii="Garamond" w:hAnsi="Garamond"/>
        </w:rPr>
        <w:t>, 90 (2005), pp. 191-212</w:t>
      </w:r>
    </w:p>
    <w:p w14:paraId="40FE643E" w14:textId="77777777" w:rsidR="00162224" w:rsidRPr="003037D2" w:rsidRDefault="00162224" w:rsidP="00A721D6">
      <w:pPr>
        <w:ind w:left="1361" w:hanging="720"/>
        <w:rPr>
          <w:rFonts w:ascii="Garamond" w:hAnsi="Garamond"/>
        </w:rPr>
      </w:pPr>
      <w:r w:rsidRPr="003037D2">
        <w:rPr>
          <w:rFonts w:ascii="Garamond" w:hAnsi="Garamond"/>
        </w:rPr>
        <w:t xml:space="preserve">McKenzie, D.F., </w:t>
      </w:r>
      <w:r w:rsidRPr="003037D2">
        <w:rPr>
          <w:rFonts w:ascii="Garamond" w:hAnsi="Garamond"/>
          <w:i/>
          <w:iCs/>
        </w:rPr>
        <w:t xml:space="preserve">Making Meaning: ‘Printers of the Mind’ and Other Essays, </w:t>
      </w:r>
      <w:r w:rsidRPr="003037D2">
        <w:rPr>
          <w:rFonts w:ascii="Garamond" w:hAnsi="Garamond"/>
        </w:rPr>
        <w:t>ed. by Peter D. McDonald and Michael F. Suarez (</w:t>
      </w:r>
      <w:r w:rsidRPr="003037D2">
        <w:rPr>
          <w:rFonts w:ascii="Garamond" w:hAnsi="Garamond"/>
          <w:iCs/>
        </w:rPr>
        <w:t>Boston: University of Massachusetts Press, 2002)</w:t>
      </w:r>
    </w:p>
    <w:p w14:paraId="7A587F07" w14:textId="77777777" w:rsidR="00162224" w:rsidRPr="003037D2" w:rsidRDefault="00162224" w:rsidP="00A721D6">
      <w:pPr>
        <w:ind w:left="1361" w:hanging="720"/>
        <w:rPr>
          <w:rFonts w:ascii="Garamond" w:hAnsi="Garamond"/>
        </w:rPr>
      </w:pPr>
      <w:proofErr w:type="spellStart"/>
      <w:r w:rsidRPr="003037D2">
        <w:rPr>
          <w:rFonts w:ascii="Garamond" w:hAnsi="Garamond"/>
        </w:rPr>
        <w:t>McKerrow</w:t>
      </w:r>
      <w:proofErr w:type="spellEnd"/>
      <w:r w:rsidRPr="003037D2">
        <w:rPr>
          <w:rFonts w:ascii="Garamond" w:hAnsi="Garamond"/>
        </w:rPr>
        <w:t xml:space="preserve">, R.B., ‘Booksellers, Printers, and the Stationers’ Trade’ in </w:t>
      </w:r>
      <w:r w:rsidRPr="003037D2">
        <w:rPr>
          <w:rFonts w:ascii="Garamond" w:hAnsi="Garamond"/>
          <w:i/>
          <w:iCs/>
        </w:rPr>
        <w:t>Shakespeare’s England</w:t>
      </w:r>
      <w:r w:rsidRPr="003037D2">
        <w:rPr>
          <w:rFonts w:ascii="Garamond" w:hAnsi="Garamond"/>
        </w:rPr>
        <w:t xml:space="preserve"> (Oxford: Clarendon Press, 1916), pp. 212–39</w:t>
      </w:r>
    </w:p>
    <w:p w14:paraId="300E2DF3" w14:textId="77777777" w:rsidR="00162224" w:rsidRPr="003037D2" w:rsidRDefault="00162224" w:rsidP="00A721D6">
      <w:pPr>
        <w:ind w:left="1361" w:hanging="720"/>
        <w:rPr>
          <w:rFonts w:ascii="Garamond" w:hAnsi="Garamond"/>
        </w:rPr>
      </w:pPr>
      <w:r w:rsidRPr="003037D2">
        <w:rPr>
          <w:rFonts w:ascii="Garamond" w:hAnsi="Garamond"/>
        </w:rPr>
        <w:t xml:space="preserve">McRae, Andrew, </w:t>
      </w:r>
      <w:r w:rsidRPr="003037D2">
        <w:rPr>
          <w:rFonts w:ascii="Garamond" w:hAnsi="Garamond"/>
          <w:i/>
          <w:iCs/>
        </w:rPr>
        <w:t>God Speed the Plough: The Representation of Agrarian England, 1500-1660</w:t>
      </w:r>
      <w:r w:rsidRPr="003037D2">
        <w:rPr>
          <w:rFonts w:ascii="Garamond" w:hAnsi="Garamond"/>
          <w:b/>
          <w:bCs/>
        </w:rPr>
        <w:t> </w:t>
      </w:r>
      <w:r w:rsidRPr="003037D2">
        <w:rPr>
          <w:rFonts w:ascii="Garamond" w:hAnsi="Garamond"/>
        </w:rPr>
        <w:t>(Cambridge: Cambridge University Press, 2002)</w:t>
      </w:r>
    </w:p>
    <w:p w14:paraId="2B05873D" w14:textId="77777777" w:rsidR="00162224" w:rsidRPr="003037D2" w:rsidRDefault="00162224" w:rsidP="00A721D6">
      <w:pPr>
        <w:ind w:left="1361" w:hanging="720"/>
        <w:rPr>
          <w:rFonts w:ascii="Garamond" w:hAnsi="Garamond"/>
        </w:rPr>
      </w:pPr>
      <w:r w:rsidRPr="003037D2">
        <w:rPr>
          <w:rFonts w:ascii="Garamond" w:hAnsi="Garamond"/>
        </w:rPr>
        <w:t xml:space="preserve">Malcolmson, Cristina, </w:t>
      </w:r>
      <w:r w:rsidRPr="003037D2">
        <w:rPr>
          <w:rFonts w:ascii="Garamond" w:hAnsi="Garamond"/>
          <w:i/>
        </w:rPr>
        <w:t xml:space="preserve">Heart-Work: George Herbert and the Protestant Ethic </w:t>
      </w:r>
      <w:r w:rsidRPr="003037D2">
        <w:rPr>
          <w:rFonts w:ascii="Garamond" w:hAnsi="Garamond"/>
        </w:rPr>
        <w:t xml:space="preserve">(Stanford University Press: Stanford, California, 1999) </w:t>
      </w:r>
    </w:p>
    <w:p w14:paraId="0E21FF56" w14:textId="77777777" w:rsidR="00162224" w:rsidRPr="003037D2" w:rsidRDefault="00162224" w:rsidP="00A721D6">
      <w:pPr>
        <w:ind w:left="1361" w:hanging="720"/>
        <w:rPr>
          <w:rFonts w:ascii="Garamond" w:hAnsi="Garamond"/>
        </w:rPr>
      </w:pPr>
      <w:r w:rsidRPr="003037D2">
        <w:rPr>
          <w:rFonts w:ascii="Garamond" w:hAnsi="Garamond"/>
        </w:rPr>
        <w:t xml:space="preserve">Marsh, Christopher, </w:t>
      </w:r>
      <w:r w:rsidRPr="003037D2">
        <w:rPr>
          <w:rFonts w:ascii="Garamond" w:hAnsi="Garamond"/>
          <w:i/>
          <w:iCs/>
        </w:rPr>
        <w:t xml:space="preserve">Music and Society in Early Modern England </w:t>
      </w:r>
      <w:r w:rsidRPr="003037D2">
        <w:rPr>
          <w:rFonts w:ascii="Garamond" w:hAnsi="Garamond"/>
        </w:rPr>
        <w:t>(Cambridge: Cambridge University Press, 2010)</w:t>
      </w:r>
    </w:p>
    <w:p w14:paraId="494D475B" w14:textId="77777777" w:rsidR="00162224" w:rsidRPr="003037D2" w:rsidRDefault="00162224" w:rsidP="00A721D6">
      <w:pPr>
        <w:ind w:left="1361" w:hanging="720"/>
        <w:rPr>
          <w:rFonts w:ascii="Garamond" w:hAnsi="Garamond"/>
        </w:rPr>
      </w:pPr>
      <w:r w:rsidRPr="003037D2">
        <w:rPr>
          <w:rFonts w:ascii="Garamond" w:hAnsi="Garamond"/>
        </w:rPr>
        <w:lastRenderedPageBreak/>
        <w:t xml:space="preserve">Marshall, Cynthia, </w:t>
      </w:r>
      <w:r w:rsidRPr="003037D2">
        <w:rPr>
          <w:rFonts w:ascii="Garamond" w:hAnsi="Garamond"/>
          <w:i/>
          <w:iCs/>
        </w:rPr>
        <w:t>The Shattering of the Self: Violence, Subjectivity, and Early Modern Texts</w:t>
      </w:r>
      <w:r w:rsidRPr="003037D2">
        <w:rPr>
          <w:rFonts w:ascii="Garamond" w:hAnsi="Garamond"/>
        </w:rPr>
        <w:t xml:space="preserve"> (Baltimore: John Hopkins University Press, 2002)</w:t>
      </w:r>
    </w:p>
    <w:p w14:paraId="34B741FB" w14:textId="77777777" w:rsidR="00162224" w:rsidRPr="003037D2" w:rsidRDefault="00162224" w:rsidP="00A721D6">
      <w:pPr>
        <w:ind w:left="1361" w:hanging="720"/>
        <w:rPr>
          <w:rFonts w:ascii="Garamond" w:hAnsi="Garamond"/>
        </w:rPr>
      </w:pPr>
      <w:r w:rsidRPr="003037D2">
        <w:rPr>
          <w:rFonts w:ascii="Garamond" w:hAnsi="Garamond"/>
        </w:rPr>
        <w:t xml:space="preserve">Martz, Louis, </w:t>
      </w:r>
      <w:r w:rsidRPr="003037D2">
        <w:rPr>
          <w:rFonts w:ascii="Garamond" w:hAnsi="Garamond"/>
          <w:i/>
          <w:iCs/>
        </w:rPr>
        <w:t xml:space="preserve">The Poetry of Meditation: A study of English Religious Literature of the Seventeenth Century </w:t>
      </w:r>
      <w:r w:rsidRPr="003037D2">
        <w:rPr>
          <w:rFonts w:ascii="Garamond" w:hAnsi="Garamond"/>
        </w:rPr>
        <w:t>(New Haven: Yale University Press, 1969)</w:t>
      </w:r>
    </w:p>
    <w:p w14:paraId="756AFE71" w14:textId="77777777" w:rsidR="00162224" w:rsidRPr="003037D2" w:rsidRDefault="00162224" w:rsidP="00A721D6">
      <w:pPr>
        <w:ind w:left="1361" w:hanging="720"/>
        <w:rPr>
          <w:rFonts w:ascii="Garamond" w:hAnsi="Garamond"/>
        </w:rPr>
      </w:pPr>
      <w:r w:rsidRPr="003037D2">
        <w:rPr>
          <w:rFonts w:ascii="Garamond" w:hAnsi="Garamond"/>
        </w:rPr>
        <w:t xml:space="preserve">Marx, Karl, </w:t>
      </w:r>
      <w:r w:rsidRPr="003037D2">
        <w:rPr>
          <w:rFonts w:ascii="Garamond" w:hAnsi="Garamond"/>
          <w:i/>
        </w:rPr>
        <w:t xml:space="preserve">Capital Vol. 1, </w:t>
      </w:r>
      <w:r w:rsidRPr="003037D2">
        <w:rPr>
          <w:rFonts w:ascii="Garamond" w:hAnsi="Garamond"/>
        </w:rPr>
        <w:t xml:space="preserve">translated by B. </w:t>
      </w:r>
      <w:proofErr w:type="spellStart"/>
      <w:r w:rsidRPr="003037D2">
        <w:rPr>
          <w:rFonts w:ascii="Garamond" w:hAnsi="Garamond"/>
        </w:rPr>
        <w:t>Fowkes</w:t>
      </w:r>
      <w:proofErr w:type="spellEnd"/>
      <w:r w:rsidRPr="003037D2">
        <w:rPr>
          <w:rFonts w:ascii="Garamond" w:hAnsi="Garamond"/>
        </w:rPr>
        <w:t xml:space="preserve"> (London: Penguin Books, 1990) </w:t>
      </w:r>
    </w:p>
    <w:p w14:paraId="24B02119" w14:textId="77777777" w:rsidR="00162224" w:rsidRPr="003037D2" w:rsidRDefault="00162224" w:rsidP="00A721D6">
      <w:pPr>
        <w:ind w:left="1361" w:hanging="720"/>
        <w:rPr>
          <w:rFonts w:ascii="Garamond" w:hAnsi="Garamond"/>
        </w:rPr>
      </w:pPr>
      <w:r w:rsidRPr="003037D2">
        <w:rPr>
          <w:rFonts w:ascii="Garamond" w:hAnsi="Garamond"/>
        </w:rPr>
        <w:t xml:space="preserve">Mayr, Otto, </w:t>
      </w:r>
      <w:r w:rsidRPr="003037D2">
        <w:rPr>
          <w:rFonts w:ascii="Garamond" w:hAnsi="Garamond"/>
          <w:i/>
          <w:iCs/>
        </w:rPr>
        <w:t xml:space="preserve">Authority, liberty, and Automatic Machinery in early modern Europe </w:t>
      </w:r>
      <w:r w:rsidRPr="003037D2">
        <w:rPr>
          <w:rFonts w:ascii="Garamond" w:hAnsi="Garamond"/>
          <w:iCs/>
        </w:rPr>
        <w:t xml:space="preserve">(Baltimore: </w:t>
      </w:r>
      <w:r w:rsidRPr="003037D2">
        <w:rPr>
          <w:rFonts w:ascii="Garamond" w:hAnsi="Garamond"/>
        </w:rPr>
        <w:t xml:space="preserve">John Hopkins University Press, 1986)  </w:t>
      </w:r>
    </w:p>
    <w:p w14:paraId="13F2933A" w14:textId="77777777" w:rsidR="00162224" w:rsidRPr="003037D2" w:rsidRDefault="00162224" w:rsidP="00A721D6">
      <w:pPr>
        <w:ind w:left="1361" w:hanging="720"/>
        <w:rPr>
          <w:rFonts w:ascii="Garamond" w:hAnsi="Garamond"/>
        </w:rPr>
      </w:pPr>
      <w:r w:rsidRPr="003037D2">
        <w:rPr>
          <w:rFonts w:ascii="Garamond" w:hAnsi="Garamond"/>
        </w:rPr>
        <w:t xml:space="preserve">Miller, Greg, ‘Scribal and Print Publication: The Case of George Herbert’s English Poems’ in </w:t>
      </w:r>
      <w:r w:rsidRPr="003037D2">
        <w:rPr>
          <w:rFonts w:ascii="Garamond" w:hAnsi="Garamond"/>
          <w:i/>
          <w:iCs/>
        </w:rPr>
        <w:t xml:space="preserve">George Herbert Journal, </w:t>
      </w:r>
      <w:r w:rsidRPr="003037D2">
        <w:rPr>
          <w:rFonts w:ascii="Garamond" w:hAnsi="Garamond"/>
        </w:rPr>
        <w:t>23</w:t>
      </w:r>
      <w:r w:rsidRPr="003037D2">
        <w:rPr>
          <w:rFonts w:ascii="Garamond" w:hAnsi="Garamond"/>
          <w:i/>
          <w:iCs/>
        </w:rPr>
        <w:t xml:space="preserve"> </w:t>
      </w:r>
      <w:r w:rsidRPr="003037D2">
        <w:rPr>
          <w:rFonts w:ascii="Garamond" w:hAnsi="Garamond"/>
        </w:rPr>
        <w:t>(1999/2000), pp. 14-34</w:t>
      </w:r>
    </w:p>
    <w:p w14:paraId="5C06D510" w14:textId="77777777" w:rsidR="00162224" w:rsidRPr="003037D2" w:rsidRDefault="00162224" w:rsidP="00A721D6">
      <w:pPr>
        <w:ind w:left="1361" w:hanging="720"/>
        <w:rPr>
          <w:rFonts w:ascii="Garamond" w:hAnsi="Garamond"/>
        </w:rPr>
      </w:pPr>
      <w:r w:rsidRPr="003037D2">
        <w:rPr>
          <w:rFonts w:ascii="Garamond" w:hAnsi="Garamond"/>
        </w:rPr>
        <w:t xml:space="preserve">Miller, Nichole E., ‘Ambivalent Temporality and Penitential Eros in </w:t>
      </w:r>
      <w:r w:rsidRPr="003037D2">
        <w:rPr>
          <w:rFonts w:ascii="Garamond" w:hAnsi="Garamond"/>
          <w:i/>
        </w:rPr>
        <w:t>The Winter’s Tale</w:t>
      </w:r>
      <w:r w:rsidRPr="003037D2">
        <w:rPr>
          <w:rFonts w:ascii="Garamond" w:hAnsi="Garamond"/>
        </w:rPr>
        <w:t xml:space="preserve">’ in </w:t>
      </w:r>
      <w:r w:rsidRPr="003037D2">
        <w:rPr>
          <w:rFonts w:ascii="Garamond" w:hAnsi="Garamond"/>
          <w:i/>
        </w:rPr>
        <w:t xml:space="preserve">Modern Philology, </w:t>
      </w:r>
      <w:r w:rsidRPr="003037D2">
        <w:rPr>
          <w:rFonts w:ascii="Garamond" w:hAnsi="Garamond"/>
        </w:rPr>
        <w:t xml:space="preserve">114.3 (2017), pp. 630-656  </w:t>
      </w:r>
    </w:p>
    <w:p w14:paraId="0D289B1C" w14:textId="77777777" w:rsidR="00162224" w:rsidRPr="003037D2" w:rsidRDefault="00162224" w:rsidP="00A721D6">
      <w:pPr>
        <w:ind w:left="1361" w:hanging="720"/>
        <w:rPr>
          <w:rFonts w:ascii="Garamond" w:hAnsi="Garamond"/>
        </w:rPr>
      </w:pPr>
      <w:r w:rsidRPr="003037D2">
        <w:rPr>
          <w:rFonts w:ascii="Garamond" w:hAnsi="Garamond"/>
        </w:rPr>
        <w:t xml:space="preserve">Mitchell, W.J.T., ‘Spatial Form in Literature: Toward a General Theory’ in </w:t>
      </w:r>
      <w:r w:rsidRPr="003037D2">
        <w:rPr>
          <w:rFonts w:ascii="Garamond" w:hAnsi="Garamond"/>
          <w:i/>
          <w:iCs/>
        </w:rPr>
        <w:t>Critical Inquiry</w:t>
      </w:r>
      <w:r w:rsidRPr="003037D2">
        <w:rPr>
          <w:rFonts w:ascii="Garamond" w:hAnsi="Garamond"/>
        </w:rPr>
        <w:t>, 6.3 (Spring, 1980), pp. 539-567</w:t>
      </w:r>
    </w:p>
    <w:p w14:paraId="69D341E8" w14:textId="77777777" w:rsidR="00162224" w:rsidRPr="003037D2" w:rsidRDefault="00162224" w:rsidP="00A721D6">
      <w:pPr>
        <w:ind w:left="1361" w:hanging="720"/>
        <w:rPr>
          <w:rFonts w:ascii="Garamond" w:hAnsi="Garamond"/>
        </w:rPr>
      </w:pPr>
      <w:proofErr w:type="spellStart"/>
      <w:r w:rsidRPr="003037D2">
        <w:rPr>
          <w:rFonts w:ascii="Garamond" w:hAnsi="Garamond"/>
        </w:rPr>
        <w:t>Menary</w:t>
      </w:r>
      <w:proofErr w:type="spellEnd"/>
      <w:r w:rsidRPr="003037D2">
        <w:rPr>
          <w:rFonts w:ascii="Garamond" w:hAnsi="Garamond"/>
        </w:rPr>
        <w:t xml:space="preserve">, Richard ed., </w:t>
      </w:r>
      <w:r w:rsidRPr="003037D2">
        <w:rPr>
          <w:rFonts w:ascii="Garamond" w:hAnsi="Garamond"/>
          <w:i/>
        </w:rPr>
        <w:t xml:space="preserve">The Extended Mind </w:t>
      </w:r>
      <w:r w:rsidRPr="003037D2">
        <w:rPr>
          <w:rFonts w:ascii="Garamond" w:hAnsi="Garamond"/>
        </w:rPr>
        <w:t xml:space="preserve">(Cambridge, MA: The MIT Press, 2010) </w:t>
      </w:r>
    </w:p>
    <w:p w14:paraId="68945F15" w14:textId="77777777" w:rsidR="00162224" w:rsidRPr="003037D2" w:rsidRDefault="00162224" w:rsidP="00A721D6">
      <w:pPr>
        <w:ind w:left="1361" w:hanging="720"/>
        <w:rPr>
          <w:rFonts w:ascii="Garamond" w:hAnsi="Garamond"/>
        </w:rPr>
      </w:pPr>
      <w:r w:rsidRPr="003037D2">
        <w:rPr>
          <w:rFonts w:ascii="Garamond" w:hAnsi="Garamond"/>
        </w:rPr>
        <w:t xml:space="preserve">Meyers, Anne M., ‘Restoring ‘The Church-porch’: George Herbert's Architectural Style’ in </w:t>
      </w:r>
      <w:r w:rsidRPr="003037D2">
        <w:rPr>
          <w:rFonts w:ascii="Garamond" w:hAnsi="Garamond"/>
          <w:i/>
          <w:iCs/>
        </w:rPr>
        <w:t>English Literary Renaissance</w:t>
      </w:r>
      <w:r w:rsidRPr="003037D2">
        <w:rPr>
          <w:rFonts w:ascii="Garamond" w:hAnsi="Garamond"/>
        </w:rPr>
        <w:t>, 40.3 (2010), pp. 427-457</w:t>
      </w:r>
    </w:p>
    <w:p w14:paraId="1F10A7DC" w14:textId="77777777" w:rsidR="00162224" w:rsidRPr="003037D2" w:rsidRDefault="00162224" w:rsidP="00A721D6">
      <w:pPr>
        <w:ind w:left="1361" w:hanging="720"/>
        <w:rPr>
          <w:rFonts w:ascii="Garamond" w:hAnsi="Garamond"/>
        </w:rPr>
      </w:pPr>
      <w:r w:rsidRPr="003037D2">
        <w:rPr>
          <w:rFonts w:ascii="Garamond" w:hAnsi="Garamond"/>
        </w:rPr>
        <w:t xml:space="preserve">Meyers, Kelly. A., ‘Metanoia and the Transformation of opportunity’ in </w:t>
      </w:r>
      <w:r w:rsidRPr="003037D2">
        <w:rPr>
          <w:rFonts w:ascii="Garamond" w:hAnsi="Garamond"/>
          <w:i/>
        </w:rPr>
        <w:t xml:space="preserve">Rhetoric Society Quarterly, </w:t>
      </w:r>
      <w:r w:rsidRPr="003037D2">
        <w:rPr>
          <w:rFonts w:ascii="Garamond" w:hAnsi="Garamond"/>
        </w:rPr>
        <w:t xml:space="preserve">41 (2011), pp. 1-18 </w:t>
      </w:r>
    </w:p>
    <w:p w14:paraId="5D0466BB" w14:textId="77777777" w:rsidR="00162224" w:rsidRPr="003037D2" w:rsidRDefault="00162224" w:rsidP="00A721D6">
      <w:pPr>
        <w:ind w:left="1361" w:hanging="720"/>
        <w:rPr>
          <w:rFonts w:ascii="Garamond" w:hAnsi="Garamond"/>
        </w:rPr>
      </w:pPr>
      <w:proofErr w:type="spellStart"/>
      <w:r w:rsidRPr="003037D2">
        <w:rPr>
          <w:rFonts w:ascii="Garamond" w:hAnsi="Garamond"/>
        </w:rPr>
        <w:t>Moote</w:t>
      </w:r>
      <w:proofErr w:type="spellEnd"/>
      <w:r w:rsidRPr="003037D2">
        <w:rPr>
          <w:rFonts w:ascii="Garamond" w:hAnsi="Garamond"/>
        </w:rPr>
        <w:t xml:space="preserve">, A. Lloyd, and Dorothy C. </w:t>
      </w:r>
      <w:proofErr w:type="spellStart"/>
      <w:r w:rsidRPr="003037D2">
        <w:rPr>
          <w:rFonts w:ascii="Garamond" w:hAnsi="Garamond"/>
        </w:rPr>
        <w:t>Moote</w:t>
      </w:r>
      <w:proofErr w:type="spellEnd"/>
      <w:r w:rsidRPr="003037D2">
        <w:rPr>
          <w:rFonts w:ascii="Garamond" w:hAnsi="Garamond"/>
        </w:rPr>
        <w:t xml:space="preserve">, </w:t>
      </w:r>
      <w:r w:rsidRPr="003037D2">
        <w:rPr>
          <w:rFonts w:ascii="Garamond" w:hAnsi="Garamond"/>
          <w:i/>
          <w:iCs/>
        </w:rPr>
        <w:t xml:space="preserve">The Great Plague: The Story of London’s most Deadly year </w:t>
      </w:r>
      <w:r w:rsidRPr="003037D2">
        <w:rPr>
          <w:rFonts w:ascii="Garamond" w:hAnsi="Garamond"/>
        </w:rPr>
        <w:t>(Baltimore, MA: John Hopkins University Press, 2008)</w:t>
      </w:r>
    </w:p>
    <w:p w14:paraId="0CE5FC89" w14:textId="77777777" w:rsidR="00162224" w:rsidRPr="003037D2" w:rsidRDefault="00162224" w:rsidP="00A721D6">
      <w:pPr>
        <w:ind w:left="1361" w:hanging="720"/>
        <w:rPr>
          <w:rFonts w:ascii="Garamond" w:hAnsi="Garamond"/>
        </w:rPr>
      </w:pPr>
      <w:r w:rsidRPr="003037D2">
        <w:rPr>
          <w:rFonts w:ascii="Garamond" w:hAnsi="Garamond"/>
        </w:rPr>
        <w:t xml:space="preserve">Moran, Gerard T., ‘Conceptions of Time in Early Modern France: An Approach to the History of Collective Mentalities’ in </w:t>
      </w:r>
      <w:r w:rsidRPr="003037D2">
        <w:rPr>
          <w:rFonts w:ascii="Garamond" w:hAnsi="Garamond"/>
          <w:i/>
          <w:iCs/>
        </w:rPr>
        <w:t xml:space="preserve">The Sixteenth Century Journal, </w:t>
      </w:r>
      <w:r w:rsidRPr="003037D2">
        <w:rPr>
          <w:rFonts w:ascii="Garamond" w:hAnsi="Garamond"/>
        </w:rPr>
        <w:t xml:space="preserve">12.4 (Winter, 1981), pp. 3-19 </w:t>
      </w:r>
    </w:p>
    <w:p w14:paraId="6E15DD1F" w14:textId="2A0637AE" w:rsidR="00162224" w:rsidRPr="003037D2" w:rsidRDefault="00162224" w:rsidP="00A721D6">
      <w:pPr>
        <w:ind w:left="1361" w:hanging="720"/>
        <w:rPr>
          <w:rFonts w:ascii="Garamond" w:hAnsi="Garamond"/>
        </w:rPr>
      </w:pPr>
      <w:r w:rsidRPr="003037D2">
        <w:rPr>
          <w:rFonts w:ascii="Garamond" w:hAnsi="Garamond"/>
        </w:rPr>
        <w:t xml:space="preserve">Morgan, Robert P., ‘Musical Time/Musical Space’ in </w:t>
      </w:r>
      <w:r w:rsidRPr="003037D2">
        <w:rPr>
          <w:rFonts w:ascii="Garamond" w:hAnsi="Garamond"/>
          <w:i/>
          <w:iCs/>
        </w:rPr>
        <w:t>The Language of Images</w:t>
      </w:r>
      <w:r w:rsidR="00814479">
        <w:rPr>
          <w:rFonts w:ascii="Garamond" w:hAnsi="Garamond"/>
          <w:i/>
          <w:iCs/>
        </w:rPr>
        <w:t>,</w:t>
      </w:r>
      <w:r w:rsidRPr="003037D2">
        <w:rPr>
          <w:rFonts w:ascii="Garamond" w:hAnsi="Garamond"/>
          <w:i/>
          <w:iCs/>
        </w:rPr>
        <w:t xml:space="preserve"> </w:t>
      </w:r>
      <w:r w:rsidRPr="003037D2">
        <w:rPr>
          <w:rFonts w:ascii="Garamond" w:hAnsi="Garamond"/>
        </w:rPr>
        <w:t>ed. by W.J.T Mitchell</w:t>
      </w:r>
      <w:r w:rsidRPr="003037D2">
        <w:rPr>
          <w:rFonts w:ascii="Garamond" w:hAnsi="Garamond"/>
          <w:i/>
          <w:iCs/>
        </w:rPr>
        <w:t xml:space="preserve"> </w:t>
      </w:r>
      <w:r w:rsidRPr="003037D2">
        <w:rPr>
          <w:rFonts w:ascii="Garamond" w:hAnsi="Garamond"/>
        </w:rPr>
        <w:t xml:space="preserve">(Chicago: The University of Chicago Press, 1980) pp. 259-270 </w:t>
      </w:r>
    </w:p>
    <w:p w14:paraId="57D0E7CB" w14:textId="77777777" w:rsidR="00162224" w:rsidRPr="003037D2" w:rsidRDefault="00162224" w:rsidP="00A721D6">
      <w:pPr>
        <w:ind w:left="1361" w:hanging="720"/>
        <w:rPr>
          <w:rFonts w:ascii="Garamond" w:hAnsi="Garamond"/>
        </w:rPr>
      </w:pPr>
      <w:r w:rsidRPr="003037D2">
        <w:rPr>
          <w:rFonts w:ascii="Garamond" w:hAnsi="Garamond"/>
        </w:rPr>
        <w:t xml:space="preserve">Morrissey, Mary, ’Confessionalism and conversion in the Reformation’ in </w:t>
      </w:r>
      <w:r w:rsidRPr="003037D2">
        <w:rPr>
          <w:rFonts w:ascii="Garamond" w:hAnsi="Garamond"/>
          <w:i/>
        </w:rPr>
        <w:t>Oxford Handbooks Online</w:t>
      </w:r>
      <w:r w:rsidRPr="003037D2">
        <w:rPr>
          <w:rFonts w:ascii="Garamond" w:hAnsi="Garamond"/>
        </w:rPr>
        <w:t xml:space="preserve"> (Oxford: Oxford University Press, 2015) &lt;https://doi.org/10.1093/oxfordhb/9780199935338.013.73&gt; [Accessed 1 August 2018] </w:t>
      </w:r>
    </w:p>
    <w:p w14:paraId="04594891" w14:textId="77777777" w:rsidR="00162224" w:rsidRPr="003037D2" w:rsidRDefault="00162224" w:rsidP="00A721D6">
      <w:pPr>
        <w:ind w:left="1361" w:hanging="720"/>
        <w:rPr>
          <w:rFonts w:ascii="Garamond" w:hAnsi="Garamond"/>
        </w:rPr>
      </w:pPr>
      <w:r w:rsidRPr="003037D2">
        <w:rPr>
          <w:rFonts w:ascii="Garamond" w:hAnsi="Garamond"/>
        </w:rPr>
        <w:t>___</w:t>
      </w:r>
      <w:proofErr w:type="gramStart"/>
      <w:r w:rsidRPr="003037D2">
        <w:rPr>
          <w:rFonts w:ascii="Garamond" w:hAnsi="Garamond"/>
        </w:rPr>
        <w:t>_ ,</w:t>
      </w:r>
      <w:proofErr w:type="gramEnd"/>
      <w:r w:rsidRPr="003037D2">
        <w:rPr>
          <w:rFonts w:ascii="Garamond" w:hAnsi="Garamond"/>
        </w:rPr>
        <w:t xml:space="preserve"> ‘Donne as a conventional Paul’s Cross Preacher’ in </w:t>
      </w:r>
      <w:r w:rsidRPr="003037D2">
        <w:rPr>
          <w:rFonts w:ascii="Garamond" w:hAnsi="Garamond"/>
          <w:i/>
          <w:iCs/>
        </w:rPr>
        <w:t>John Donne’s Professional Lives</w:t>
      </w:r>
      <w:r w:rsidRPr="003037D2">
        <w:rPr>
          <w:rFonts w:ascii="Garamond" w:hAnsi="Garamond"/>
        </w:rPr>
        <w:t>, ed. by David Colclough (Cambridge: D.S. Brewer, 2003) pp. 159-177</w:t>
      </w:r>
    </w:p>
    <w:p w14:paraId="704192C7" w14:textId="77777777" w:rsidR="00162224" w:rsidRPr="003037D2" w:rsidRDefault="00162224" w:rsidP="00A721D6">
      <w:pPr>
        <w:ind w:left="1361" w:hanging="720"/>
        <w:rPr>
          <w:rFonts w:ascii="Garamond" w:hAnsi="Garamond"/>
          <w:i/>
        </w:rPr>
      </w:pPr>
      <w:r w:rsidRPr="003037D2">
        <w:rPr>
          <w:rFonts w:ascii="Garamond" w:hAnsi="Garamond"/>
          <w:color w:val="000000"/>
          <w:shd w:val="clear" w:color="auto" w:fill="FFFFFF"/>
        </w:rPr>
        <w:t>___</w:t>
      </w:r>
      <w:proofErr w:type="gramStart"/>
      <w:r w:rsidRPr="003037D2">
        <w:rPr>
          <w:rFonts w:ascii="Garamond" w:hAnsi="Garamond"/>
          <w:color w:val="000000"/>
          <w:shd w:val="clear" w:color="auto" w:fill="FFFFFF"/>
        </w:rPr>
        <w:t>_ ,</w:t>
      </w:r>
      <w:proofErr w:type="gramEnd"/>
      <w:r w:rsidRPr="003037D2">
        <w:rPr>
          <w:rFonts w:ascii="Garamond" w:hAnsi="Garamond"/>
        </w:rPr>
        <w:t xml:space="preserve">  </w:t>
      </w:r>
      <w:r w:rsidRPr="003037D2">
        <w:rPr>
          <w:rFonts w:ascii="Garamond" w:hAnsi="Garamond"/>
          <w:i/>
        </w:rPr>
        <w:t xml:space="preserve">Politics and the Paul’s Cross Sermons, 1558-1642 </w:t>
      </w:r>
      <w:r w:rsidRPr="003037D2">
        <w:rPr>
          <w:rFonts w:ascii="Garamond" w:hAnsi="Garamond"/>
        </w:rPr>
        <w:t>(Oxford University Press: Oxford, 2011)</w:t>
      </w:r>
    </w:p>
    <w:p w14:paraId="1EA8CDA9" w14:textId="77777777" w:rsidR="00162224" w:rsidRPr="003037D2" w:rsidRDefault="00162224" w:rsidP="00A721D6">
      <w:pPr>
        <w:ind w:left="1361" w:hanging="720"/>
        <w:rPr>
          <w:rFonts w:ascii="Garamond" w:hAnsi="Garamond"/>
        </w:rPr>
      </w:pPr>
      <w:r w:rsidRPr="003037D2">
        <w:rPr>
          <w:rFonts w:ascii="Garamond" w:hAnsi="Garamond"/>
        </w:rPr>
        <w:t xml:space="preserve">Moss, Ann, </w:t>
      </w:r>
      <w:r w:rsidRPr="003037D2">
        <w:rPr>
          <w:rFonts w:ascii="Garamond" w:hAnsi="Garamond"/>
          <w:i/>
          <w:iCs/>
        </w:rPr>
        <w:t xml:space="preserve">Printed Commonplace-Books and the structure of Renaissance thought </w:t>
      </w:r>
      <w:r w:rsidRPr="003037D2">
        <w:rPr>
          <w:rFonts w:ascii="Garamond" w:hAnsi="Garamond"/>
        </w:rPr>
        <w:t xml:space="preserve">(Oxford: Oxford University Press, 2002) </w:t>
      </w:r>
    </w:p>
    <w:p w14:paraId="4CE69F7D" w14:textId="77777777" w:rsidR="00162224" w:rsidRPr="003037D2" w:rsidRDefault="00162224" w:rsidP="00A721D6">
      <w:pPr>
        <w:ind w:left="1361" w:hanging="720"/>
        <w:rPr>
          <w:rFonts w:ascii="Garamond" w:hAnsi="Garamond"/>
        </w:rPr>
      </w:pPr>
      <w:proofErr w:type="spellStart"/>
      <w:r w:rsidRPr="003037D2">
        <w:rPr>
          <w:rFonts w:ascii="Garamond" w:hAnsi="Garamond"/>
        </w:rPr>
        <w:t>Murdin</w:t>
      </w:r>
      <w:proofErr w:type="spellEnd"/>
      <w:r w:rsidRPr="003037D2">
        <w:rPr>
          <w:rFonts w:ascii="Garamond" w:hAnsi="Garamond"/>
        </w:rPr>
        <w:t xml:space="preserve">, Paul, </w:t>
      </w:r>
      <w:r w:rsidRPr="003037D2">
        <w:rPr>
          <w:rFonts w:ascii="Garamond" w:hAnsi="Garamond"/>
          <w:i/>
          <w:iCs/>
        </w:rPr>
        <w:t xml:space="preserve">Full Meridian of Glory: Perilous Adventures in the Competition to Measure the Earth </w:t>
      </w:r>
      <w:r w:rsidRPr="003037D2">
        <w:rPr>
          <w:rFonts w:ascii="Garamond" w:hAnsi="Garamond"/>
        </w:rPr>
        <w:t>(New York: Springer, 2008)</w:t>
      </w:r>
    </w:p>
    <w:p w14:paraId="4681691C" w14:textId="79D041BA" w:rsidR="00162224" w:rsidRPr="003037D2" w:rsidRDefault="00162224" w:rsidP="00A721D6">
      <w:pPr>
        <w:ind w:left="1361" w:hanging="720"/>
        <w:rPr>
          <w:rFonts w:ascii="Garamond" w:hAnsi="Garamond"/>
        </w:rPr>
      </w:pPr>
      <w:r w:rsidRPr="003037D2">
        <w:rPr>
          <w:rFonts w:ascii="Garamond" w:hAnsi="Garamond"/>
        </w:rPr>
        <w:t xml:space="preserve">Nagel, Alexander and Christopher S. Wood, </w:t>
      </w:r>
      <w:r w:rsidRPr="003037D2">
        <w:rPr>
          <w:rFonts w:ascii="Garamond" w:hAnsi="Garamond"/>
          <w:i/>
        </w:rPr>
        <w:t>Anachronic Renaissance</w:t>
      </w:r>
      <w:r w:rsidRPr="003037D2">
        <w:rPr>
          <w:rFonts w:ascii="Garamond" w:hAnsi="Garamond"/>
        </w:rPr>
        <w:t xml:space="preserve"> (New York: Zone Books, 2010) </w:t>
      </w:r>
    </w:p>
    <w:p w14:paraId="457674D5" w14:textId="07C514BF" w:rsidR="0010251F" w:rsidRPr="003037D2" w:rsidRDefault="0010251F" w:rsidP="00A721D6">
      <w:pPr>
        <w:ind w:left="1361" w:hanging="720"/>
        <w:rPr>
          <w:rFonts w:ascii="Garamond" w:hAnsi="Garamond"/>
        </w:rPr>
      </w:pPr>
      <w:r w:rsidRPr="003037D2">
        <w:rPr>
          <w:rFonts w:ascii="Garamond" w:hAnsi="Garamond"/>
        </w:rPr>
        <w:t xml:space="preserve">Neale, J.M., </w:t>
      </w:r>
      <w:r w:rsidRPr="003037D2">
        <w:rPr>
          <w:rFonts w:ascii="Garamond" w:hAnsi="Garamond"/>
          <w:i/>
        </w:rPr>
        <w:t xml:space="preserve">Essays on Liturgiology and Church History: with an appendix on liturgical quotations from the </w:t>
      </w:r>
      <w:proofErr w:type="spellStart"/>
      <w:r w:rsidRPr="003037D2">
        <w:rPr>
          <w:rFonts w:ascii="Garamond" w:hAnsi="Garamond"/>
          <w:i/>
        </w:rPr>
        <w:t>Isapostolical</w:t>
      </w:r>
      <w:proofErr w:type="spellEnd"/>
      <w:r w:rsidRPr="003037D2">
        <w:rPr>
          <w:rFonts w:ascii="Garamond" w:hAnsi="Garamond"/>
          <w:i/>
        </w:rPr>
        <w:t xml:space="preserve"> Fathers </w:t>
      </w:r>
      <w:r w:rsidRPr="003037D2">
        <w:rPr>
          <w:rFonts w:ascii="Garamond" w:hAnsi="Garamond"/>
        </w:rPr>
        <w:t>(London: Saunders, 1863)</w:t>
      </w:r>
    </w:p>
    <w:p w14:paraId="6DAA23D2" w14:textId="77777777" w:rsidR="00162224" w:rsidRPr="003037D2" w:rsidRDefault="00162224" w:rsidP="00A721D6">
      <w:pPr>
        <w:ind w:left="1361" w:hanging="720"/>
        <w:rPr>
          <w:rFonts w:ascii="Garamond" w:hAnsi="Garamond"/>
        </w:rPr>
      </w:pPr>
      <w:r w:rsidRPr="003037D2">
        <w:rPr>
          <w:rFonts w:ascii="Garamond" w:hAnsi="Garamond"/>
        </w:rPr>
        <w:t xml:space="preserve">Needs, Lisa Diane, </w:t>
      </w:r>
      <w:r w:rsidRPr="003037D2">
        <w:rPr>
          <w:rFonts w:ascii="Garamond" w:hAnsi="Garamond"/>
          <w:i/>
        </w:rPr>
        <w:t xml:space="preserve">Proving one God, one Harmonie: The Persona of George Herbert’s ‘The Temple’ and its poetic legacy </w:t>
      </w:r>
      <w:r w:rsidRPr="003037D2">
        <w:rPr>
          <w:rFonts w:ascii="Garamond" w:hAnsi="Garamond"/>
        </w:rPr>
        <w:t xml:space="preserve">(Unpublished Doctoral Thesis, University of York, 1983) </w:t>
      </w:r>
    </w:p>
    <w:p w14:paraId="332D2886" w14:textId="77777777" w:rsidR="00162224" w:rsidRPr="003037D2" w:rsidRDefault="00162224" w:rsidP="00A721D6">
      <w:pPr>
        <w:ind w:left="1361" w:hanging="720"/>
        <w:rPr>
          <w:rFonts w:ascii="Garamond" w:hAnsi="Garamond"/>
        </w:rPr>
      </w:pPr>
      <w:r w:rsidRPr="003037D2">
        <w:rPr>
          <w:rFonts w:ascii="Garamond" w:hAnsi="Garamond"/>
        </w:rPr>
        <w:t xml:space="preserve">Nietzsche, </w:t>
      </w:r>
      <w:proofErr w:type="spellStart"/>
      <w:r w:rsidRPr="003037D2">
        <w:rPr>
          <w:rFonts w:ascii="Garamond" w:hAnsi="Garamond"/>
        </w:rPr>
        <w:t>Friendrich</w:t>
      </w:r>
      <w:proofErr w:type="spellEnd"/>
      <w:r w:rsidRPr="003037D2">
        <w:rPr>
          <w:rFonts w:ascii="Garamond" w:hAnsi="Garamond"/>
        </w:rPr>
        <w:t xml:space="preserve"> </w:t>
      </w:r>
      <w:proofErr w:type="spellStart"/>
      <w:r w:rsidRPr="003037D2">
        <w:rPr>
          <w:rFonts w:ascii="Garamond" w:hAnsi="Garamond"/>
        </w:rPr>
        <w:t>Willhelm</w:t>
      </w:r>
      <w:proofErr w:type="spellEnd"/>
      <w:r w:rsidRPr="003037D2">
        <w:rPr>
          <w:rFonts w:ascii="Garamond" w:hAnsi="Garamond"/>
        </w:rPr>
        <w:t xml:space="preserve">, </w:t>
      </w:r>
      <w:r w:rsidRPr="003037D2">
        <w:rPr>
          <w:rFonts w:ascii="Garamond" w:hAnsi="Garamond"/>
          <w:i/>
        </w:rPr>
        <w:t xml:space="preserve">Untimely Meditations, </w:t>
      </w:r>
      <w:r w:rsidRPr="003037D2">
        <w:rPr>
          <w:rFonts w:ascii="Garamond" w:hAnsi="Garamond"/>
        </w:rPr>
        <w:t xml:space="preserve">translated by R. J. </w:t>
      </w:r>
      <w:proofErr w:type="spellStart"/>
      <w:r w:rsidRPr="003037D2">
        <w:rPr>
          <w:rFonts w:ascii="Garamond" w:hAnsi="Garamond"/>
        </w:rPr>
        <w:t>Hollingdale</w:t>
      </w:r>
      <w:proofErr w:type="spellEnd"/>
      <w:r w:rsidRPr="003037D2">
        <w:rPr>
          <w:rFonts w:ascii="Garamond" w:hAnsi="Garamond"/>
        </w:rPr>
        <w:t xml:space="preserve"> (Cambridge: Cambridge University Press, 1997)</w:t>
      </w:r>
    </w:p>
    <w:p w14:paraId="6678729F" w14:textId="77777777" w:rsidR="00162224" w:rsidRPr="003037D2" w:rsidRDefault="00162224" w:rsidP="00A721D6">
      <w:pPr>
        <w:ind w:left="1361" w:hanging="720"/>
        <w:rPr>
          <w:rFonts w:ascii="Garamond" w:hAnsi="Garamond"/>
        </w:rPr>
      </w:pPr>
      <w:r w:rsidRPr="003037D2">
        <w:rPr>
          <w:rFonts w:ascii="Garamond" w:hAnsi="Garamond"/>
        </w:rPr>
        <w:t xml:space="preserve">Nishikawa, </w:t>
      </w:r>
      <w:proofErr w:type="spellStart"/>
      <w:r w:rsidRPr="003037D2">
        <w:rPr>
          <w:rFonts w:ascii="Garamond" w:hAnsi="Garamond"/>
        </w:rPr>
        <w:t>Kensei</w:t>
      </w:r>
      <w:proofErr w:type="spellEnd"/>
      <w:r w:rsidRPr="003037D2">
        <w:rPr>
          <w:rFonts w:ascii="Garamond" w:hAnsi="Garamond"/>
        </w:rPr>
        <w:t xml:space="preserve">, ‘The doctrine of prevenient grace in George Herbert's </w:t>
      </w:r>
      <w:r w:rsidRPr="003037D2">
        <w:rPr>
          <w:rFonts w:ascii="Garamond" w:hAnsi="Garamond"/>
          <w:i/>
        </w:rPr>
        <w:t>The Temple</w:t>
      </w:r>
      <w:r w:rsidRPr="003037D2">
        <w:rPr>
          <w:rFonts w:ascii="Garamond" w:hAnsi="Garamond"/>
        </w:rPr>
        <w:t xml:space="preserve">’ in </w:t>
      </w:r>
      <w:r w:rsidRPr="003037D2">
        <w:rPr>
          <w:rFonts w:ascii="Garamond" w:hAnsi="Garamond"/>
          <w:i/>
        </w:rPr>
        <w:t>George Herbert Journal</w:t>
      </w:r>
      <w:r w:rsidRPr="003037D2">
        <w:rPr>
          <w:rFonts w:ascii="Garamond" w:hAnsi="Garamond"/>
        </w:rPr>
        <w:t>, 38 (Fall 2014-Spring 2015), pp. 66-79</w:t>
      </w:r>
    </w:p>
    <w:p w14:paraId="35D224B7" w14:textId="77777777" w:rsidR="00162224" w:rsidRPr="003037D2" w:rsidRDefault="00162224" w:rsidP="00A721D6">
      <w:pPr>
        <w:ind w:left="1361" w:hanging="720"/>
        <w:rPr>
          <w:rFonts w:ascii="Garamond" w:hAnsi="Garamond"/>
        </w:rPr>
      </w:pPr>
      <w:r w:rsidRPr="003037D2">
        <w:rPr>
          <w:rFonts w:ascii="Garamond" w:hAnsi="Garamond"/>
        </w:rPr>
        <w:t xml:space="preserve">North, John David, </w:t>
      </w:r>
      <w:r w:rsidRPr="003037D2">
        <w:rPr>
          <w:rFonts w:ascii="Garamond" w:hAnsi="Garamond"/>
          <w:i/>
          <w:iCs/>
        </w:rPr>
        <w:t>God’s Clockmaker: Richard of Wallingford and the Invention of Time</w:t>
      </w:r>
      <w:r w:rsidRPr="003037D2">
        <w:rPr>
          <w:rFonts w:ascii="Garamond" w:hAnsi="Garamond"/>
        </w:rPr>
        <w:t xml:space="preserve"> (London: Hambleton, 2005),   </w:t>
      </w:r>
    </w:p>
    <w:p w14:paraId="59D749FC" w14:textId="77777777" w:rsidR="00162224" w:rsidRPr="003037D2" w:rsidRDefault="00162224" w:rsidP="00A721D6">
      <w:pPr>
        <w:ind w:left="1361" w:hanging="720"/>
        <w:rPr>
          <w:rFonts w:ascii="Garamond" w:hAnsi="Garamond"/>
        </w:rPr>
      </w:pPr>
      <w:r w:rsidRPr="003037D2">
        <w:rPr>
          <w:rFonts w:ascii="Garamond" w:hAnsi="Garamond"/>
        </w:rPr>
        <w:lastRenderedPageBreak/>
        <w:t xml:space="preserve">Norton, David, </w:t>
      </w:r>
      <w:r w:rsidRPr="003037D2">
        <w:rPr>
          <w:rFonts w:ascii="Garamond" w:hAnsi="Garamond"/>
          <w:i/>
          <w:iCs/>
        </w:rPr>
        <w:t xml:space="preserve">A history of the Bible as literature: Vol I from antiquity to 1700 </w:t>
      </w:r>
      <w:r w:rsidRPr="003037D2">
        <w:rPr>
          <w:rFonts w:ascii="Garamond" w:hAnsi="Garamond"/>
          <w:iCs/>
        </w:rPr>
        <w:t>(Cambridge: Cambridge University Press, 1993)</w:t>
      </w:r>
      <w:r w:rsidRPr="003037D2">
        <w:rPr>
          <w:rFonts w:ascii="Garamond" w:hAnsi="Garamond"/>
        </w:rPr>
        <w:t xml:space="preserve"> </w:t>
      </w:r>
    </w:p>
    <w:p w14:paraId="333E29A8" w14:textId="77777777" w:rsidR="00162224" w:rsidRPr="003037D2" w:rsidRDefault="00162224" w:rsidP="00A721D6">
      <w:pPr>
        <w:ind w:left="1361" w:hanging="720"/>
        <w:rPr>
          <w:rFonts w:ascii="Garamond" w:hAnsi="Garamond"/>
          <w:iCs/>
        </w:rPr>
      </w:pPr>
      <w:r w:rsidRPr="003037D2">
        <w:rPr>
          <w:rFonts w:ascii="Garamond" w:hAnsi="Garamond"/>
        </w:rPr>
        <w:t xml:space="preserve">Ong, Walter, </w:t>
      </w:r>
      <w:r w:rsidRPr="003037D2">
        <w:rPr>
          <w:rFonts w:ascii="Garamond" w:hAnsi="Garamond"/>
          <w:i/>
          <w:iCs/>
        </w:rPr>
        <w:t xml:space="preserve">Orality and Literacy: The Technologizing of the Word </w:t>
      </w:r>
      <w:r w:rsidRPr="003037D2">
        <w:rPr>
          <w:rFonts w:ascii="Garamond" w:hAnsi="Garamond"/>
          <w:iCs/>
        </w:rPr>
        <w:t>(London: Methuen, 1982)</w:t>
      </w:r>
    </w:p>
    <w:p w14:paraId="72D0D517" w14:textId="77777777" w:rsidR="00162224" w:rsidRPr="003037D2" w:rsidRDefault="00162224" w:rsidP="00A721D6">
      <w:pPr>
        <w:ind w:left="1361" w:hanging="720"/>
        <w:rPr>
          <w:rFonts w:ascii="Garamond" w:hAnsi="Garamond"/>
        </w:rPr>
      </w:pPr>
      <w:proofErr w:type="spellStart"/>
      <w:r w:rsidRPr="003037D2">
        <w:rPr>
          <w:rFonts w:ascii="Garamond" w:hAnsi="Garamond"/>
        </w:rPr>
        <w:t>Osherow</w:t>
      </w:r>
      <w:proofErr w:type="spellEnd"/>
      <w:r w:rsidRPr="003037D2">
        <w:rPr>
          <w:rFonts w:ascii="Garamond" w:hAnsi="Garamond"/>
        </w:rPr>
        <w:t xml:space="preserve">, Michelle, </w:t>
      </w:r>
      <w:r w:rsidRPr="003037D2">
        <w:rPr>
          <w:rFonts w:ascii="Garamond" w:hAnsi="Garamond"/>
          <w:i/>
          <w:iCs/>
        </w:rPr>
        <w:t>Biblical Women’s Voices in Early Modern England</w:t>
      </w:r>
      <w:r w:rsidRPr="003037D2">
        <w:rPr>
          <w:rFonts w:ascii="Garamond" w:hAnsi="Garamond"/>
        </w:rPr>
        <w:t xml:space="preserve"> (London: Ashgate, 2009)</w:t>
      </w:r>
    </w:p>
    <w:p w14:paraId="508BC2FF" w14:textId="532CF0CE" w:rsidR="00162224" w:rsidRPr="003037D2" w:rsidRDefault="00162224" w:rsidP="00A721D6">
      <w:pPr>
        <w:ind w:left="1361" w:hanging="720"/>
        <w:rPr>
          <w:rFonts w:ascii="Garamond" w:hAnsi="Garamond"/>
        </w:rPr>
      </w:pPr>
      <w:proofErr w:type="spellStart"/>
      <w:r w:rsidRPr="003037D2">
        <w:rPr>
          <w:rFonts w:ascii="Garamond" w:hAnsi="Garamond"/>
        </w:rPr>
        <w:t>Ostovich</w:t>
      </w:r>
      <w:proofErr w:type="spellEnd"/>
      <w:r w:rsidRPr="003037D2">
        <w:rPr>
          <w:rFonts w:ascii="Garamond" w:hAnsi="Garamond"/>
        </w:rPr>
        <w:t xml:space="preserve">, Helen, Mary V. </w:t>
      </w:r>
      <w:proofErr w:type="spellStart"/>
      <w:r w:rsidRPr="003037D2">
        <w:rPr>
          <w:rFonts w:ascii="Garamond" w:hAnsi="Garamond"/>
        </w:rPr>
        <w:t>Silcox</w:t>
      </w:r>
      <w:proofErr w:type="spellEnd"/>
      <w:r w:rsidRPr="003037D2">
        <w:rPr>
          <w:rFonts w:ascii="Garamond" w:hAnsi="Garamond"/>
        </w:rPr>
        <w:t>, and Graham Roebuck</w:t>
      </w:r>
      <w:r w:rsidRPr="003037D2">
        <w:rPr>
          <w:rFonts w:ascii="Garamond" w:hAnsi="Garamond"/>
          <w:i/>
        </w:rPr>
        <w:t xml:space="preserve"> </w:t>
      </w:r>
      <w:r w:rsidRPr="003037D2">
        <w:rPr>
          <w:rFonts w:ascii="Garamond" w:hAnsi="Garamond"/>
        </w:rPr>
        <w:t>eds</w:t>
      </w:r>
      <w:r w:rsidR="00276F4F">
        <w:rPr>
          <w:rFonts w:ascii="Garamond" w:hAnsi="Garamond"/>
        </w:rPr>
        <w:t>,</w:t>
      </w:r>
      <w:r w:rsidRPr="003037D2">
        <w:rPr>
          <w:rFonts w:ascii="Garamond" w:hAnsi="Garamond"/>
        </w:rPr>
        <w:t xml:space="preserve"> </w:t>
      </w:r>
      <w:r w:rsidRPr="003037D2">
        <w:rPr>
          <w:rFonts w:ascii="Garamond" w:hAnsi="Garamond"/>
          <w:i/>
        </w:rPr>
        <w:t>Other Voices, Other Views: Expanding the Canon in English Renaissance Studies</w:t>
      </w:r>
      <w:r w:rsidRPr="003037D2">
        <w:rPr>
          <w:rFonts w:ascii="Garamond" w:hAnsi="Garamond"/>
        </w:rPr>
        <w:t xml:space="preserve"> (Newark: University of Delaware Press, 1999)</w:t>
      </w:r>
    </w:p>
    <w:p w14:paraId="1CC4A35B" w14:textId="77777777" w:rsidR="00162224" w:rsidRPr="003037D2" w:rsidRDefault="00162224" w:rsidP="00A721D6">
      <w:pPr>
        <w:ind w:left="1361" w:hanging="720"/>
        <w:rPr>
          <w:rFonts w:ascii="Garamond" w:hAnsi="Garamond"/>
        </w:rPr>
      </w:pPr>
      <w:r w:rsidRPr="003037D2">
        <w:rPr>
          <w:rFonts w:ascii="Garamond" w:hAnsi="Garamond"/>
        </w:rPr>
        <w:t xml:space="preserve">Paul, Joanne, ‘The use of </w:t>
      </w:r>
      <w:r w:rsidRPr="003037D2">
        <w:rPr>
          <w:rFonts w:ascii="Garamond" w:hAnsi="Garamond"/>
          <w:i/>
        </w:rPr>
        <w:t xml:space="preserve">Kairos </w:t>
      </w:r>
      <w:r w:rsidRPr="003037D2">
        <w:rPr>
          <w:rFonts w:ascii="Garamond" w:hAnsi="Garamond"/>
        </w:rPr>
        <w:t xml:space="preserve">in Renaissance Political Philosophy’ in </w:t>
      </w:r>
      <w:r w:rsidRPr="003037D2">
        <w:rPr>
          <w:rFonts w:ascii="Garamond" w:hAnsi="Garamond"/>
          <w:i/>
        </w:rPr>
        <w:t xml:space="preserve">Renaissance Quarterly </w:t>
      </w:r>
      <w:r w:rsidRPr="003037D2">
        <w:rPr>
          <w:rFonts w:ascii="Garamond" w:hAnsi="Garamond"/>
        </w:rPr>
        <w:t>67 (2014): 43-78</w:t>
      </w:r>
    </w:p>
    <w:p w14:paraId="3EBB910E" w14:textId="77777777" w:rsidR="00162224" w:rsidRPr="003037D2" w:rsidRDefault="00162224" w:rsidP="00A721D6">
      <w:pPr>
        <w:ind w:left="1361" w:hanging="720"/>
        <w:rPr>
          <w:rFonts w:ascii="Garamond" w:hAnsi="Garamond"/>
        </w:rPr>
      </w:pPr>
      <w:r w:rsidRPr="003037D2">
        <w:rPr>
          <w:rFonts w:ascii="Garamond" w:hAnsi="Garamond"/>
        </w:rPr>
        <w:t xml:space="preserve">Pender, Patricia, ‘Reading Bale Reading Anne Askew: Contested Collaboration in </w:t>
      </w:r>
      <w:r w:rsidRPr="003037D2">
        <w:rPr>
          <w:rFonts w:ascii="Garamond" w:hAnsi="Garamond"/>
          <w:i/>
          <w:iCs/>
        </w:rPr>
        <w:t>The Examinations’</w:t>
      </w:r>
      <w:r w:rsidRPr="003037D2">
        <w:rPr>
          <w:rFonts w:ascii="Garamond" w:hAnsi="Garamond"/>
          <w:b/>
          <w:i/>
          <w:iCs/>
        </w:rPr>
        <w:t xml:space="preserve"> </w:t>
      </w:r>
      <w:r w:rsidRPr="003037D2">
        <w:rPr>
          <w:rFonts w:ascii="Garamond" w:hAnsi="Garamond"/>
          <w:b/>
          <w:iCs/>
        </w:rPr>
        <w:t>i</w:t>
      </w:r>
      <w:r w:rsidRPr="003037D2">
        <w:rPr>
          <w:rFonts w:ascii="Garamond" w:hAnsi="Garamond"/>
          <w:iCs/>
        </w:rPr>
        <w:t xml:space="preserve">n </w:t>
      </w:r>
      <w:r w:rsidRPr="003037D2">
        <w:rPr>
          <w:rFonts w:ascii="Garamond" w:hAnsi="Garamond"/>
          <w:i/>
        </w:rPr>
        <w:t>Huntington Library Quarterly</w:t>
      </w:r>
      <w:r w:rsidRPr="003037D2">
        <w:rPr>
          <w:rFonts w:ascii="Garamond" w:hAnsi="Garamond"/>
        </w:rPr>
        <w:t>, 73.3 (September 2010), pp. 507-522</w:t>
      </w:r>
    </w:p>
    <w:p w14:paraId="3CB8AC5D" w14:textId="77777777" w:rsidR="00162224" w:rsidRPr="003037D2" w:rsidRDefault="00162224" w:rsidP="00A721D6">
      <w:pPr>
        <w:ind w:left="1361" w:hanging="720"/>
        <w:rPr>
          <w:rFonts w:ascii="Garamond" w:hAnsi="Garamond"/>
        </w:rPr>
      </w:pPr>
      <w:r w:rsidRPr="003037D2">
        <w:rPr>
          <w:rFonts w:ascii="Garamond" w:hAnsi="Garamond"/>
        </w:rPr>
        <w:t xml:space="preserve">Preminger, Alex, </w:t>
      </w:r>
      <w:r w:rsidRPr="003037D2">
        <w:rPr>
          <w:rFonts w:ascii="Garamond" w:hAnsi="Garamond"/>
          <w:i/>
          <w:iCs/>
        </w:rPr>
        <w:t xml:space="preserve">The Princeton Handbook of Poetic Terms </w:t>
      </w:r>
      <w:r w:rsidRPr="003037D2">
        <w:rPr>
          <w:rFonts w:ascii="Garamond" w:hAnsi="Garamond"/>
          <w:iCs/>
        </w:rPr>
        <w:t xml:space="preserve">(Princeton: </w:t>
      </w:r>
      <w:r w:rsidRPr="003037D2">
        <w:rPr>
          <w:rFonts w:ascii="Garamond" w:hAnsi="Garamond"/>
        </w:rPr>
        <w:t>Princeton University Press, 1986)</w:t>
      </w:r>
    </w:p>
    <w:p w14:paraId="13B9434E" w14:textId="77777777" w:rsidR="00162224" w:rsidRPr="003037D2" w:rsidRDefault="00162224" w:rsidP="00A721D6">
      <w:pPr>
        <w:ind w:left="1361" w:hanging="720"/>
        <w:rPr>
          <w:rFonts w:ascii="Garamond" w:hAnsi="Garamond"/>
        </w:rPr>
      </w:pPr>
      <w:r w:rsidRPr="003037D2">
        <w:rPr>
          <w:rFonts w:ascii="Garamond" w:hAnsi="Garamond"/>
        </w:rPr>
        <w:t xml:space="preserve">Perkins, Maureen, </w:t>
      </w:r>
      <w:r w:rsidRPr="003037D2">
        <w:rPr>
          <w:rFonts w:ascii="Garamond" w:hAnsi="Garamond"/>
          <w:i/>
        </w:rPr>
        <w:t xml:space="preserve">Visions of the Future: Almanacs, Time, and Cultural Change 1775-1870 </w:t>
      </w:r>
      <w:r w:rsidRPr="003037D2">
        <w:rPr>
          <w:rFonts w:ascii="Garamond" w:hAnsi="Garamond"/>
        </w:rPr>
        <w:t xml:space="preserve">(Oxford: Clarendon Press, 1996) </w:t>
      </w:r>
    </w:p>
    <w:p w14:paraId="4557C0CE" w14:textId="04E9844C" w:rsidR="00162224" w:rsidRPr="003037D2" w:rsidRDefault="00162224" w:rsidP="00A721D6">
      <w:pPr>
        <w:ind w:left="1361" w:hanging="720"/>
        <w:rPr>
          <w:rFonts w:ascii="Garamond" w:hAnsi="Garamond"/>
        </w:rPr>
      </w:pPr>
      <w:proofErr w:type="spellStart"/>
      <w:r w:rsidRPr="003037D2">
        <w:rPr>
          <w:rFonts w:ascii="Garamond" w:hAnsi="Garamond"/>
        </w:rPr>
        <w:t>Pettegree</w:t>
      </w:r>
      <w:proofErr w:type="spellEnd"/>
      <w:r w:rsidRPr="003037D2">
        <w:rPr>
          <w:rFonts w:ascii="Garamond" w:hAnsi="Garamond"/>
        </w:rPr>
        <w:t xml:space="preserve">, Andrew. ‘Day [Daye], John (1521/2–1584), printer and bookseller’ in </w:t>
      </w:r>
      <w:r w:rsidRPr="003037D2">
        <w:rPr>
          <w:rFonts w:ascii="Garamond" w:hAnsi="Garamond"/>
          <w:i/>
          <w:iCs/>
        </w:rPr>
        <w:t>Oxford Dictionary of National Biography</w:t>
      </w:r>
      <w:r w:rsidRPr="003037D2">
        <w:rPr>
          <w:rFonts w:ascii="Garamond" w:hAnsi="Garamond"/>
        </w:rPr>
        <w:t>, Oxford University Press, 2004 &lt;</w:t>
      </w:r>
      <w:hyperlink r:id="rId81" w:history="1">
        <w:r w:rsidRPr="003037D2">
          <w:rPr>
            <w:rStyle w:val="Hyperlink"/>
            <w:rFonts w:ascii="Garamond" w:hAnsi="Garamond"/>
          </w:rPr>
          <w:t>http://www.oxforddnb.com/view/10.1093/ref:odnb/9780198614128.001.0001/odnb-9780198614128-e-7367</w:t>
        </w:r>
      </w:hyperlink>
      <w:r w:rsidRPr="003037D2">
        <w:rPr>
          <w:rStyle w:val="Hyperlink"/>
          <w:rFonts w:ascii="Garamond" w:hAnsi="Garamond"/>
        </w:rPr>
        <w:t>&gt;</w:t>
      </w:r>
      <w:r w:rsidRPr="003037D2">
        <w:rPr>
          <w:rFonts w:ascii="Garamond" w:hAnsi="Garamond"/>
        </w:rPr>
        <w:t xml:space="preserve"> [accessed 10 July 2018]</w:t>
      </w:r>
    </w:p>
    <w:p w14:paraId="528C84E3" w14:textId="77777777" w:rsidR="00162224" w:rsidRPr="003037D2" w:rsidRDefault="00162224" w:rsidP="00A721D6">
      <w:pPr>
        <w:ind w:left="1361" w:hanging="720"/>
        <w:rPr>
          <w:rFonts w:ascii="Garamond" w:hAnsi="Garamond"/>
        </w:rPr>
      </w:pPr>
      <w:r w:rsidRPr="003037D2">
        <w:rPr>
          <w:rFonts w:ascii="Garamond" w:hAnsi="Garamond"/>
        </w:rPr>
        <w:t xml:space="preserve">Prescott, Anne Lake, ‘Two </w:t>
      </w:r>
      <w:proofErr w:type="spellStart"/>
      <w:r w:rsidRPr="003037D2">
        <w:rPr>
          <w:rFonts w:ascii="Garamond" w:hAnsi="Garamond"/>
        </w:rPr>
        <w:t>Annes</w:t>
      </w:r>
      <w:proofErr w:type="spellEnd"/>
      <w:r w:rsidRPr="003037D2">
        <w:rPr>
          <w:rFonts w:ascii="Garamond" w:hAnsi="Garamond"/>
        </w:rPr>
        <w:t xml:space="preserve">, Two </w:t>
      </w:r>
      <w:proofErr w:type="spellStart"/>
      <w:r w:rsidRPr="003037D2">
        <w:rPr>
          <w:rFonts w:ascii="Garamond" w:hAnsi="Garamond"/>
        </w:rPr>
        <w:t>Davids</w:t>
      </w:r>
      <w:proofErr w:type="spellEnd"/>
      <w:r w:rsidRPr="003037D2">
        <w:rPr>
          <w:rFonts w:ascii="Garamond" w:hAnsi="Garamond"/>
        </w:rPr>
        <w:t xml:space="preserve">: The Sonnets of Anne Lock and Anne de </w:t>
      </w:r>
      <w:proofErr w:type="spellStart"/>
      <w:r w:rsidRPr="003037D2">
        <w:rPr>
          <w:rFonts w:ascii="Garamond" w:hAnsi="Garamond"/>
        </w:rPr>
        <w:t>Marquets</w:t>
      </w:r>
      <w:proofErr w:type="spellEnd"/>
      <w:r w:rsidRPr="003037D2">
        <w:rPr>
          <w:rFonts w:ascii="Garamond" w:hAnsi="Garamond"/>
        </w:rPr>
        <w:t xml:space="preserve">’ in </w:t>
      </w:r>
      <w:r w:rsidRPr="003037D2">
        <w:rPr>
          <w:rFonts w:ascii="Garamond" w:hAnsi="Garamond"/>
          <w:i/>
        </w:rPr>
        <w:t>Tradition, Heterodoxy, and Religious Culture: Judaism and Christianity in the Early Modern Period,</w:t>
      </w:r>
      <w:r w:rsidRPr="003037D2">
        <w:rPr>
          <w:rFonts w:ascii="Garamond" w:hAnsi="Garamond"/>
        </w:rPr>
        <w:t xml:space="preserve"> ed. by </w:t>
      </w:r>
      <w:proofErr w:type="spellStart"/>
      <w:r w:rsidRPr="003037D2">
        <w:rPr>
          <w:rFonts w:ascii="Garamond" w:hAnsi="Garamond"/>
        </w:rPr>
        <w:t>Chanita</w:t>
      </w:r>
      <w:proofErr w:type="spellEnd"/>
      <w:r w:rsidRPr="003037D2">
        <w:rPr>
          <w:rFonts w:ascii="Garamond" w:hAnsi="Garamond"/>
        </w:rPr>
        <w:t xml:space="preserve"> </w:t>
      </w:r>
      <w:proofErr w:type="spellStart"/>
      <w:r w:rsidRPr="003037D2">
        <w:rPr>
          <w:rFonts w:ascii="Garamond" w:hAnsi="Garamond"/>
        </w:rPr>
        <w:t>Goodblatt</w:t>
      </w:r>
      <w:proofErr w:type="spellEnd"/>
      <w:r w:rsidRPr="003037D2">
        <w:rPr>
          <w:rFonts w:ascii="Garamond" w:hAnsi="Garamond"/>
        </w:rPr>
        <w:t xml:space="preserve"> and Howard </w:t>
      </w:r>
      <w:proofErr w:type="spellStart"/>
      <w:r w:rsidRPr="003037D2">
        <w:rPr>
          <w:rFonts w:ascii="Garamond" w:hAnsi="Garamond"/>
        </w:rPr>
        <w:t>Kreisel</w:t>
      </w:r>
      <w:proofErr w:type="spellEnd"/>
      <w:r w:rsidRPr="003037D2">
        <w:rPr>
          <w:rFonts w:ascii="Garamond" w:hAnsi="Garamond"/>
        </w:rPr>
        <w:t xml:space="preserve"> (Beer-Sheva: Ben-Gurion University of the Negev Press, 2006), pp. 311–29</w:t>
      </w:r>
    </w:p>
    <w:p w14:paraId="73D2E170" w14:textId="77777777" w:rsidR="00162224" w:rsidRPr="003037D2" w:rsidRDefault="00162224" w:rsidP="00A721D6">
      <w:pPr>
        <w:ind w:left="1361" w:hanging="720"/>
        <w:rPr>
          <w:rFonts w:ascii="Garamond" w:hAnsi="Garamond"/>
        </w:rPr>
      </w:pPr>
      <w:r w:rsidRPr="003037D2">
        <w:rPr>
          <w:rFonts w:ascii="Garamond" w:hAnsi="Garamond"/>
        </w:rPr>
        <w:t xml:space="preserve">Quinones, Ricardo J., ‘The New Dynamic of Time in Renaissance Literature and Society’ in </w:t>
      </w:r>
      <w:r w:rsidRPr="003037D2">
        <w:rPr>
          <w:rFonts w:ascii="Garamond" w:hAnsi="Garamond"/>
          <w:i/>
        </w:rPr>
        <w:t>Time: The Greatest Innovator, Timekeeping and Time Consciousness in Early Modern Europe</w:t>
      </w:r>
      <w:r w:rsidRPr="003037D2">
        <w:rPr>
          <w:rFonts w:ascii="Garamond" w:hAnsi="Garamond"/>
        </w:rPr>
        <w:t>, ed. by Rachel Doggett (Washington, DC: The Folger Shakespeare Library), pp. 24-37</w:t>
      </w:r>
    </w:p>
    <w:p w14:paraId="7C1F71E1" w14:textId="4B92CA01" w:rsidR="00162224" w:rsidRPr="003037D2" w:rsidRDefault="00162224" w:rsidP="00A721D6">
      <w:pPr>
        <w:ind w:left="1361" w:hanging="720"/>
        <w:rPr>
          <w:rFonts w:ascii="Garamond" w:hAnsi="Garamond"/>
        </w:rPr>
      </w:pPr>
      <w:proofErr w:type="spellStart"/>
      <w:r w:rsidRPr="003037D2">
        <w:rPr>
          <w:rFonts w:ascii="Garamond" w:hAnsi="Garamond"/>
        </w:rPr>
        <w:t>Radzinowicz</w:t>
      </w:r>
      <w:proofErr w:type="spellEnd"/>
      <w:r w:rsidRPr="003037D2">
        <w:rPr>
          <w:rFonts w:ascii="Garamond" w:hAnsi="Garamond"/>
        </w:rPr>
        <w:t>, Mary Ann, ‘</w:t>
      </w:r>
      <w:r w:rsidR="00ED0F4C">
        <w:rPr>
          <w:rFonts w:ascii="Garamond" w:hAnsi="Garamond"/>
        </w:rPr>
        <w:t>“</w:t>
      </w:r>
      <w:r w:rsidRPr="003037D2">
        <w:rPr>
          <w:rFonts w:ascii="Garamond" w:hAnsi="Garamond"/>
        </w:rPr>
        <w:t xml:space="preserve">Anima </w:t>
      </w:r>
      <w:proofErr w:type="spellStart"/>
      <w:r w:rsidRPr="003037D2">
        <w:rPr>
          <w:rFonts w:ascii="Garamond" w:hAnsi="Garamond"/>
        </w:rPr>
        <w:t>Mea</w:t>
      </w:r>
      <w:proofErr w:type="spellEnd"/>
      <w:r w:rsidR="00ED0F4C">
        <w:rPr>
          <w:rFonts w:ascii="Garamond" w:hAnsi="Garamond"/>
        </w:rPr>
        <w:t>”</w:t>
      </w:r>
      <w:r w:rsidRPr="003037D2">
        <w:rPr>
          <w:rFonts w:ascii="Garamond" w:hAnsi="Garamond"/>
        </w:rPr>
        <w:t xml:space="preserve"> Psalms and John Donne’s Religious Poetry’ in </w:t>
      </w:r>
      <w:r w:rsidRPr="003037D2">
        <w:rPr>
          <w:rFonts w:ascii="Garamond" w:hAnsi="Garamond"/>
          <w:i/>
          <w:iCs/>
        </w:rPr>
        <w:t xml:space="preserve">Bright </w:t>
      </w:r>
      <w:proofErr w:type="spellStart"/>
      <w:r w:rsidRPr="003037D2">
        <w:rPr>
          <w:rFonts w:ascii="Garamond" w:hAnsi="Garamond"/>
          <w:i/>
          <w:iCs/>
        </w:rPr>
        <w:t>Shootes</w:t>
      </w:r>
      <w:proofErr w:type="spellEnd"/>
      <w:r w:rsidRPr="003037D2">
        <w:rPr>
          <w:rFonts w:ascii="Garamond" w:hAnsi="Garamond"/>
          <w:i/>
          <w:iCs/>
        </w:rPr>
        <w:t xml:space="preserve"> of </w:t>
      </w:r>
      <w:proofErr w:type="spellStart"/>
      <w:r w:rsidRPr="003037D2">
        <w:rPr>
          <w:rFonts w:ascii="Garamond" w:hAnsi="Garamond"/>
          <w:i/>
          <w:iCs/>
        </w:rPr>
        <w:t>Everlastingnesse</w:t>
      </w:r>
      <w:proofErr w:type="spellEnd"/>
      <w:r w:rsidRPr="003037D2">
        <w:rPr>
          <w:rFonts w:ascii="Garamond" w:hAnsi="Garamond"/>
          <w:i/>
          <w:iCs/>
        </w:rPr>
        <w:t>: The Seventeenth-Century Religious Lyric</w:t>
      </w:r>
      <w:r w:rsidR="00814479">
        <w:rPr>
          <w:rFonts w:ascii="Garamond" w:hAnsi="Garamond"/>
          <w:i/>
          <w:iCs/>
        </w:rPr>
        <w:t>,</w:t>
      </w:r>
      <w:r w:rsidRPr="003037D2">
        <w:rPr>
          <w:rFonts w:ascii="Garamond" w:hAnsi="Garamond"/>
          <w:i/>
          <w:iCs/>
        </w:rPr>
        <w:t xml:space="preserve"> </w:t>
      </w:r>
      <w:r w:rsidRPr="003037D2">
        <w:rPr>
          <w:rFonts w:ascii="Garamond" w:hAnsi="Garamond"/>
        </w:rPr>
        <w:t xml:space="preserve">ed. by Claude J. Summers and Ted-Larry </w:t>
      </w:r>
      <w:proofErr w:type="spellStart"/>
      <w:r w:rsidRPr="003037D2">
        <w:rPr>
          <w:rFonts w:ascii="Garamond" w:hAnsi="Garamond"/>
        </w:rPr>
        <w:t>Pebworth</w:t>
      </w:r>
      <w:proofErr w:type="spellEnd"/>
      <w:r w:rsidRPr="003037D2">
        <w:rPr>
          <w:rFonts w:ascii="Garamond" w:hAnsi="Garamond"/>
        </w:rPr>
        <w:t xml:space="preserve"> (Columbia: University of Missouri Press, 1987), pp. 40-58 </w:t>
      </w:r>
    </w:p>
    <w:p w14:paraId="5D60D007" w14:textId="559103C7" w:rsidR="00162224" w:rsidRPr="003037D2" w:rsidRDefault="00162224" w:rsidP="00A721D6">
      <w:pPr>
        <w:ind w:left="1361" w:hanging="720"/>
        <w:rPr>
          <w:rFonts w:ascii="Garamond" w:hAnsi="Garamond"/>
        </w:rPr>
      </w:pPr>
      <w:proofErr w:type="spellStart"/>
      <w:r w:rsidRPr="003037D2">
        <w:rPr>
          <w:rFonts w:ascii="Garamond" w:hAnsi="Garamond"/>
        </w:rPr>
        <w:t>Ransome</w:t>
      </w:r>
      <w:proofErr w:type="spellEnd"/>
      <w:r w:rsidRPr="003037D2">
        <w:rPr>
          <w:rFonts w:ascii="Garamond" w:hAnsi="Garamond"/>
        </w:rPr>
        <w:t>, Joyce, ‘</w:t>
      </w:r>
      <w:proofErr w:type="spellStart"/>
      <w:r w:rsidRPr="003037D2">
        <w:rPr>
          <w:rFonts w:ascii="Garamond" w:hAnsi="Garamond"/>
        </w:rPr>
        <w:t>Monotessaron</w:t>
      </w:r>
      <w:proofErr w:type="spellEnd"/>
      <w:r w:rsidRPr="003037D2">
        <w:rPr>
          <w:rFonts w:ascii="Garamond" w:hAnsi="Garamond"/>
        </w:rPr>
        <w:t xml:space="preserve">: The Harmonies of Little </w:t>
      </w:r>
      <w:proofErr w:type="spellStart"/>
      <w:r w:rsidRPr="003037D2">
        <w:rPr>
          <w:rFonts w:ascii="Garamond" w:hAnsi="Garamond"/>
        </w:rPr>
        <w:t>Gidding</w:t>
      </w:r>
      <w:proofErr w:type="spellEnd"/>
      <w:r w:rsidRPr="003037D2">
        <w:rPr>
          <w:rFonts w:ascii="Garamond" w:hAnsi="Garamond"/>
        </w:rPr>
        <w:t xml:space="preserve">’, in </w:t>
      </w:r>
      <w:r w:rsidRPr="003037D2">
        <w:rPr>
          <w:rFonts w:ascii="Garamond" w:hAnsi="Garamond"/>
          <w:i/>
        </w:rPr>
        <w:t>The Seventeenth Century</w:t>
      </w:r>
      <w:r w:rsidRPr="003037D2">
        <w:rPr>
          <w:rFonts w:ascii="Garamond" w:hAnsi="Garamond"/>
        </w:rPr>
        <w:t>, 20 (2005), pp. 22–52</w:t>
      </w:r>
    </w:p>
    <w:p w14:paraId="374AD56A" w14:textId="595C6041" w:rsidR="00896124" w:rsidRPr="003037D2" w:rsidRDefault="00896124" w:rsidP="00A721D6">
      <w:pPr>
        <w:ind w:left="1361" w:hanging="720"/>
        <w:rPr>
          <w:rFonts w:ascii="Garamond" w:hAnsi="Garamond"/>
        </w:rPr>
      </w:pPr>
      <w:proofErr w:type="spellStart"/>
      <w:r w:rsidRPr="003037D2">
        <w:rPr>
          <w:rFonts w:ascii="Garamond" w:hAnsi="Garamond"/>
        </w:rPr>
        <w:t>Rebhorn</w:t>
      </w:r>
      <w:proofErr w:type="spellEnd"/>
      <w:r w:rsidRPr="003037D2">
        <w:rPr>
          <w:rFonts w:ascii="Garamond" w:hAnsi="Garamond"/>
        </w:rPr>
        <w:t>, Wayne A., and Frank Whigham</w:t>
      </w:r>
      <w:r w:rsidR="00814479">
        <w:rPr>
          <w:rFonts w:ascii="Garamond" w:hAnsi="Garamond"/>
        </w:rPr>
        <w:t>,</w:t>
      </w:r>
      <w:r w:rsidRPr="003037D2">
        <w:rPr>
          <w:rFonts w:ascii="Garamond" w:hAnsi="Garamond"/>
        </w:rPr>
        <w:t xml:space="preserve"> ed. </w:t>
      </w:r>
      <w:r w:rsidRPr="003037D2">
        <w:rPr>
          <w:rFonts w:ascii="Garamond" w:hAnsi="Garamond"/>
          <w:i/>
        </w:rPr>
        <w:t xml:space="preserve">The Art of English Posey </w:t>
      </w:r>
      <w:r w:rsidRPr="003037D2">
        <w:rPr>
          <w:rFonts w:ascii="Garamond" w:hAnsi="Garamond"/>
        </w:rPr>
        <w:t>(</w:t>
      </w:r>
      <w:proofErr w:type="spellStart"/>
      <w:r w:rsidRPr="003037D2">
        <w:rPr>
          <w:rFonts w:ascii="Garamond" w:hAnsi="Garamond"/>
        </w:rPr>
        <w:t>Ithica</w:t>
      </w:r>
      <w:proofErr w:type="spellEnd"/>
      <w:r w:rsidRPr="003037D2">
        <w:rPr>
          <w:rFonts w:ascii="Garamond" w:hAnsi="Garamond"/>
        </w:rPr>
        <w:t>, New York: Cornell University Press, 2016)</w:t>
      </w:r>
    </w:p>
    <w:p w14:paraId="66199028" w14:textId="77777777" w:rsidR="00162224" w:rsidRPr="003037D2" w:rsidRDefault="00162224" w:rsidP="00A721D6">
      <w:pPr>
        <w:ind w:left="1361" w:hanging="720"/>
        <w:rPr>
          <w:rFonts w:ascii="Garamond" w:hAnsi="Garamond"/>
        </w:rPr>
      </w:pPr>
      <w:r w:rsidRPr="003037D2">
        <w:rPr>
          <w:rFonts w:ascii="Garamond" w:hAnsi="Garamond"/>
        </w:rPr>
        <w:t xml:space="preserve">Reed, Walter L., </w:t>
      </w:r>
      <w:bookmarkStart w:id="269" w:name="_Hlk532634710"/>
      <w:r w:rsidRPr="003037D2">
        <w:rPr>
          <w:rFonts w:ascii="Garamond" w:hAnsi="Garamond"/>
          <w:i/>
        </w:rPr>
        <w:t>Dialogues of the Word: The bible as literature according to Bakhtin</w:t>
      </w:r>
      <w:r w:rsidRPr="003037D2">
        <w:rPr>
          <w:rFonts w:ascii="Garamond" w:hAnsi="Garamond"/>
        </w:rPr>
        <w:t xml:space="preserve"> (Oxford: Oxford University Press, 1993)</w:t>
      </w:r>
      <w:bookmarkEnd w:id="269"/>
    </w:p>
    <w:p w14:paraId="7DBC32C8" w14:textId="77777777" w:rsidR="00162224" w:rsidRPr="003037D2" w:rsidRDefault="00162224" w:rsidP="00A721D6">
      <w:pPr>
        <w:ind w:left="1361" w:hanging="720"/>
        <w:rPr>
          <w:rFonts w:ascii="Garamond" w:hAnsi="Garamond"/>
        </w:rPr>
      </w:pPr>
      <w:proofErr w:type="spellStart"/>
      <w:r w:rsidRPr="003037D2">
        <w:rPr>
          <w:rFonts w:ascii="Garamond" w:hAnsi="Garamond"/>
        </w:rPr>
        <w:t>Rhatigan</w:t>
      </w:r>
      <w:proofErr w:type="spellEnd"/>
      <w:r w:rsidRPr="003037D2">
        <w:rPr>
          <w:rFonts w:ascii="Garamond" w:hAnsi="Garamond"/>
        </w:rPr>
        <w:t>, Emma, ‘Margins of Error: How to edit an early modern sermon’ in Early Modern Sermons: Performances and Afterlives, University of Sheffield, 2</w:t>
      </w:r>
      <w:r w:rsidRPr="003037D2">
        <w:rPr>
          <w:rFonts w:ascii="Garamond" w:hAnsi="Garamond"/>
          <w:vertAlign w:val="superscript"/>
        </w:rPr>
        <w:t>nd</w:t>
      </w:r>
      <w:r w:rsidRPr="003037D2">
        <w:rPr>
          <w:rFonts w:ascii="Garamond" w:hAnsi="Garamond"/>
        </w:rPr>
        <w:t xml:space="preserve"> November 2018</w:t>
      </w:r>
    </w:p>
    <w:p w14:paraId="37F52435" w14:textId="47E579ED" w:rsidR="00162224" w:rsidRPr="003037D2" w:rsidRDefault="00162224" w:rsidP="00A721D6">
      <w:pPr>
        <w:ind w:left="1361" w:hanging="720"/>
        <w:rPr>
          <w:rFonts w:ascii="Garamond" w:hAnsi="Garamond"/>
        </w:rPr>
      </w:pPr>
      <w:r w:rsidRPr="003037D2">
        <w:rPr>
          <w:rFonts w:ascii="Garamond" w:hAnsi="Garamond"/>
        </w:rPr>
        <w:t>___</w:t>
      </w:r>
      <w:proofErr w:type="gramStart"/>
      <w:r w:rsidRPr="003037D2">
        <w:rPr>
          <w:rFonts w:ascii="Garamond" w:hAnsi="Garamond"/>
        </w:rPr>
        <w:t>_ ,</w:t>
      </w:r>
      <w:proofErr w:type="gramEnd"/>
      <w:r w:rsidRPr="003037D2">
        <w:rPr>
          <w:rFonts w:ascii="Garamond" w:hAnsi="Garamond"/>
        </w:rPr>
        <w:t xml:space="preserve"> ‘Preaching Venues: Architecture and </w:t>
      </w:r>
      <w:proofErr w:type="spellStart"/>
      <w:r w:rsidRPr="003037D2">
        <w:rPr>
          <w:rFonts w:ascii="Garamond" w:hAnsi="Garamond"/>
        </w:rPr>
        <w:t>Auditories</w:t>
      </w:r>
      <w:proofErr w:type="spellEnd"/>
      <w:r w:rsidRPr="003037D2">
        <w:rPr>
          <w:rFonts w:ascii="Garamond" w:hAnsi="Garamond"/>
        </w:rPr>
        <w:t xml:space="preserve">’ in </w:t>
      </w:r>
      <w:r w:rsidRPr="003037D2">
        <w:rPr>
          <w:rFonts w:ascii="Garamond" w:hAnsi="Garamond"/>
          <w:i/>
        </w:rPr>
        <w:t>The Oxford Handbook of the early modern Sermon</w:t>
      </w:r>
      <w:r w:rsidR="00814479">
        <w:rPr>
          <w:rFonts w:ascii="Garamond" w:hAnsi="Garamond"/>
          <w:i/>
        </w:rPr>
        <w:t>,</w:t>
      </w:r>
      <w:r w:rsidRPr="003037D2">
        <w:rPr>
          <w:rFonts w:ascii="Garamond" w:hAnsi="Garamond"/>
          <w:i/>
        </w:rPr>
        <w:t xml:space="preserve"> </w:t>
      </w:r>
      <w:r w:rsidRPr="003037D2">
        <w:rPr>
          <w:rFonts w:ascii="Garamond" w:hAnsi="Garamond"/>
          <w:iCs/>
        </w:rPr>
        <w:t xml:space="preserve">ed. by </w:t>
      </w:r>
      <w:r w:rsidRPr="003037D2">
        <w:rPr>
          <w:rFonts w:ascii="Garamond" w:hAnsi="Garamond"/>
        </w:rPr>
        <w:t xml:space="preserve">Hugh Adlington, and Emma </w:t>
      </w:r>
      <w:proofErr w:type="spellStart"/>
      <w:r w:rsidRPr="003037D2">
        <w:rPr>
          <w:rFonts w:ascii="Garamond" w:hAnsi="Garamond"/>
        </w:rPr>
        <w:t>Rhatigan</w:t>
      </w:r>
      <w:proofErr w:type="spellEnd"/>
      <w:r w:rsidRPr="003037D2">
        <w:rPr>
          <w:rFonts w:ascii="Garamond" w:hAnsi="Garamond"/>
          <w:i/>
        </w:rPr>
        <w:t xml:space="preserve"> </w:t>
      </w:r>
      <w:r w:rsidRPr="003037D2">
        <w:rPr>
          <w:rFonts w:ascii="Garamond" w:hAnsi="Garamond"/>
        </w:rPr>
        <w:t xml:space="preserve">(Oxford: Oxford University Press, 2011) pp. 87-120. </w:t>
      </w:r>
    </w:p>
    <w:p w14:paraId="527AE157" w14:textId="77777777" w:rsidR="00162224" w:rsidRPr="003037D2" w:rsidRDefault="00162224" w:rsidP="00A721D6">
      <w:pPr>
        <w:ind w:left="1361" w:hanging="720"/>
        <w:rPr>
          <w:rFonts w:ascii="Garamond" w:hAnsi="Garamond"/>
        </w:rPr>
      </w:pPr>
      <w:r w:rsidRPr="003037D2">
        <w:rPr>
          <w:rFonts w:ascii="Garamond" w:hAnsi="Garamond"/>
        </w:rPr>
        <w:t>Rickey, Mary Ellen,</w:t>
      </w:r>
      <w:r w:rsidRPr="003037D2">
        <w:rPr>
          <w:rFonts w:ascii="Garamond" w:hAnsi="Garamond"/>
          <w:i/>
          <w:iCs/>
        </w:rPr>
        <w:t xml:space="preserve"> Utmost Art: Complexity in the Verse of George Herbert </w:t>
      </w:r>
      <w:r w:rsidRPr="003037D2">
        <w:rPr>
          <w:rFonts w:ascii="Garamond" w:hAnsi="Garamond"/>
        </w:rPr>
        <w:t>(Lexington: Kentucky University Press, 1966)</w:t>
      </w:r>
    </w:p>
    <w:p w14:paraId="4F23A983" w14:textId="49834A8B" w:rsidR="00162224" w:rsidRPr="003037D2" w:rsidRDefault="00162224" w:rsidP="00A721D6">
      <w:pPr>
        <w:ind w:left="1361" w:hanging="720"/>
        <w:rPr>
          <w:rFonts w:ascii="Garamond" w:hAnsi="Garamond"/>
        </w:rPr>
      </w:pPr>
      <w:r w:rsidRPr="003037D2">
        <w:rPr>
          <w:rFonts w:ascii="Garamond" w:hAnsi="Garamond"/>
        </w:rPr>
        <w:t xml:space="preserve">Rigney, James, ‘Sermons into Print’ in </w:t>
      </w:r>
      <w:r w:rsidRPr="003037D2">
        <w:rPr>
          <w:rFonts w:ascii="Garamond" w:hAnsi="Garamond"/>
          <w:i/>
          <w:iCs/>
        </w:rPr>
        <w:t>The Oxford Handbook of the Early Modern Sermon</w:t>
      </w:r>
      <w:r w:rsidR="00814479">
        <w:rPr>
          <w:rFonts w:ascii="Garamond" w:hAnsi="Garamond"/>
          <w:i/>
          <w:iCs/>
        </w:rPr>
        <w:t>,</w:t>
      </w:r>
      <w:r w:rsidRPr="003037D2">
        <w:rPr>
          <w:rFonts w:ascii="Garamond" w:hAnsi="Garamond"/>
          <w:i/>
          <w:iCs/>
        </w:rPr>
        <w:t xml:space="preserve"> </w:t>
      </w:r>
      <w:r w:rsidRPr="003037D2">
        <w:rPr>
          <w:rFonts w:ascii="Garamond" w:hAnsi="Garamond"/>
        </w:rPr>
        <w:t xml:space="preserve">ed. by Peter McCullough, Hugh Adlington, and Emma </w:t>
      </w:r>
      <w:proofErr w:type="spellStart"/>
      <w:r w:rsidRPr="003037D2">
        <w:rPr>
          <w:rFonts w:ascii="Garamond" w:hAnsi="Garamond"/>
        </w:rPr>
        <w:t>Rhatigan</w:t>
      </w:r>
      <w:proofErr w:type="spellEnd"/>
      <w:r w:rsidRPr="003037D2">
        <w:rPr>
          <w:rFonts w:ascii="Garamond" w:hAnsi="Garamond"/>
        </w:rPr>
        <w:t xml:space="preserve">, pp. 198-212 </w:t>
      </w:r>
    </w:p>
    <w:p w14:paraId="262AD770" w14:textId="3FC39938" w:rsidR="00162224" w:rsidRPr="003037D2" w:rsidRDefault="00162224" w:rsidP="00A721D6">
      <w:pPr>
        <w:ind w:left="1361" w:hanging="720"/>
        <w:rPr>
          <w:rFonts w:ascii="Garamond" w:hAnsi="Garamond"/>
        </w:rPr>
      </w:pPr>
      <w:r w:rsidRPr="003037D2">
        <w:rPr>
          <w:rFonts w:ascii="Garamond" w:hAnsi="Garamond"/>
        </w:rPr>
        <w:lastRenderedPageBreak/>
        <w:t xml:space="preserve">____ ,  </w:t>
      </w:r>
      <w:r w:rsidR="00ED0F4C">
        <w:rPr>
          <w:rFonts w:ascii="Garamond" w:hAnsi="Garamond"/>
        </w:rPr>
        <w:t>‘“</w:t>
      </w:r>
      <w:r w:rsidRPr="003037D2">
        <w:rPr>
          <w:rFonts w:ascii="Garamond" w:hAnsi="Garamond"/>
        </w:rPr>
        <w:t>To lye upon a Stationers stall, like a piece of coarse flesh in a Shambles</w:t>
      </w:r>
      <w:r w:rsidR="00161762">
        <w:rPr>
          <w:rFonts w:ascii="Garamond" w:hAnsi="Garamond"/>
        </w:rPr>
        <w:t>”</w:t>
      </w:r>
      <w:r w:rsidRPr="003037D2">
        <w:rPr>
          <w:rFonts w:ascii="Garamond" w:hAnsi="Garamond"/>
        </w:rPr>
        <w:t xml:space="preserve">: the sermon, print, and the English Civil War’ in </w:t>
      </w:r>
      <w:r w:rsidRPr="003037D2">
        <w:rPr>
          <w:rFonts w:ascii="Garamond" w:hAnsi="Garamond"/>
          <w:i/>
        </w:rPr>
        <w:t xml:space="preserve">The English Sermon revised: Religion, Literature and history 1600-1750, </w:t>
      </w:r>
      <w:r w:rsidRPr="003037D2">
        <w:rPr>
          <w:rFonts w:ascii="Garamond" w:hAnsi="Garamond"/>
        </w:rPr>
        <w:t>ed. by Lori Anne Ferrell and Peter McCullough (Manchester: Manchester University Press, 2000), pp. 188-204</w:t>
      </w:r>
    </w:p>
    <w:p w14:paraId="5497BD27" w14:textId="77777777" w:rsidR="00162224" w:rsidRPr="003037D2" w:rsidRDefault="00162224" w:rsidP="00A721D6">
      <w:pPr>
        <w:ind w:left="1361" w:hanging="720"/>
        <w:rPr>
          <w:rFonts w:ascii="Garamond" w:hAnsi="Garamond"/>
        </w:rPr>
      </w:pPr>
      <w:r w:rsidRPr="003037D2">
        <w:rPr>
          <w:rFonts w:ascii="Garamond" w:hAnsi="Garamond"/>
        </w:rPr>
        <w:t xml:space="preserve">Rose, Jacqueline, ‘Kingship and Counsel in Early Modern England’ in </w:t>
      </w:r>
      <w:r w:rsidRPr="003037D2">
        <w:rPr>
          <w:rFonts w:ascii="Garamond" w:hAnsi="Garamond"/>
          <w:i/>
          <w:iCs/>
        </w:rPr>
        <w:t>The Historical Journal</w:t>
      </w:r>
      <w:r w:rsidRPr="003037D2">
        <w:rPr>
          <w:rFonts w:ascii="Garamond" w:hAnsi="Garamond"/>
        </w:rPr>
        <w:t>, 54 (2011), pp. 47-71</w:t>
      </w:r>
    </w:p>
    <w:p w14:paraId="5C40565C" w14:textId="77777777" w:rsidR="00162224" w:rsidRPr="003037D2" w:rsidRDefault="00162224" w:rsidP="00A721D6">
      <w:pPr>
        <w:ind w:left="1361" w:hanging="720"/>
        <w:rPr>
          <w:rFonts w:ascii="Garamond" w:hAnsi="Garamond"/>
        </w:rPr>
      </w:pPr>
      <w:r w:rsidRPr="003037D2">
        <w:rPr>
          <w:rFonts w:ascii="Garamond" w:hAnsi="Garamond"/>
        </w:rPr>
        <w:t xml:space="preserve">Rosenberg, Daniel, and Anthony Grafton, </w:t>
      </w:r>
      <w:r w:rsidRPr="003037D2">
        <w:rPr>
          <w:rFonts w:ascii="Garamond" w:hAnsi="Garamond"/>
          <w:i/>
          <w:iCs/>
        </w:rPr>
        <w:t xml:space="preserve">Cartographies of Time: A History of the Timeline </w:t>
      </w:r>
      <w:r w:rsidRPr="003037D2">
        <w:rPr>
          <w:rFonts w:ascii="Garamond" w:hAnsi="Garamond"/>
        </w:rPr>
        <w:t xml:space="preserve">(New York: Princeton Architectural Press, 2010) </w:t>
      </w:r>
    </w:p>
    <w:p w14:paraId="2B3DF56B" w14:textId="77777777" w:rsidR="00162224" w:rsidRPr="003037D2" w:rsidRDefault="00162224" w:rsidP="00A721D6">
      <w:pPr>
        <w:ind w:left="1361" w:hanging="720"/>
        <w:rPr>
          <w:rFonts w:ascii="Garamond" w:hAnsi="Garamond"/>
        </w:rPr>
      </w:pPr>
      <w:r w:rsidRPr="003037D2">
        <w:rPr>
          <w:rFonts w:ascii="Garamond" w:hAnsi="Garamond"/>
          <w:iCs/>
        </w:rPr>
        <w:t xml:space="preserve">Rosenwein, Barbara H., </w:t>
      </w:r>
      <w:r w:rsidRPr="003037D2">
        <w:rPr>
          <w:rFonts w:ascii="Garamond" w:hAnsi="Garamond"/>
          <w:i/>
          <w:iCs/>
        </w:rPr>
        <w:t xml:space="preserve">Emotional Communities in the Early Middle Ages </w:t>
      </w:r>
      <w:r w:rsidRPr="003037D2">
        <w:rPr>
          <w:rFonts w:ascii="Garamond" w:hAnsi="Garamond"/>
        </w:rPr>
        <w:t>(</w:t>
      </w:r>
      <w:proofErr w:type="spellStart"/>
      <w:r w:rsidRPr="003037D2">
        <w:rPr>
          <w:rFonts w:ascii="Garamond" w:hAnsi="Garamond"/>
        </w:rPr>
        <w:t>Ithica</w:t>
      </w:r>
      <w:proofErr w:type="spellEnd"/>
      <w:r w:rsidRPr="003037D2">
        <w:rPr>
          <w:rFonts w:ascii="Garamond" w:hAnsi="Garamond"/>
        </w:rPr>
        <w:t xml:space="preserve"> NY: Cornell University Press, 2006) </w:t>
      </w:r>
    </w:p>
    <w:p w14:paraId="02FCD63A" w14:textId="77777777" w:rsidR="00162224" w:rsidRPr="003037D2" w:rsidRDefault="00162224" w:rsidP="00A721D6">
      <w:pPr>
        <w:ind w:left="1361" w:hanging="720"/>
        <w:rPr>
          <w:rFonts w:ascii="Garamond" w:hAnsi="Garamond"/>
        </w:rPr>
      </w:pPr>
      <w:r w:rsidRPr="003037D2">
        <w:rPr>
          <w:rFonts w:ascii="Garamond" w:hAnsi="Garamond"/>
        </w:rPr>
        <w:t xml:space="preserve">Rush, Rebecca M., ‘Making Order in John Davies’s </w:t>
      </w:r>
      <w:proofErr w:type="spellStart"/>
      <w:r w:rsidRPr="003037D2">
        <w:rPr>
          <w:rFonts w:ascii="Garamond" w:hAnsi="Garamond"/>
        </w:rPr>
        <w:t>Orchetra</w:t>
      </w:r>
      <w:proofErr w:type="spellEnd"/>
      <w:r w:rsidRPr="003037D2">
        <w:rPr>
          <w:rFonts w:ascii="Garamond" w:hAnsi="Garamond"/>
        </w:rPr>
        <w:t xml:space="preserve">’ in </w:t>
      </w:r>
      <w:r w:rsidRPr="003037D2">
        <w:rPr>
          <w:rFonts w:ascii="Garamond" w:hAnsi="Garamond"/>
          <w:i/>
        </w:rPr>
        <w:t>Modern Philology,</w:t>
      </w:r>
      <w:r w:rsidRPr="003037D2">
        <w:rPr>
          <w:rFonts w:ascii="Garamond" w:hAnsi="Garamond"/>
        </w:rPr>
        <w:t xml:space="preserve"> 114.2 (November 2016), pp. 243-263</w:t>
      </w:r>
    </w:p>
    <w:p w14:paraId="38B32612" w14:textId="77777777" w:rsidR="00162224" w:rsidRPr="003037D2" w:rsidRDefault="00162224" w:rsidP="00A721D6">
      <w:pPr>
        <w:ind w:left="1361" w:hanging="720"/>
        <w:rPr>
          <w:rFonts w:ascii="Garamond" w:hAnsi="Garamond"/>
        </w:rPr>
      </w:pPr>
      <w:proofErr w:type="spellStart"/>
      <w:r w:rsidRPr="003037D2">
        <w:rPr>
          <w:rFonts w:ascii="Garamond" w:hAnsi="Garamond"/>
        </w:rPr>
        <w:t>Saenger</w:t>
      </w:r>
      <w:proofErr w:type="spellEnd"/>
      <w:r w:rsidRPr="003037D2">
        <w:rPr>
          <w:rFonts w:ascii="Garamond" w:hAnsi="Garamond"/>
        </w:rPr>
        <w:t xml:space="preserve">, Michael, </w:t>
      </w:r>
      <w:r w:rsidRPr="003037D2">
        <w:rPr>
          <w:rFonts w:ascii="Garamond" w:hAnsi="Garamond"/>
          <w:i/>
        </w:rPr>
        <w:t>The Commodification of Textual Engagements in the English Renaissance</w:t>
      </w:r>
      <w:r w:rsidRPr="003037D2">
        <w:rPr>
          <w:rFonts w:ascii="Garamond" w:hAnsi="Garamond"/>
        </w:rPr>
        <w:t xml:space="preserve"> (</w:t>
      </w:r>
      <w:proofErr w:type="spellStart"/>
      <w:r w:rsidRPr="003037D2">
        <w:rPr>
          <w:rFonts w:ascii="Garamond" w:hAnsi="Garamond"/>
        </w:rPr>
        <w:t>Aldershot</w:t>
      </w:r>
      <w:proofErr w:type="spellEnd"/>
      <w:r w:rsidRPr="003037D2">
        <w:rPr>
          <w:rFonts w:ascii="Garamond" w:hAnsi="Garamond"/>
        </w:rPr>
        <w:t>: Ashgate, 2006)</w:t>
      </w:r>
    </w:p>
    <w:p w14:paraId="4BC84074" w14:textId="77777777" w:rsidR="00162224" w:rsidRPr="003037D2" w:rsidRDefault="00162224" w:rsidP="00A721D6">
      <w:pPr>
        <w:ind w:left="1361" w:hanging="720"/>
        <w:rPr>
          <w:rFonts w:ascii="Garamond" w:hAnsi="Garamond"/>
        </w:rPr>
      </w:pPr>
      <w:r w:rsidRPr="003037D2">
        <w:rPr>
          <w:rFonts w:ascii="Garamond" w:hAnsi="Garamond"/>
        </w:rPr>
        <w:t xml:space="preserve">Sanchez, Rueben, </w:t>
      </w:r>
      <w:r w:rsidRPr="003037D2">
        <w:rPr>
          <w:rFonts w:ascii="Garamond" w:hAnsi="Garamond"/>
          <w:i/>
          <w:iCs/>
        </w:rPr>
        <w:t>Typology and Iconography in Donne, Herbert, and Milton</w:t>
      </w:r>
      <w:r w:rsidRPr="003037D2">
        <w:rPr>
          <w:rFonts w:ascii="Garamond" w:hAnsi="Garamond"/>
        </w:rPr>
        <w:t xml:space="preserve"> (London: Palgrave Macmillan, 2014) </w:t>
      </w:r>
    </w:p>
    <w:p w14:paraId="5C5D90A9" w14:textId="77777777" w:rsidR="00162224" w:rsidRPr="003037D2" w:rsidRDefault="00162224" w:rsidP="00A721D6">
      <w:pPr>
        <w:ind w:left="1361" w:hanging="720"/>
        <w:rPr>
          <w:rFonts w:ascii="Garamond" w:hAnsi="Garamond"/>
        </w:rPr>
      </w:pPr>
      <w:proofErr w:type="spellStart"/>
      <w:r w:rsidRPr="003037D2">
        <w:rPr>
          <w:rFonts w:ascii="Garamond" w:hAnsi="Garamond"/>
        </w:rPr>
        <w:t>Schoenfeldt</w:t>
      </w:r>
      <w:proofErr w:type="spellEnd"/>
      <w:r w:rsidRPr="003037D2">
        <w:rPr>
          <w:rFonts w:ascii="Garamond" w:hAnsi="Garamond"/>
        </w:rPr>
        <w:t xml:space="preserve">, Michael C., </w:t>
      </w:r>
      <w:r w:rsidRPr="003037D2">
        <w:rPr>
          <w:rFonts w:ascii="Garamond" w:hAnsi="Garamond"/>
          <w:i/>
          <w:iCs/>
        </w:rPr>
        <w:t xml:space="preserve">Bodies and Selves in early modern England: Physiology and Inwardness in Spenser, Shakespeare, Herbert, and Milton </w:t>
      </w:r>
      <w:r w:rsidRPr="003037D2">
        <w:rPr>
          <w:rFonts w:ascii="Garamond" w:hAnsi="Garamond"/>
        </w:rPr>
        <w:t xml:space="preserve">(Cambridge: Cambridge University Press, 1999) </w:t>
      </w:r>
    </w:p>
    <w:p w14:paraId="0C837A2A" w14:textId="77777777" w:rsidR="00162224" w:rsidRPr="003037D2" w:rsidRDefault="00162224" w:rsidP="00A721D6">
      <w:pPr>
        <w:ind w:left="1361" w:hanging="720"/>
        <w:rPr>
          <w:rFonts w:ascii="Garamond" w:hAnsi="Garamond"/>
        </w:rPr>
      </w:pPr>
      <w:proofErr w:type="spellStart"/>
      <w:r w:rsidRPr="003037D2">
        <w:rPr>
          <w:rFonts w:ascii="Garamond" w:hAnsi="Garamond"/>
        </w:rPr>
        <w:t>Schleiner</w:t>
      </w:r>
      <w:proofErr w:type="spellEnd"/>
      <w:r w:rsidRPr="003037D2">
        <w:rPr>
          <w:rFonts w:ascii="Garamond" w:hAnsi="Garamond"/>
        </w:rPr>
        <w:t xml:space="preserve">, Louise, </w:t>
      </w:r>
      <w:r w:rsidRPr="003037D2">
        <w:rPr>
          <w:rFonts w:ascii="Garamond" w:hAnsi="Garamond"/>
          <w:i/>
          <w:iCs/>
        </w:rPr>
        <w:t>Tudor and Stuart Women Writers</w:t>
      </w:r>
      <w:r w:rsidRPr="003037D2">
        <w:rPr>
          <w:rFonts w:ascii="Garamond" w:hAnsi="Garamond"/>
        </w:rPr>
        <w:t xml:space="preserve"> (Bloomington: Indiana University Press, 1994)</w:t>
      </w:r>
    </w:p>
    <w:p w14:paraId="2AF25DC6" w14:textId="23B54B6E" w:rsidR="00162224" w:rsidRPr="003037D2" w:rsidRDefault="00162224" w:rsidP="00A721D6">
      <w:pPr>
        <w:ind w:left="1361" w:hanging="720"/>
        <w:rPr>
          <w:rFonts w:ascii="Garamond" w:hAnsi="Garamond"/>
        </w:rPr>
      </w:pPr>
      <w:r w:rsidRPr="003037D2">
        <w:rPr>
          <w:rFonts w:ascii="Garamond" w:hAnsi="Garamond"/>
        </w:rPr>
        <w:t>Scott Robinson, Benedict, ‘</w:t>
      </w:r>
      <w:r w:rsidR="00161762">
        <w:rPr>
          <w:rFonts w:ascii="Garamond" w:hAnsi="Garamond"/>
        </w:rPr>
        <w:t>“</w:t>
      </w:r>
      <w:r w:rsidRPr="003037D2">
        <w:rPr>
          <w:rFonts w:ascii="Garamond" w:hAnsi="Garamond"/>
        </w:rPr>
        <w:t>Darke Speech</w:t>
      </w:r>
      <w:r w:rsidR="00161762">
        <w:rPr>
          <w:rFonts w:ascii="Garamond" w:hAnsi="Garamond"/>
        </w:rPr>
        <w:t>”</w:t>
      </w:r>
      <w:r w:rsidRPr="003037D2">
        <w:rPr>
          <w:rFonts w:ascii="Garamond" w:hAnsi="Garamond"/>
        </w:rPr>
        <w:t xml:space="preserve">: Matthew Parker and the Reforming of History’ in </w:t>
      </w:r>
      <w:r w:rsidRPr="003037D2">
        <w:rPr>
          <w:rFonts w:ascii="Garamond" w:hAnsi="Garamond"/>
          <w:i/>
        </w:rPr>
        <w:t>The Sixteenth Century Journal</w:t>
      </w:r>
      <w:r w:rsidRPr="003037D2">
        <w:rPr>
          <w:rFonts w:ascii="Garamond" w:hAnsi="Garamond"/>
        </w:rPr>
        <w:t>, 29.4 (Winter, 1998), pp. 1061-83</w:t>
      </w:r>
    </w:p>
    <w:p w14:paraId="2F043778" w14:textId="03DD0756" w:rsidR="00162224" w:rsidRPr="003037D2" w:rsidRDefault="00162224" w:rsidP="00A721D6">
      <w:pPr>
        <w:ind w:left="1361" w:hanging="720"/>
        <w:rPr>
          <w:rFonts w:ascii="Garamond" w:hAnsi="Garamond" w:cstheme="minorHAnsi"/>
          <w:color w:val="414042"/>
          <w:shd w:val="clear" w:color="auto" w:fill="FFFFFF"/>
        </w:rPr>
      </w:pPr>
      <w:r w:rsidRPr="003037D2">
        <w:rPr>
          <w:rFonts w:ascii="Garamond" w:hAnsi="Garamond" w:cstheme="minorHAnsi"/>
        </w:rPr>
        <w:t>Shrank, Cathy, ‘Mis-</w:t>
      </w:r>
      <w:proofErr w:type="spellStart"/>
      <w:r w:rsidRPr="003037D2">
        <w:rPr>
          <w:rFonts w:ascii="Garamond" w:hAnsi="Garamond" w:cstheme="minorHAnsi"/>
        </w:rPr>
        <w:t>en</w:t>
      </w:r>
      <w:proofErr w:type="spellEnd"/>
      <w:r w:rsidRPr="003037D2">
        <w:rPr>
          <w:rFonts w:ascii="Garamond" w:hAnsi="Garamond" w:cstheme="minorHAnsi"/>
        </w:rPr>
        <w:t xml:space="preserve">-Page, </w:t>
      </w:r>
      <w:r w:rsidR="00161762">
        <w:rPr>
          <w:rFonts w:ascii="Garamond" w:hAnsi="Garamond" w:cstheme="minorHAnsi"/>
        </w:rPr>
        <w:t>“</w:t>
      </w:r>
      <w:r w:rsidRPr="003037D2">
        <w:rPr>
          <w:rFonts w:ascii="Garamond" w:hAnsi="Garamond" w:cstheme="minorHAnsi"/>
        </w:rPr>
        <w:t>The Authors Genius</w:t>
      </w:r>
      <w:r w:rsidR="00161762">
        <w:rPr>
          <w:rFonts w:ascii="Garamond" w:hAnsi="Garamond" w:cstheme="minorHAnsi"/>
        </w:rPr>
        <w:t>”</w:t>
      </w:r>
      <w:r w:rsidRPr="003037D2">
        <w:rPr>
          <w:rFonts w:ascii="Garamond" w:hAnsi="Garamond" w:cstheme="minorHAnsi"/>
        </w:rPr>
        <w:t xml:space="preserve">, </w:t>
      </w:r>
      <w:r w:rsidR="00161762">
        <w:rPr>
          <w:rFonts w:ascii="Garamond" w:hAnsi="Garamond" w:cstheme="minorHAnsi"/>
        </w:rPr>
        <w:t>“</w:t>
      </w:r>
      <w:r w:rsidRPr="003037D2">
        <w:rPr>
          <w:rFonts w:ascii="Garamond" w:hAnsi="Garamond" w:cstheme="minorHAnsi"/>
        </w:rPr>
        <w:t>The Capacity of the Reader</w:t>
      </w:r>
      <w:r w:rsidR="00814479">
        <w:rPr>
          <w:rFonts w:ascii="Garamond" w:hAnsi="Garamond" w:cstheme="minorHAnsi"/>
        </w:rPr>
        <w:t>”,</w:t>
      </w:r>
      <w:r w:rsidRPr="003037D2">
        <w:rPr>
          <w:rFonts w:ascii="Garamond" w:hAnsi="Garamond" w:cstheme="minorHAnsi"/>
        </w:rPr>
        <w:t xml:space="preserve"> and the Ambition of </w:t>
      </w:r>
      <w:r w:rsidR="00161762">
        <w:rPr>
          <w:rFonts w:ascii="Garamond" w:hAnsi="Garamond" w:cstheme="minorHAnsi"/>
        </w:rPr>
        <w:t>“</w:t>
      </w:r>
      <w:r w:rsidRPr="003037D2">
        <w:rPr>
          <w:rFonts w:ascii="Garamond" w:hAnsi="Garamond" w:cstheme="minorHAnsi"/>
        </w:rPr>
        <w:t xml:space="preserve">A Good </w:t>
      </w:r>
      <w:proofErr w:type="spellStart"/>
      <w:r w:rsidRPr="003037D2">
        <w:rPr>
          <w:rFonts w:ascii="Garamond" w:hAnsi="Garamond" w:cstheme="minorHAnsi"/>
        </w:rPr>
        <w:t>Compositer</w:t>
      </w:r>
      <w:proofErr w:type="spellEnd"/>
      <w:r w:rsidRPr="003037D2">
        <w:rPr>
          <w:rFonts w:ascii="Garamond" w:hAnsi="Garamond" w:cstheme="minorHAnsi"/>
        </w:rPr>
        <w:t>’’’ i</w:t>
      </w:r>
      <w:r w:rsidRPr="003037D2">
        <w:rPr>
          <w:rFonts w:ascii="Garamond" w:hAnsi="Garamond" w:cstheme="minorHAnsi"/>
          <w:color w:val="414042"/>
          <w:shd w:val="clear" w:color="auto" w:fill="FFFFFF"/>
        </w:rPr>
        <w:t xml:space="preserve">n </w:t>
      </w:r>
      <w:r w:rsidRPr="003037D2">
        <w:rPr>
          <w:rStyle w:val="foreign"/>
          <w:rFonts w:ascii="Garamond" w:hAnsi="Garamond" w:cstheme="minorHAnsi"/>
          <w:i/>
          <w:iCs/>
          <w:color w:val="414042"/>
          <w:shd w:val="clear" w:color="auto" w:fill="FFFFFF"/>
        </w:rPr>
        <w:t xml:space="preserve">Religion and the Book Trade, </w:t>
      </w:r>
      <w:r w:rsidRPr="003037D2">
        <w:rPr>
          <w:rStyle w:val="foreign"/>
          <w:rFonts w:ascii="Garamond" w:hAnsi="Garamond" w:cstheme="minorHAnsi"/>
          <w:color w:val="414042"/>
          <w:shd w:val="clear" w:color="auto" w:fill="FFFFFF"/>
        </w:rPr>
        <w:t xml:space="preserve">ed. by </w:t>
      </w:r>
      <w:r w:rsidRPr="003037D2">
        <w:rPr>
          <w:rFonts w:ascii="Garamond" w:hAnsi="Garamond" w:cstheme="minorHAnsi"/>
          <w:color w:val="414042"/>
          <w:shd w:val="clear" w:color="auto" w:fill="FFFFFF"/>
        </w:rPr>
        <w:t>Caroline Archer and Lisa Peters (Newcastle: Cambridge Scholars Publishing, 2015), pp. 66-82</w:t>
      </w:r>
    </w:p>
    <w:p w14:paraId="4FD0B575" w14:textId="77777777" w:rsidR="00162224" w:rsidRPr="003037D2" w:rsidRDefault="00162224" w:rsidP="00A721D6">
      <w:pPr>
        <w:ind w:left="1361" w:hanging="720"/>
        <w:rPr>
          <w:rFonts w:ascii="Garamond" w:hAnsi="Garamond" w:cstheme="minorHAnsi"/>
        </w:rPr>
      </w:pPr>
      <w:proofErr w:type="spellStart"/>
      <w:r w:rsidRPr="003037D2">
        <w:rPr>
          <w:rFonts w:ascii="Garamond" w:hAnsi="Garamond" w:cstheme="minorHAnsi"/>
        </w:rPr>
        <w:t>Serjeantson</w:t>
      </w:r>
      <w:proofErr w:type="spellEnd"/>
      <w:r w:rsidRPr="003037D2">
        <w:rPr>
          <w:rFonts w:ascii="Garamond" w:hAnsi="Garamond" w:cstheme="minorHAnsi"/>
        </w:rPr>
        <w:t>, Deidre</w:t>
      </w:r>
      <w:bookmarkStart w:id="270" w:name="_Hlk532659429"/>
      <w:r w:rsidRPr="003037D2">
        <w:rPr>
          <w:rFonts w:ascii="Garamond" w:hAnsi="Garamond" w:cstheme="minorHAnsi"/>
        </w:rPr>
        <w:t xml:space="preserve">, ‘The Book of Psalms and the early modern sonnet’ in </w:t>
      </w:r>
      <w:r w:rsidRPr="003037D2">
        <w:rPr>
          <w:rFonts w:ascii="Garamond" w:hAnsi="Garamond" w:cstheme="minorHAnsi"/>
          <w:i/>
        </w:rPr>
        <w:t>Renaissance Studies</w:t>
      </w:r>
      <w:r w:rsidRPr="003037D2">
        <w:rPr>
          <w:rFonts w:ascii="Garamond" w:hAnsi="Garamond" w:cstheme="minorHAnsi"/>
        </w:rPr>
        <w:t>, 29 (September 2015), pp. 632–649</w:t>
      </w:r>
    </w:p>
    <w:bookmarkEnd w:id="270"/>
    <w:p w14:paraId="14CE328E" w14:textId="77777777" w:rsidR="00162224" w:rsidRPr="003037D2" w:rsidRDefault="00162224" w:rsidP="00A721D6">
      <w:pPr>
        <w:ind w:left="1361" w:hanging="720"/>
        <w:rPr>
          <w:rFonts w:ascii="Garamond" w:hAnsi="Garamond"/>
        </w:rPr>
      </w:pPr>
      <w:proofErr w:type="spellStart"/>
      <w:r w:rsidRPr="003037D2">
        <w:rPr>
          <w:rFonts w:ascii="Garamond" w:hAnsi="Garamond"/>
        </w:rPr>
        <w:t>Serres</w:t>
      </w:r>
      <w:proofErr w:type="spellEnd"/>
      <w:r w:rsidRPr="003037D2">
        <w:rPr>
          <w:rFonts w:ascii="Garamond" w:hAnsi="Garamond"/>
        </w:rPr>
        <w:t xml:space="preserve">, Michel, </w:t>
      </w:r>
      <w:r w:rsidRPr="003037D2">
        <w:rPr>
          <w:rFonts w:ascii="Garamond" w:hAnsi="Garamond"/>
          <w:i/>
        </w:rPr>
        <w:t xml:space="preserve">The Five Senses: A Philosophy of Mingled Bodies </w:t>
      </w:r>
      <w:r w:rsidRPr="003037D2">
        <w:rPr>
          <w:rFonts w:ascii="Garamond" w:hAnsi="Garamond"/>
        </w:rPr>
        <w:t>translated with an introduction by Margaret Sankey and Peter Cowley (London: Continuum, 2008)</w:t>
      </w:r>
    </w:p>
    <w:p w14:paraId="45763E63" w14:textId="77777777" w:rsidR="00162224" w:rsidRPr="003037D2" w:rsidRDefault="00162224" w:rsidP="00A721D6">
      <w:pPr>
        <w:ind w:left="1361" w:hanging="720"/>
        <w:rPr>
          <w:rFonts w:ascii="Garamond" w:hAnsi="Garamond"/>
        </w:rPr>
      </w:pPr>
      <w:r w:rsidRPr="003037D2">
        <w:rPr>
          <w:rFonts w:ascii="Garamond" w:hAnsi="Garamond"/>
        </w:rPr>
        <w:t>___</w:t>
      </w:r>
      <w:proofErr w:type="gramStart"/>
      <w:r w:rsidRPr="003037D2">
        <w:rPr>
          <w:rFonts w:ascii="Garamond" w:hAnsi="Garamond"/>
        </w:rPr>
        <w:t>_ ,</w:t>
      </w:r>
      <w:proofErr w:type="gramEnd"/>
      <w:r w:rsidRPr="003037D2">
        <w:rPr>
          <w:rFonts w:ascii="Garamond" w:hAnsi="Garamond"/>
        </w:rPr>
        <w:t xml:space="preserve"> and Bruno Latour, </w:t>
      </w:r>
      <w:r w:rsidRPr="003037D2">
        <w:rPr>
          <w:rFonts w:ascii="Garamond" w:hAnsi="Garamond"/>
          <w:i/>
          <w:iCs/>
        </w:rPr>
        <w:t xml:space="preserve">Conversations on Science, Culture, and Time </w:t>
      </w:r>
      <w:r w:rsidRPr="003037D2">
        <w:rPr>
          <w:rFonts w:ascii="Garamond" w:hAnsi="Garamond"/>
          <w:iCs/>
        </w:rPr>
        <w:t xml:space="preserve">(Ann </w:t>
      </w:r>
      <w:proofErr w:type="spellStart"/>
      <w:r w:rsidRPr="003037D2">
        <w:rPr>
          <w:rFonts w:ascii="Garamond" w:hAnsi="Garamond"/>
          <w:iCs/>
        </w:rPr>
        <w:t>Arbour</w:t>
      </w:r>
      <w:proofErr w:type="spellEnd"/>
      <w:r w:rsidRPr="003037D2">
        <w:rPr>
          <w:rFonts w:ascii="Garamond" w:hAnsi="Garamond"/>
          <w:iCs/>
        </w:rPr>
        <w:t xml:space="preserve">, MI: University of Michigan Press, 1995) </w:t>
      </w:r>
    </w:p>
    <w:p w14:paraId="64443CC5" w14:textId="77777777" w:rsidR="00162224" w:rsidRPr="003037D2" w:rsidRDefault="00162224" w:rsidP="00A721D6">
      <w:pPr>
        <w:ind w:left="1361" w:hanging="720"/>
        <w:rPr>
          <w:rFonts w:ascii="Garamond" w:hAnsi="Garamond"/>
        </w:rPr>
      </w:pPr>
      <w:r w:rsidRPr="003037D2">
        <w:rPr>
          <w:rFonts w:ascii="Garamond" w:hAnsi="Garamond"/>
        </w:rPr>
        <w:t>Simpson, James,</w:t>
      </w:r>
      <w:r w:rsidRPr="003037D2">
        <w:rPr>
          <w:rFonts w:ascii="Garamond" w:hAnsi="Garamond"/>
          <w:i/>
          <w:iCs/>
        </w:rPr>
        <w:t xml:space="preserve"> </w:t>
      </w:r>
      <w:bookmarkStart w:id="271" w:name="_Hlk532650631"/>
      <w:r w:rsidRPr="003037D2">
        <w:rPr>
          <w:rFonts w:ascii="Garamond" w:hAnsi="Garamond"/>
          <w:i/>
          <w:iCs/>
        </w:rPr>
        <w:t xml:space="preserve">Burning to Read: English Fundamentalism and its Reformation Opponents </w:t>
      </w:r>
      <w:r w:rsidRPr="003037D2">
        <w:rPr>
          <w:rFonts w:ascii="Garamond" w:hAnsi="Garamond"/>
        </w:rPr>
        <w:t xml:space="preserve">(Cambridge, Massachusetts: Belknap Press, 2007)  </w:t>
      </w:r>
      <w:bookmarkEnd w:id="271"/>
    </w:p>
    <w:p w14:paraId="28DC457B" w14:textId="77777777" w:rsidR="00162224" w:rsidRPr="003037D2" w:rsidRDefault="00162224" w:rsidP="00A721D6">
      <w:pPr>
        <w:ind w:left="1361" w:hanging="720"/>
        <w:rPr>
          <w:rFonts w:ascii="Garamond" w:hAnsi="Garamond"/>
        </w:rPr>
      </w:pPr>
      <w:r w:rsidRPr="003037D2">
        <w:rPr>
          <w:rFonts w:ascii="Garamond" w:hAnsi="Garamond"/>
        </w:rPr>
        <w:t>___</w:t>
      </w:r>
      <w:proofErr w:type="gramStart"/>
      <w:r w:rsidRPr="003037D2">
        <w:rPr>
          <w:rFonts w:ascii="Garamond" w:hAnsi="Garamond"/>
        </w:rPr>
        <w:t>_ ,</w:t>
      </w:r>
      <w:proofErr w:type="gramEnd"/>
      <w:r w:rsidRPr="003037D2">
        <w:rPr>
          <w:rFonts w:ascii="Garamond" w:hAnsi="Garamond"/>
        </w:rPr>
        <w:t xml:space="preserve"> ‘The psalms and threat in sixteenth-century English court culture’ in </w:t>
      </w:r>
      <w:r w:rsidRPr="003037D2">
        <w:rPr>
          <w:rFonts w:ascii="Garamond" w:hAnsi="Garamond"/>
          <w:i/>
          <w:iCs/>
        </w:rPr>
        <w:t xml:space="preserve">Renaissance Studies, </w:t>
      </w:r>
      <w:r w:rsidRPr="003037D2">
        <w:rPr>
          <w:rFonts w:ascii="Garamond" w:hAnsi="Garamond"/>
        </w:rPr>
        <w:t xml:space="preserve">29.4 (September 2015), pp. 576-594 </w:t>
      </w:r>
    </w:p>
    <w:p w14:paraId="25625973" w14:textId="77777777" w:rsidR="00162224" w:rsidRPr="003037D2" w:rsidRDefault="00162224" w:rsidP="00A721D6">
      <w:pPr>
        <w:ind w:left="1361" w:hanging="720"/>
        <w:rPr>
          <w:rFonts w:ascii="Garamond" w:hAnsi="Garamond"/>
        </w:rPr>
      </w:pPr>
      <w:proofErr w:type="spellStart"/>
      <w:r w:rsidRPr="003037D2">
        <w:rPr>
          <w:rFonts w:ascii="Garamond" w:hAnsi="Garamond" w:cstheme="minorHAnsi"/>
        </w:rPr>
        <w:t>Skouen</w:t>
      </w:r>
      <w:proofErr w:type="spellEnd"/>
      <w:r w:rsidRPr="003037D2">
        <w:rPr>
          <w:rFonts w:ascii="Garamond" w:hAnsi="Garamond" w:cstheme="minorHAnsi"/>
        </w:rPr>
        <w:t xml:space="preserve">, Tina, </w:t>
      </w:r>
      <w:r w:rsidRPr="003037D2">
        <w:rPr>
          <w:rFonts w:ascii="Garamond" w:hAnsi="Garamond" w:cstheme="minorHAnsi"/>
          <w:i/>
          <w:iCs/>
        </w:rPr>
        <w:t xml:space="preserve">The Value of Time in Early Modern English Literature </w:t>
      </w:r>
      <w:r w:rsidRPr="003037D2">
        <w:rPr>
          <w:rFonts w:ascii="Garamond" w:hAnsi="Garamond" w:cstheme="minorHAnsi"/>
          <w:iCs/>
        </w:rPr>
        <w:t xml:space="preserve">(London: Routledge, 2018) </w:t>
      </w:r>
    </w:p>
    <w:p w14:paraId="490E5B7B" w14:textId="361D0F9E" w:rsidR="00162224" w:rsidRPr="003037D2" w:rsidRDefault="00162224" w:rsidP="00A721D6">
      <w:pPr>
        <w:ind w:left="1361" w:hanging="720"/>
        <w:rPr>
          <w:rFonts w:ascii="Garamond" w:hAnsi="Garamond"/>
        </w:rPr>
      </w:pPr>
      <w:r w:rsidRPr="003037D2">
        <w:rPr>
          <w:rFonts w:ascii="Garamond" w:hAnsi="Garamond"/>
        </w:rPr>
        <w:t xml:space="preserve">Smith, Bruce R., </w:t>
      </w:r>
      <w:r w:rsidRPr="003037D2">
        <w:rPr>
          <w:rFonts w:ascii="Garamond" w:hAnsi="Garamond"/>
          <w:i/>
        </w:rPr>
        <w:t xml:space="preserve">The Acoustic world of early modern England </w:t>
      </w:r>
      <w:r w:rsidRPr="003037D2">
        <w:rPr>
          <w:rFonts w:ascii="Garamond" w:hAnsi="Garamond"/>
        </w:rPr>
        <w:t xml:space="preserve">(Chicago: University of Chicago Press, 1999) </w:t>
      </w:r>
    </w:p>
    <w:p w14:paraId="13ECF85E" w14:textId="642FCC72" w:rsidR="00896124" w:rsidRPr="003037D2" w:rsidRDefault="00896124" w:rsidP="00A721D6">
      <w:pPr>
        <w:ind w:left="1361" w:hanging="720"/>
        <w:rPr>
          <w:rFonts w:ascii="Garamond" w:hAnsi="Garamond"/>
        </w:rPr>
      </w:pPr>
      <w:r w:rsidRPr="003037D2">
        <w:rPr>
          <w:rFonts w:ascii="Garamond" w:hAnsi="Garamond"/>
        </w:rPr>
        <w:t xml:space="preserve">Smith, Gregory ed., </w:t>
      </w:r>
      <w:r w:rsidRPr="003037D2">
        <w:rPr>
          <w:rFonts w:ascii="Garamond" w:hAnsi="Garamond"/>
          <w:i/>
        </w:rPr>
        <w:t>Elizabethan Critical Essays</w:t>
      </w:r>
      <w:r w:rsidRPr="003037D2">
        <w:rPr>
          <w:rFonts w:ascii="Garamond" w:hAnsi="Garamond"/>
        </w:rPr>
        <w:t xml:space="preserve"> (Oxford, Oxford University Press, 1904)</w:t>
      </w:r>
    </w:p>
    <w:p w14:paraId="46D85B32" w14:textId="77777777" w:rsidR="00162224" w:rsidRPr="003037D2" w:rsidRDefault="00162224" w:rsidP="00A721D6">
      <w:pPr>
        <w:ind w:left="1361" w:hanging="720"/>
        <w:rPr>
          <w:rFonts w:ascii="Garamond" w:hAnsi="Garamond"/>
        </w:rPr>
      </w:pPr>
      <w:r w:rsidRPr="003037D2">
        <w:rPr>
          <w:rFonts w:ascii="Garamond" w:hAnsi="Garamond"/>
        </w:rPr>
        <w:t xml:space="preserve">Smyth, Adam, ‘Almanacs, Annotators, and Life-Writing in Early Modern England’, in </w:t>
      </w:r>
      <w:r w:rsidRPr="003037D2">
        <w:rPr>
          <w:rFonts w:ascii="Garamond" w:hAnsi="Garamond"/>
          <w:i/>
        </w:rPr>
        <w:t>English Literary Renaissance</w:t>
      </w:r>
      <w:r w:rsidRPr="003037D2">
        <w:rPr>
          <w:rFonts w:ascii="Garamond" w:hAnsi="Garamond"/>
        </w:rPr>
        <w:t>, 38.2 (Spring 2008), pp. 200-244</w:t>
      </w:r>
    </w:p>
    <w:p w14:paraId="752F5B03" w14:textId="77777777" w:rsidR="00162224" w:rsidRPr="003037D2" w:rsidRDefault="00162224" w:rsidP="00A721D6">
      <w:pPr>
        <w:ind w:left="1361" w:hanging="720"/>
        <w:rPr>
          <w:rFonts w:ascii="Garamond" w:hAnsi="Garamond"/>
        </w:rPr>
      </w:pPr>
      <w:r w:rsidRPr="003037D2">
        <w:rPr>
          <w:rFonts w:ascii="Garamond" w:hAnsi="Garamond"/>
        </w:rPr>
        <w:t>___</w:t>
      </w:r>
      <w:proofErr w:type="gramStart"/>
      <w:r w:rsidRPr="003037D2">
        <w:rPr>
          <w:rFonts w:ascii="Garamond" w:hAnsi="Garamond"/>
        </w:rPr>
        <w:t>_ ,</w:t>
      </w:r>
      <w:proofErr w:type="gramEnd"/>
      <w:r w:rsidRPr="003037D2">
        <w:rPr>
          <w:rFonts w:ascii="Garamond" w:hAnsi="Garamond"/>
        </w:rPr>
        <w:t xml:space="preserve"> </w:t>
      </w:r>
      <w:r w:rsidRPr="003037D2">
        <w:rPr>
          <w:rFonts w:ascii="Garamond" w:hAnsi="Garamond"/>
          <w:i/>
          <w:iCs/>
        </w:rPr>
        <w:t xml:space="preserve">Autobiography in Early Modern England </w:t>
      </w:r>
      <w:r w:rsidRPr="003037D2">
        <w:rPr>
          <w:rFonts w:ascii="Garamond" w:hAnsi="Garamond"/>
        </w:rPr>
        <w:t>(Cambridge: Cambridge University Press, 2010)</w:t>
      </w:r>
    </w:p>
    <w:p w14:paraId="34C377BA" w14:textId="60EBC842" w:rsidR="00162224" w:rsidRPr="003037D2" w:rsidRDefault="00162224" w:rsidP="00A721D6">
      <w:pPr>
        <w:ind w:left="1361" w:hanging="720"/>
        <w:rPr>
          <w:rFonts w:ascii="Garamond" w:hAnsi="Garamond"/>
          <w:bCs/>
        </w:rPr>
      </w:pPr>
      <w:r w:rsidRPr="003037D2">
        <w:rPr>
          <w:rFonts w:ascii="Garamond" w:hAnsi="Garamond"/>
        </w:rPr>
        <w:t>___</w:t>
      </w:r>
      <w:proofErr w:type="gramStart"/>
      <w:r w:rsidRPr="003037D2">
        <w:rPr>
          <w:rFonts w:ascii="Garamond" w:hAnsi="Garamond"/>
        </w:rPr>
        <w:t>_ ,</w:t>
      </w:r>
      <w:proofErr w:type="gramEnd"/>
      <w:r w:rsidRPr="003037D2">
        <w:rPr>
          <w:rFonts w:ascii="Garamond" w:hAnsi="Garamond"/>
          <w:bCs/>
        </w:rPr>
        <w:t xml:space="preserve">  ‘</w:t>
      </w:r>
      <w:r w:rsidR="00161762">
        <w:rPr>
          <w:rFonts w:ascii="Garamond" w:hAnsi="Garamond"/>
          <w:bCs/>
        </w:rPr>
        <w:t>“</w:t>
      </w:r>
      <w:r w:rsidRPr="003037D2">
        <w:rPr>
          <w:rFonts w:ascii="Garamond" w:hAnsi="Garamond"/>
          <w:bCs/>
        </w:rPr>
        <w:t>Shreds of Holiness</w:t>
      </w:r>
      <w:r w:rsidR="00161762">
        <w:rPr>
          <w:rFonts w:ascii="Garamond" w:hAnsi="Garamond"/>
          <w:bCs/>
        </w:rPr>
        <w:t>”</w:t>
      </w:r>
      <w:r w:rsidRPr="003037D2">
        <w:rPr>
          <w:rFonts w:ascii="Garamond" w:hAnsi="Garamond"/>
          <w:bCs/>
        </w:rPr>
        <w:t xml:space="preserve">: George Herbert, Little </w:t>
      </w:r>
      <w:proofErr w:type="spellStart"/>
      <w:r w:rsidRPr="003037D2">
        <w:rPr>
          <w:rFonts w:ascii="Garamond" w:hAnsi="Garamond"/>
          <w:bCs/>
        </w:rPr>
        <w:t>Gidding</w:t>
      </w:r>
      <w:proofErr w:type="spellEnd"/>
      <w:r w:rsidRPr="003037D2">
        <w:rPr>
          <w:rFonts w:ascii="Garamond" w:hAnsi="Garamond"/>
          <w:bCs/>
        </w:rPr>
        <w:t xml:space="preserve">, and Cutting Up Texts in early modern England’ in </w:t>
      </w:r>
      <w:r w:rsidRPr="003037D2">
        <w:rPr>
          <w:rFonts w:ascii="Garamond" w:hAnsi="Garamond"/>
          <w:bCs/>
          <w:i/>
          <w:iCs/>
        </w:rPr>
        <w:t xml:space="preserve">English Literary Renaissance, </w:t>
      </w:r>
      <w:r w:rsidRPr="003037D2">
        <w:rPr>
          <w:rFonts w:ascii="Garamond" w:hAnsi="Garamond"/>
          <w:bCs/>
        </w:rPr>
        <w:t>42.3 (2012), pp. 452-481</w:t>
      </w:r>
    </w:p>
    <w:p w14:paraId="49D4FB4D" w14:textId="77777777" w:rsidR="00162224" w:rsidRPr="003037D2" w:rsidRDefault="00162224" w:rsidP="00A721D6">
      <w:pPr>
        <w:ind w:left="1361" w:hanging="720"/>
        <w:rPr>
          <w:rFonts w:ascii="Garamond" w:hAnsi="Garamond"/>
        </w:rPr>
      </w:pPr>
      <w:r w:rsidRPr="003037D2">
        <w:rPr>
          <w:rFonts w:ascii="Garamond" w:hAnsi="Garamond"/>
        </w:rPr>
        <w:lastRenderedPageBreak/>
        <w:t xml:space="preserve">Sommerville, John C., ‘The Anti-Puritan Work Ethic’ in </w:t>
      </w:r>
      <w:r w:rsidRPr="003037D2">
        <w:rPr>
          <w:rFonts w:ascii="Garamond" w:hAnsi="Garamond"/>
          <w:i/>
        </w:rPr>
        <w:t>Journal of British Studies</w:t>
      </w:r>
      <w:r w:rsidRPr="003037D2">
        <w:rPr>
          <w:rFonts w:ascii="Garamond" w:hAnsi="Garamond"/>
        </w:rPr>
        <w:t xml:space="preserve">, 20.2 (Spring, 1981), pp. 70-81  </w:t>
      </w:r>
    </w:p>
    <w:p w14:paraId="0AB9A5EC" w14:textId="107267CB" w:rsidR="00162224" w:rsidRPr="003037D2" w:rsidRDefault="00162224" w:rsidP="00161762">
      <w:pPr>
        <w:ind w:left="1361" w:hanging="720"/>
        <w:rPr>
          <w:rFonts w:ascii="Garamond" w:hAnsi="Garamond" w:cstheme="majorBidi"/>
        </w:rPr>
      </w:pPr>
      <w:r w:rsidRPr="003037D2">
        <w:rPr>
          <w:rFonts w:ascii="Garamond" w:hAnsi="Garamond" w:cstheme="majorBidi"/>
        </w:rPr>
        <w:t xml:space="preserve">Spiller, Michael, ‘A literary </w:t>
      </w:r>
      <w:r w:rsidR="00161762">
        <w:rPr>
          <w:rFonts w:ascii="Garamond" w:hAnsi="Garamond" w:cstheme="majorBidi"/>
        </w:rPr>
        <w:t>“</w:t>
      </w:r>
      <w:r w:rsidRPr="003037D2">
        <w:rPr>
          <w:rFonts w:ascii="Garamond" w:hAnsi="Garamond" w:cstheme="majorBidi"/>
        </w:rPr>
        <w:t>first</w:t>
      </w:r>
      <w:r w:rsidR="00161762">
        <w:rPr>
          <w:rFonts w:ascii="Garamond" w:hAnsi="Garamond" w:cstheme="majorBidi"/>
        </w:rPr>
        <w:t>”</w:t>
      </w:r>
      <w:r w:rsidRPr="003037D2">
        <w:rPr>
          <w:rFonts w:ascii="Garamond" w:hAnsi="Garamond" w:cstheme="majorBidi"/>
        </w:rPr>
        <w:t xml:space="preserve">: the sonnet sequence of Anne Locke (1560) an appreciation of Anne Locke's Sonnet Sequence: A Meditation of a Penitent Sinner … with Locke's Epistle to the … Duchesse of </w:t>
      </w:r>
      <w:proofErr w:type="spellStart"/>
      <w:r w:rsidRPr="003037D2">
        <w:rPr>
          <w:rFonts w:ascii="Garamond" w:hAnsi="Garamond" w:cstheme="majorBidi"/>
        </w:rPr>
        <w:t>Suffolke</w:t>
      </w:r>
      <w:proofErr w:type="spellEnd"/>
      <w:r w:rsidRPr="003037D2">
        <w:rPr>
          <w:rFonts w:ascii="Garamond" w:hAnsi="Garamond" w:cstheme="majorBidi"/>
        </w:rPr>
        <w:t xml:space="preserve">’, in </w:t>
      </w:r>
      <w:r w:rsidRPr="003037D2">
        <w:rPr>
          <w:rFonts w:ascii="Garamond" w:hAnsi="Garamond" w:cstheme="majorBidi"/>
          <w:i/>
        </w:rPr>
        <w:t xml:space="preserve">Renaissance Studies, </w:t>
      </w:r>
      <w:r w:rsidRPr="003037D2">
        <w:rPr>
          <w:rFonts w:ascii="Garamond" w:hAnsi="Garamond" w:cstheme="majorBidi"/>
        </w:rPr>
        <w:t>11.1 (1997), pp. 41-55</w:t>
      </w:r>
    </w:p>
    <w:p w14:paraId="0F1F0642" w14:textId="77777777" w:rsidR="00162224" w:rsidRPr="003037D2" w:rsidRDefault="00162224" w:rsidP="00A721D6">
      <w:pPr>
        <w:ind w:left="1361" w:hanging="720"/>
        <w:rPr>
          <w:rFonts w:ascii="Garamond" w:hAnsi="Garamond"/>
        </w:rPr>
      </w:pPr>
      <w:r w:rsidRPr="003037D2">
        <w:rPr>
          <w:rFonts w:ascii="Garamond" w:hAnsi="Garamond"/>
        </w:rPr>
        <w:t xml:space="preserve">Stanwood, P.G., </w:t>
      </w:r>
      <w:r w:rsidRPr="003037D2">
        <w:rPr>
          <w:rFonts w:ascii="Garamond" w:hAnsi="Garamond"/>
          <w:i/>
        </w:rPr>
        <w:t xml:space="preserve">The Sempiternal Season: Studies in Seventeenth-Century Devotional Writing </w:t>
      </w:r>
      <w:r w:rsidRPr="003037D2">
        <w:rPr>
          <w:rFonts w:ascii="Garamond" w:hAnsi="Garamond"/>
        </w:rPr>
        <w:t xml:space="preserve">(New York: Peter Lang, 1992) </w:t>
      </w:r>
    </w:p>
    <w:p w14:paraId="343FDC4E" w14:textId="77777777" w:rsidR="00162224" w:rsidRPr="003037D2" w:rsidRDefault="00162224" w:rsidP="00A721D6">
      <w:pPr>
        <w:ind w:left="1361" w:hanging="720"/>
        <w:rPr>
          <w:rFonts w:ascii="Garamond" w:hAnsi="Garamond"/>
        </w:rPr>
      </w:pPr>
      <w:r w:rsidRPr="003037D2">
        <w:rPr>
          <w:rFonts w:ascii="Garamond" w:hAnsi="Garamond"/>
        </w:rPr>
        <w:t>Stein, Arnold</w:t>
      </w:r>
      <w:r w:rsidRPr="003037D2">
        <w:rPr>
          <w:rFonts w:ascii="Garamond" w:hAnsi="Garamond"/>
          <w:i/>
          <w:iCs/>
        </w:rPr>
        <w:t xml:space="preserve">, George Herbert’s Lyrics </w:t>
      </w:r>
      <w:r w:rsidRPr="003037D2">
        <w:rPr>
          <w:rFonts w:ascii="Garamond" w:hAnsi="Garamond"/>
        </w:rPr>
        <w:t>(Baltimore: John Hopkins University Press, 1968)</w:t>
      </w:r>
    </w:p>
    <w:p w14:paraId="10F37D5F" w14:textId="77777777" w:rsidR="00162224" w:rsidRPr="003037D2" w:rsidRDefault="00162224" w:rsidP="00A721D6">
      <w:pPr>
        <w:ind w:left="1361" w:hanging="720"/>
        <w:rPr>
          <w:rFonts w:ascii="Garamond" w:hAnsi="Garamond"/>
        </w:rPr>
      </w:pPr>
      <w:r w:rsidRPr="003037D2">
        <w:rPr>
          <w:rFonts w:ascii="Garamond" w:hAnsi="Garamond"/>
        </w:rPr>
        <w:t xml:space="preserve">Steinberg, Theodore L., ‘The Sidney’s and the Psalms’, in </w:t>
      </w:r>
      <w:r w:rsidRPr="003037D2">
        <w:rPr>
          <w:rFonts w:ascii="Garamond" w:hAnsi="Garamond"/>
          <w:i/>
        </w:rPr>
        <w:t xml:space="preserve">Studies in Philology, </w:t>
      </w:r>
      <w:r w:rsidRPr="003037D2">
        <w:rPr>
          <w:rFonts w:ascii="Garamond" w:hAnsi="Garamond"/>
        </w:rPr>
        <w:t xml:space="preserve">92.1 (Winter, 1995), pp. 1-17 </w:t>
      </w:r>
    </w:p>
    <w:p w14:paraId="681D619A" w14:textId="77777777" w:rsidR="00162224" w:rsidRPr="003037D2" w:rsidRDefault="00162224" w:rsidP="00A721D6">
      <w:pPr>
        <w:ind w:left="1361" w:hanging="720"/>
        <w:rPr>
          <w:rFonts w:ascii="Garamond" w:hAnsi="Garamond"/>
        </w:rPr>
      </w:pPr>
      <w:r w:rsidRPr="003037D2">
        <w:rPr>
          <w:rFonts w:ascii="Garamond" w:hAnsi="Garamond"/>
        </w:rPr>
        <w:t xml:space="preserve">Stern, Tiffany, </w:t>
      </w:r>
      <w:r w:rsidRPr="003037D2">
        <w:rPr>
          <w:rFonts w:ascii="Garamond" w:hAnsi="Garamond"/>
          <w:i/>
          <w:iCs/>
        </w:rPr>
        <w:t xml:space="preserve">Documents of Performance in Early Modern England </w:t>
      </w:r>
      <w:r w:rsidRPr="003037D2">
        <w:rPr>
          <w:rFonts w:ascii="Garamond" w:hAnsi="Garamond"/>
        </w:rPr>
        <w:t xml:space="preserve">(Cambridge: Cambridge University Press, 2009) </w:t>
      </w:r>
    </w:p>
    <w:p w14:paraId="4A3644B6" w14:textId="0385DB8D" w:rsidR="00162224" w:rsidRPr="003037D2" w:rsidRDefault="00162224" w:rsidP="00A721D6">
      <w:pPr>
        <w:ind w:left="1361" w:hanging="720"/>
        <w:rPr>
          <w:rFonts w:ascii="Garamond" w:hAnsi="Garamond" w:cstheme="minorHAnsi"/>
        </w:rPr>
      </w:pPr>
      <w:r w:rsidRPr="003037D2">
        <w:rPr>
          <w:rFonts w:ascii="Garamond" w:hAnsi="Garamond" w:cstheme="minorHAnsi"/>
        </w:rPr>
        <w:t>Strait, Daniel H., ‘</w:t>
      </w:r>
      <w:r w:rsidR="00161762">
        <w:rPr>
          <w:rFonts w:ascii="Garamond" w:hAnsi="Garamond" w:cstheme="minorHAnsi"/>
        </w:rPr>
        <w:t>“</w:t>
      </w:r>
      <w:r w:rsidRPr="003037D2">
        <w:rPr>
          <w:rFonts w:ascii="Garamond" w:hAnsi="Garamond" w:cstheme="minorHAnsi"/>
        </w:rPr>
        <w:t>Sudden passing</w:t>
      </w:r>
      <w:r w:rsidR="00161762">
        <w:rPr>
          <w:rFonts w:ascii="Garamond" w:hAnsi="Garamond" w:cstheme="minorHAnsi"/>
        </w:rPr>
        <w:t>”</w:t>
      </w:r>
      <w:r w:rsidRPr="003037D2">
        <w:rPr>
          <w:rFonts w:ascii="Garamond" w:hAnsi="Garamond" w:cstheme="minorHAnsi"/>
        </w:rPr>
        <w:t xml:space="preserve">: Herbert's poetics of the moment’ in </w:t>
      </w:r>
      <w:r w:rsidRPr="003037D2">
        <w:rPr>
          <w:rFonts w:ascii="Garamond" w:hAnsi="Garamond" w:cstheme="minorHAnsi"/>
          <w:i/>
        </w:rPr>
        <w:t>George Herbert Journal,</w:t>
      </w:r>
      <w:r w:rsidRPr="003037D2">
        <w:rPr>
          <w:rFonts w:ascii="Garamond" w:hAnsi="Garamond" w:cstheme="minorHAnsi"/>
        </w:rPr>
        <w:t xml:space="preserve"> 38 (Fall 2014-Spring 2015), pp. 54-65</w:t>
      </w:r>
    </w:p>
    <w:p w14:paraId="1EF6C5F2" w14:textId="77777777" w:rsidR="00162224" w:rsidRPr="003037D2" w:rsidRDefault="00162224" w:rsidP="00A721D6">
      <w:pPr>
        <w:ind w:left="1361" w:hanging="720"/>
        <w:rPr>
          <w:rFonts w:ascii="Garamond" w:hAnsi="Garamond"/>
        </w:rPr>
      </w:pPr>
      <w:proofErr w:type="spellStart"/>
      <w:r w:rsidRPr="003037D2">
        <w:rPr>
          <w:rFonts w:ascii="Garamond" w:hAnsi="Garamond"/>
        </w:rPr>
        <w:t>Strier</w:t>
      </w:r>
      <w:proofErr w:type="spellEnd"/>
      <w:r w:rsidRPr="003037D2">
        <w:rPr>
          <w:rFonts w:ascii="Garamond" w:hAnsi="Garamond"/>
        </w:rPr>
        <w:t xml:space="preserve">, Richard, </w:t>
      </w:r>
      <w:r w:rsidRPr="003037D2">
        <w:rPr>
          <w:rFonts w:ascii="Garamond" w:hAnsi="Garamond"/>
          <w:i/>
        </w:rPr>
        <w:t xml:space="preserve">The Unrepentant Renaissance: From Petrarch to Shakespeare to Milton </w:t>
      </w:r>
      <w:r w:rsidRPr="003037D2">
        <w:rPr>
          <w:rFonts w:ascii="Garamond" w:hAnsi="Garamond"/>
        </w:rPr>
        <w:t>(Chicago: The University of Chicago Press, 2011)</w:t>
      </w:r>
    </w:p>
    <w:p w14:paraId="7C14A7DB" w14:textId="556A688E" w:rsidR="00162224" w:rsidRPr="003037D2" w:rsidRDefault="00162224" w:rsidP="00A721D6">
      <w:pPr>
        <w:ind w:left="1361" w:hanging="720"/>
        <w:rPr>
          <w:rFonts w:ascii="Garamond" w:hAnsi="Garamond"/>
        </w:rPr>
      </w:pPr>
      <w:r w:rsidRPr="003037D2">
        <w:rPr>
          <w:rFonts w:ascii="Garamond" w:hAnsi="Garamond"/>
        </w:rPr>
        <w:t xml:space="preserve">Stringer, Gary, ‘Learning </w:t>
      </w:r>
      <w:r w:rsidR="00161762">
        <w:rPr>
          <w:rFonts w:ascii="Garamond" w:hAnsi="Garamond"/>
        </w:rPr>
        <w:t>“</w:t>
      </w:r>
      <w:r w:rsidRPr="003037D2">
        <w:rPr>
          <w:rFonts w:ascii="Garamond" w:hAnsi="Garamond"/>
        </w:rPr>
        <w:t xml:space="preserve">Hard and </w:t>
      </w:r>
      <w:proofErr w:type="spellStart"/>
      <w:r w:rsidRPr="003037D2">
        <w:rPr>
          <w:rFonts w:ascii="Garamond" w:hAnsi="Garamond"/>
        </w:rPr>
        <w:t>Deepe</w:t>
      </w:r>
      <w:proofErr w:type="spellEnd"/>
      <w:r w:rsidR="00161762">
        <w:rPr>
          <w:rFonts w:ascii="Garamond" w:hAnsi="Garamond"/>
        </w:rPr>
        <w:t>”</w:t>
      </w:r>
      <w:r w:rsidRPr="003037D2">
        <w:rPr>
          <w:rFonts w:ascii="Garamond" w:hAnsi="Garamond"/>
        </w:rPr>
        <w:t xml:space="preserve">: Biblical Allusion in Donne's </w:t>
      </w:r>
      <w:r w:rsidR="00161762">
        <w:rPr>
          <w:rFonts w:ascii="Garamond" w:hAnsi="Garamond"/>
        </w:rPr>
        <w:t>“</w:t>
      </w:r>
      <w:r w:rsidRPr="003037D2">
        <w:rPr>
          <w:rFonts w:ascii="Garamond" w:hAnsi="Garamond"/>
        </w:rPr>
        <w:t>A Valediction: Of My Name, in the Window</w:t>
      </w:r>
      <w:r w:rsidR="00161762">
        <w:rPr>
          <w:rFonts w:ascii="Garamond" w:hAnsi="Garamond"/>
        </w:rPr>
        <w:t>”</w:t>
      </w:r>
      <w:r w:rsidRPr="003037D2">
        <w:rPr>
          <w:rFonts w:ascii="Garamond" w:hAnsi="Garamond"/>
        </w:rPr>
        <w:t xml:space="preserve"> in </w:t>
      </w:r>
      <w:r w:rsidRPr="003037D2">
        <w:rPr>
          <w:rFonts w:ascii="Garamond" w:hAnsi="Garamond"/>
          <w:i/>
        </w:rPr>
        <w:t xml:space="preserve">The </w:t>
      </w:r>
      <w:proofErr w:type="gramStart"/>
      <w:r w:rsidRPr="003037D2">
        <w:rPr>
          <w:rFonts w:ascii="Garamond" w:hAnsi="Garamond"/>
          <w:i/>
        </w:rPr>
        <w:t>South Central</w:t>
      </w:r>
      <w:proofErr w:type="gramEnd"/>
      <w:r w:rsidRPr="003037D2">
        <w:rPr>
          <w:rFonts w:ascii="Garamond" w:hAnsi="Garamond"/>
          <w:i/>
        </w:rPr>
        <w:t xml:space="preserve"> Bulletin</w:t>
      </w:r>
      <w:r w:rsidRPr="003037D2">
        <w:rPr>
          <w:rFonts w:ascii="Garamond" w:hAnsi="Garamond"/>
        </w:rPr>
        <w:t xml:space="preserve">, 33.4 (Winter, 1973), pp. 227-231 </w:t>
      </w:r>
    </w:p>
    <w:p w14:paraId="3F787FAF" w14:textId="77777777" w:rsidR="00162224" w:rsidRPr="003037D2" w:rsidRDefault="00162224" w:rsidP="00A721D6">
      <w:pPr>
        <w:ind w:left="1361" w:hanging="720"/>
        <w:rPr>
          <w:rFonts w:ascii="Garamond" w:hAnsi="Garamond"/>
        </w:rPr>
      </w:pPr>
      <w:proofErr w:type="spellStart"/>
      <w:r w:rsidRPr="003037D2">
        <w:rPr>
          <w:rFonts w:ascii="Garamond" w:hAnsi="Garamond"/>
        </w:rPr>
        <w:t>Strype</w:t>
      </w:r>
      <w:proofErr w:type="spellEnd"/>
      <w:r w:rsidRPr="003037D2">
        <w:rPr>
          <w:rFonts w:ascii="Garamond" w:hAnsi="Garamond"/>
        </w:rPr>
        <w:t xml:space="preserve">, John, </w:t>
      </w:r>
      <w:r w:rsidRPr="003037D2">
        <w:rPr>
          <w:rFonts w:ascii="Garamond" w:hAnsi="Garamond"/>
          <w:i/>
        </w:rPr>
        <w:t>The Life and Acts of Matthew Parker: the first Archbishop of Canterbury, in the reign of Queen Elizabeth</w:t>
      </w:r>
      <w:r w:rsidRPr="003037D2">
        <w:rPr>
          <w:rFonts w:ascii="Garamond" w:hAnsi="Garamond"/>
        </w:rPr>
        <w:t xml:space="preserve"> (Oxford: Clarendon Press, 1821)</w:t>
      </w:r>
    </w:p>
    <w:p w14:paraId="0CC7319F" w14:textId="77777777" w:rsidR="00162224" w:rsidRPr="00161762" w:rsidRDefault="00162224" w:rsidP="00A721D6">
      <w:pPr>
        <w:pStyle w:val="FootnoteText"/>
        <w:ind w:left="1361" w:hanging="720"/>
        <w:rPr>
          <w:rFonts w:ascii="Garamond" w:hAnsi="Garamond"/>
          <w:sz w:val="24"/>
          <w:szCs w:val="24"/>
        </w:rPr>
      </w:pPr>
      <w:r w:rsidRPr="00161762">
        <w:rPr>
          <w:rFonts w:ascii="Garamond" w:hAnsi="Garamond"/>
          <w:sz w:val="24"/>
          <w:szCs w:val="24"/>
        </w:rPr>
        <w:t xml:space="preserve">Summers, Joseph, </w:t>
      </w:r>
      <w:r w:rsidRPr="00161762">
        <w:rPr>
          <w:rFonts w:ascii="Garamond" w:hAnsi="Garamond"/>
          <w:i/>
          <w:iCs/>
          <w:sz w:val="24"/>
          <w:szCs w:val="24"/>
        </w:rPr>
        <w:t xml:space="preserve">George Herbert: His religion and his art </w:t>
      </w:r>
      <w:r w:rsidRPr="00161762">
        <w:rPr>
          <w:rFonts w:ascii="Garamond" w:hAnsi="Garamond"/>
          <w:sz w:val="24"/>
          <w:szCs w:val="24"/>
        </w:rPr>
        <w:t xml:space="preserve">(London: </w:t>
      </w:r>
      <w:proofErr w:type="spellStart"/>
      <w:r w:rsidRPr="00161762">
        <w:rPr>
          <w:rFonts w:ascii="Garamond" w:hAnsi="Garamond"/>
          <w:sz w:val="24"/>
          <w:szCs w:val="24"/>
        </w:rPr>
        <w:t>Chatto</w:t>
      </w:r>
      <w:proofErr w:type="spellEnd"/>
      <w:r w:rsidRPr="00161762">
        <w:rPr>
          <w:rFonts w:ascii="Garamond" w:hAnsi="Garamond"/>
          <w:sz w:val="24"/>
          <w:szCs w:val="24"/>
        </w:rPr>
        <w:t xml:space="preserve"> and </w:t>
      </w:r>
      <w:proofErr w:type="spellStart"/>
      <w:r w:rsidRPr="00161762">
        <w:rPr>
          <w:rFonts w:ascii="Garamond" w:hAnsi="Garamond"/>
          <w:sz w:val="24"/>
          <w:szCs w:val="24"/>
        </w:rPr>
        <w:t>Windus</w:t>
      </w:r>
      <w:proofErr w:type="spellEnd"/>
      <w:r w:rsidRPr="00161762">
        <w:rPr>
          <w:rFonts w:ascii="Garamond" w:hAnsi="Garamond"/>
          <w:sz w:val="24"/>
          <w:szCs w:val="24"/>
        </w:rPr>
        <w:t>, 1968)</w:t>
      </w:r>
    </w:p>
    <w:p w14:paraId="36DE0EB2" w14:textId="3DD666A3" w:rsidR="00162224" w:rsidRPr="003037D2" w:rsidRDefault="00162224" w:rsidP="00A721D6">
      <w:pPr>
        <w:pStyle w:val="FootnoteText"/>
        <w:ind w:left="1361" w:hanging="720"/>
        <w:rPr>
          <w:rFonts w:ascii="Garamond" w:hAnsi="Garamond"/>
          <w:sz w:val="22"/>
          <w:szCs w:val="22"/>
        </w:rPr>
      </w:pPr>
      <w:proofErr w:type="spellStart"/>
      <w:r w:rsidRPr="00161762">
        <w:rPr>
          <w:rFonts w:ascii="Garamond" w:hAnsi="Garamond"/>
          <w:sz w:val="24"/>
          <w:szCs w:val="24"/>
        </w:rPr>
        <w:t>Szönyi</w:t>
      </w:r>
      <w:proofErr w:type="spellEnd"/>
      <w:r w:rsidRPr="00161762">
        <w:rPr>
          <w:rFonts w:ascii="Garamond" w:hAnsi="Garamond"/>
          <w:sz w:val="24"/>
          <w:szCs w:val="24"/>
        </w:rPr>
        <w:t xml:space="preserve">, </w:t>
      </w:r>
      <w:proofErr w:type="spellStart"/>
      <w:r w:rsidRPr="00161762">
        <w:rPr>
          <w:rFonts w:ascii="Garamond" w:hAnsi="Garamond"/>
          <w:sz w:val="24"/>
          <w:szCs w:val="24"/>
        </w:rPr>
        <w:t>György</w:t>
      </w:r>
      <w:proofErr w:type="spellEnd"/>
      <w:r w:rsidRPr="00161762">
        <w:rPr>
          <w:rFonts w:ascii="Garamond" w:hAnsi="Garamond"/>
          <w:sz w:val="24"/>
          <w:szCs w:val="24"/>
        </w:rPr>
        <w:t xml:space="preserve"> E., ‘John Dee and Early Modern Occult Philosophy’ in </w:t>
      </w:r>
      <w:r w:rsidRPr="00161762">
        <w:rPr>
          <w:rFonts w:ascii="Garamond" w:hAnsi="Garamond"/>
          <w:i/>
          <w:iCs/>
          <w:sz w:val="24"/>
          <w:szCs w:val="24"/>
        </w:rPr>
        <w:t xml:space="preserve">Literature Compass, </w:t>
      </w:r>
      <w:r w:rsidRPr="00161762">
        <w:rPr>
          <w:rFonts w:ascii="Garamond" w:hAnsi="Garamond"/>
          <w:sz w:val="24"/>
          <w:szCs w:val="24"/>
        </w:rPr>
        <w:t>1 (2005), pp. 1-12</w:t>
      </w:r>
    </w:p>
    <w:p w14:paraId="7FE6899E" w14:textId="3F419A14" w:rsidR="00162224" w:rsidRPr="003037D2" w:rsidRDefault="00162224" w:rsidP="00A721D6">
      <w:pPr>
        <w:ind w:left="1361" w:hanging="720"/>
        <w:rPr>
          <w:rFonts w:ascii="Garamond" w:hAnsi="Garamond"/>
        </w:rPr>
      </w:pPr>
      <w:proofErr w:type="spellStart"/>
      <w:r w:rsidRPr="003037D2">
        <w:rPr>
          <w:rFonts w:ascii="Garamond" w:hAnsi="Garamond"/>
        </w:rPr>
        <w:t>Tabbak</w:t>
      </w:r>
      <w:proofErr w:type="spellEnd"/>
      <w:r w:rsidRPr="003037D2">
        <w:rPr>
          <w:rFonts w:ascii="Garamond" w:hAnsi="Garamond"/>
        </w:rPr>
        <w:t>, Jessica, ‘</w:t>
      </w:r>
      <w:r w:rsidR="00161762">
        <w:rPr>
          <w:rFonts w:ascii="Garamond" w:hAnsi="Garamond"/>
        </w:rPr>
        <w:t>“</w:t>
      </w:r>
      <w:r w:rsidRPr="003037D2">
        <w:rPr>
          <w:rFonts w:ascii="Garamond" w:hAnsi="Garamond"/>
        </w:rPr>
        <w:t>O Multiplied Misery!</w:t>
      </w:r>
      <w:r w:rsidR="00161762">
        <w:rPr>
          <w:rFonts w:ascii="Garamond" w:hAnsi="Garamond"/>
        </w:rPr>
        <w:t>”</w:t>
      </w:r>
      <w:r w:rsidRPr="003037D2">
        <w:rPr>
          <w:rFonts w:ascii="Garamond" w:hAnsi="Garamond"/>
        </w:rPr>
        <w:t xml:space="preserve">: The Disordered Medical Narrative of John Donne’s Devotions’ in </w:t>
      </w:r>
      <w:r w:rsidRPr="003037D2">
        <w:rPr>
          <w:rFonts w:ascii="Garamond" w:hAnsi="Garamond"/>
          <w:i/>
        </w:rPr>
        <w:t xml:space="preserve">Journal of Medieval and Early Modern Studies, </w:t>
      </w:r>
      <w:r w:rsidRPr="003037D2">
        <w:rPr>
          <w:rFonts w:ascii="Garamond" w:hAnsi="Garamond"/>
        </w:rPr>
        <w:t>46.1 (2016), pp. 167-185</w:t>
      </w:r>
    </w:p>
    <w:p w14:paraId="4A3A7320" w14:textId="77777777" w:rsidR="00162224" w:rsidRPr="003037D2" w:rsidRDefault="00162224" w:rsidP="00A721D6">
      <w:pPr>
        <w:ind w:left="1361" w:hanging="720"/>
        <w:rPr>
          <w:rFonts w:ascii="Garamond" w:hAnsi="Garamond"/>
        </w:rPr>
      </w:pPr>
      <w:proofErr w:type="spellStart"/>
      <w:r w:rsidRPr="003037D2">
        <w:rPr>
          <w:rFonts w:ascii="Garamond" w:hAnsi="Garamond"/>
        </w:rPr>
        <w:t>Targoff</w:t>
      </w:r>
      <w:proofErr w:type="spellEnd"/>
      <w:r w:rsidRPr="003037D2">
        <w:rPr>
          <w:rFonts w:ascii="Garamond" w:hAnsi="Garamond"/>
        </w:rPr>
        <w:t xml:space="preserve">, Ramie, ‘The Poetics of Common Prayer: George Herbert and the Seventeenth–Century Devotional Lyric’ in </w:t>
      </w:r>
      <w:r w:rsidRPr="003037D2">
        <w:rPr>
          <w:rFonts w:ascii="Garamond" w:hAnsi="Garamond"/>
          <w:i/>
          <w:iCs/>
        </w:rPr>
        <w:t>English Literary Renaissance</w:t>
      </w:r>
      <w:r w:rsidRPr="003037D2">
        <w:rPr>
          <w:rFonts w:ascii="Garamond" w:hAnsi="Garamond"/>
        </w:rPr>
        <w:t>, 29.3 (1999), pp. 468-490</w:t>
      </w:r>
    </w:p>
    <w:p w14:paraId="3F5F6EDD" w14:textId="77777777" w:rsidR="00162224" w:rsidRPr="003037D2" w:rsidRDefault="00162224" w:rsidP="00A721D6">
      <w:pPr>
        <w:ind w:left="1361" w:hanging="720"/>
        <w:rPr>
          <w:rFonts w:ascii="Garamond" w:hAnsi="Garamond"/>
        </w:rPr>
      </w:pPr>
      <w:r w:rsidRPr="003037D2">
        <w:rPr>
          <w:rFonts w:ascii="Garamond" w:hAnsi="Garamond"/>
        </w:rPr>
        <w:t>___</w:t>
      </w:r>
      <w:proofErr w:type="gramStart"/>
      <w:r w:rsidRPr="003037D2">
        <w:rPr>
          <w:rFonts w:ascii="Garamond" w:hAnsi="Garamond"/>
        </w:rPr>
        <w:t>_  ,</w:t>
      </w:r>
      <w:proofErr w:type="gramEnd"/>
      <w:r w:rsidRPr="003037D2">
        <w:rPr>
          <w:rFonts w:ascii="Garamond" w:hAnsi="Garamond"/>
        </w:rPr>
        <w:t xml:space="preserve"> ‘Poets in Print: The Case of Herbert's </w:t>
      </w:r>
      <w:r w:rsidRPr="003037D2">
        <w:rPr>
          <w:rFonts w:ascii="Garamond" w:hAnsi="Garamond"/>
          <w:i/>
        </w:rPr>
        <w:t xml:space="preserve">The Temple’ </w:t>
      </w:r>
      <w:bookmarkStart w:id="272" w:name="_Hlk508093315"/>
      <w:r w:rsidRPr="003037D2">
        <w:rPr>
          <w:rFonts w:ascii="Garamond" w:hAnsi="Garamond"/>
        </w:rPr>
        <w:t xml:space="preserve">in </w:t>
      </w:r>
      <w:r w:rsidRPr="003037D2">
        <w:rPr>
          <w:rFonts w:ascii="Garamond" w:hAnsi="Garamond"/>
          <w:i/>
        </w:rPr>
        <w:t>Word &amp; Image: A Journal of Verbal/Visual Enquiry</w:t>
      </w:r>
      <w:r w:rsidRPr="003037D2">
        <w:rPr>
          <w:rFonts w:ascii="Garamond" w:hAnsi="Garamond"/>
        </w:rPr>
        <w:t>, 17 (2001), pp. 140-52</w:t>
      </w:r>
    </w:p>
    <w:p w14:paraId="4B2CDEC3" w14:textId="0D850D90" w:rsidR="00162224" w:rsidRPr="003037D2" w:rsidRDefault="00162224" w:rsidP="00A721D6">
      <w:pPr>
        <w:ind w:left="1361" w:hanging="720"/>
        <w:rPr>
          <w:rFonts w:ascii="Garamond" w:hAnsi="Garamond"/>
        </w:rPr>
      </w:pPr>
      <w:proofErr w:type="spellStart"/>
      <w:r w:rsidRPr="003037D2">
        <w:rPr>
          <w:rFonts w:ascii="Garamond" w:hAnsi="Garamond"/>
        </w:rPr>
        <w:t>Teramura</w:t>
      </w:r>
      <w:proofErr w:type="spellEnd"/>
      <w:r w:rsidRPr="003037D2">
        <w:rPr>
          <w:rFonts w:ascii="Garamond" w:hAnsi="Garamond"/>
        </w:rPr>
        <w:t xml:space="preserve">, Misha, ‘The Harefield Entertainment’ in </w:t>
      </w:r>
      <w:r w:rsidRPr="003037D2">
        <w:rPr>
          <w:rFonts w:ascii="Garamond" w:hAnsi="Garamond"/>
          <w:i/>
        </w:rPr>
        <w:t>The Lost Plays Database</w:t>
      </w:r>
      <w:r w:rsidRPr="003037D2">
        <w:rPr>
          <w:rFonts w:ascii="Garamond" w:hAnsi="Garamond"/>
        </w:rPr>
        <w:t xml:space="preserve"> &lt;</w:t>
      </w:r>
      <w:hyperlink r:id="rId82" w:anchor="For_What_It.27s_Worth" w:history="1">
        <w:r w:rsidRPr="003037D2">
          <w:rPr>
            <w:rStyle w:val="Hyperlink"/>
            <w:rFonts w:ascii="Garamond" w:hAnsi="Garamond"/>
          </w:rPr>
          <w:t>https://www.lostplays.org/lpd/Harefield_Entertainment#For_What_It.27s_Worth</w:t>
        </w:r>
      </w:hyperlink>
      <w:r w:rsidRPr="003037D2">
        <w:rPr>
          <w:rFonts w:ascii="Garamond" w:hAnsi="Garamond"/>
          <w:u w:val="single"/>
        </w:rPr>
        <w:t>&gt;</w:t>
      </w:r>
      <w:r w:rsidRPr="003037D2">
        <w:rPr>
          <w:rFonts w:ascii="Garamond" w:hAnsi="Garamond"/>
        </w:rPr>
        <w:t xml:space="preserve"> [accessed 15 September 2016]</w:t>
      </w:r>
    </w:p>
    <w:p w14:paraId="136ACDD0" w14:textId="77777777" w:rsidR="00162224" w:rsidRPr="003037D2" w:rsidRDefault="00162224" w:rsidP="00A721D6">
      <w:pPr>
        <w:ind w:left="1361" w:hanging="720"/>
        <w:rPr>
          <w:rFonts w:ascii="Garamond" w:hAnsi="Garamond"/>
        </w:rPr>
      </w:pPr>
      <w:r w:rsidRPr="003037D2">
        <w:rPr>
          <w:rFonts w:ascii="Garamond" w:hAnsi="Garamond"/>
        </w:rPr>
        <w:t xml:space="preserve">Thapar, </w:t>
      </w:r>
      <w:proofErr w:type="spellStart"/>
      <w:r w:rsidRPr="003037D2">
        <w:rPr>
          <w:rFonts w:ascii="Garamond" w:hAnsi="Garamond"/>
        </w:rPr>
        <w:t>Romila</w:t>
      </w:r>
      <w:proofErr w:type="spellEnd"/>
      <w:r w:rsidRPr="003037D2">
        <w:rPr>
          <w:rFonts w:ascii="Garamond" w:hAnsi="Garamond"/>
        </w:rPr>
        <w:t xml:space="preserve">, ‘Cyclical and Linear Time in Early India’, </w:t>
      </w:r>
      <w:r w:rsidRPr="003037D2">
        <w:rPr>
          <w:rFonts w:ascii="Garamond" w:hAnsi="Garamond"/>
          <w:i/>
        </w:rPr>
        <w:t xml:space="preserve">Museum International, </w:t>
      </w:r>
      <w:r w:rsidRPr="003037D2">
        <w:rPr>
          <w:rFonts w:ascii="Garamond" w:hAnsi="Garamond"/>
        </w:rPr>
        <w:t>57.3 (September 2005), pp. 19-31</w:t>
      </w:r>
    </w:p>
    <w:p w14:paraId="0366586B" w14:textId="77777777" w:rsidR="00162224" w:rsidRPr="003037D2" w:rsidRDefault="00162224" w:rsidP="00A721D6">
      <w:pPr>
        <w:ind w:left="1361" w:hanging="720"/>
        <w:rPr>
          <w:rFonts w:ascii="Garamond" w:hAnsi="Garamond"/>
        </w:rPr>
      </w:pPr>
      <w:r w:rsidRPr="003037D2">
        <w:rPr>
          <w:rFonts w:ascii="Garamond" w:hAnsi="Garamond"/>
        </w:rPr>
        <w:t xml:space="preserve">Thomas, Keith, </w:t>
      </w:r>
      <w:r w:rsidRPr="003037D2">
        <w:rPr>
          <w:rFonts w:ascii="Garamond" w:hAnsi="Garamond"/>
          <w:i/>
          <w:iCs/>
        </w:rPr>
        <w:t xml:space="preserve">Religion and the decline of Magic: Studies in Popular Beliefs in Sixteenth and Seventeenth Century England </w:t>
      </w:r>
      <w:r w:rsidRPr="003037D2">
        <w:rPr>
          <w:rFonts w:ascii="Garamond" w:hAnsi="Garamond"/>
        </w:rPr>
        <w:t>(London: Penguin Books, 1991)</w:t>
      </w:r>
    </w:p>
    <w:p w14:paraId="085AA8A9" w14:textId="63702558" w:rsidR="00162224" w:rsidRPr="003037D2" w:rsidRDefault="00162224" w:rsidP="00A721D6">
      <w:pPr>
        <w:ind w:left="1361" w:hanging="720"/>
        <w:rPr>
          <w:rFonts w:ascii="Garamond" w:hAnsi="Garamond"/>
        </w:rPr>
      </w:pPr>
      <w:r w:rsidRPr="003037D2">
        <w:rPr>
          <w:rFonts w:ascii="Garamond" w:hAnsi="Garamond"/>
        </w:rPr>
        <w:t xml:space="preserve">Thomas Crane, Mary, </w:t>
      </w:r>
      <w:r w:rsidRPr="003037D2">
        <w:rPr>
          <w:rFonts w:ascii="Garamond" w:hAnsi="Garamond"/>
          <w:i/>
        </w:rPr>
        <w:t>Framing Authority: Sayings, self, and society in Sixteenth-Century England</w:t>
      </w:r>
      <w:r w:rsidRPr="003037D2">
        <w:rPr>
          <w:rFonts w:ascii="Garamond" w:hAnsi="Garamond"/>
        </w:rPr>
        <w:t xml:space="preserve"> (Princeton, NJ: Princeton University Press: 1993)</w:t>
      </w:r>
    </w:p>
    <w:p w14:paraId="1905202E" w14:textId="77777777" w:rsidR="00162224" w:rsidRPr="003037D2" w:rsidRDefault="00162224" w:rsidP="00A721D6">
      <w:pPr>
        <w:ind w:left="1361" w:hanging="720"/>
        <w:rPr>
          <w:rFonts w:ascii="Garamond" w:hAnsi="Garamond"/>
        </w:rPr>
      </w:pPr>
      <w:r w:rsidRPr="003037D2">
        <w:rPr>
          <w:rFonts w:ascii="Garamond" w:hAnsi="Garamond"/>
        </w:rPr>
        <w:t xml:space="preserve">Thompson, E.P., ‘Time, work-discipline, and industrial capitalism’ in </w:t>
      </w:r>
      <w:r w:rsidRPr="003037D2">
        <w:rPr>
          <w:rFonts w:ascii="Garamond" w:hAnsi="Garamond"/>
          <w:i/>
        </w:rPr>
        <w:t xml:space="preserve">Past and Present, </w:t>
      </w:r>
      <w:r w:rsidRPr="003037D2">
        <w:rPr>
          <w:rFonts w:ascii="Garamond" w:hAnsi="Garamond"/>
        </w:rPr>
        <w:t xml:space="preserve">38.1 (December 1967) pp. 56-97 </w:t>
      </w:r>
    </w:p>
    <w:p w14:paraId="74B054CE" w14:textId="77777777" w:rsidR="00162224" w:rsidRPr="003037D2" w:rsidRDefault="00162224" w:rsidP="00A721D6">
      <w:pPr>
        <w:ind w:left="1361" w:hanging="720"/>
        <w:rPr>
          <w:rFonts w:ascii="Garamond" w:hAnsi="Garamond"/>
        </w:rPr>
      </w:pPr>
      <w:r w:rsidRPr="003037D2">
        <w:rPr>
          <w:rFonts w:ascii="Garamond" w:hAnsi="Garamond"/>
        </w:rPr>
        <w:t xml:space="preserve">Thorley, David, ‘Didacticism and Edification: Herbert’s Poems in </w:t>
      </w:r>
      <w:proofErr w:type="gramStart"/>
      <w:r w:rsidRPr="003037D2">
        <w:rPr>
          <w:rFonts w:ascii="Garamond" w:hAnsi="Garamond"/>
        </w:rPr>
        <w:t>Three  Restoration</w:t>
      </w:r>
      <w:proofErr w:type="gramEnd"/>
      <w:r w:rsidRPr="003037D2">
        <w:rPr>
          <w:rFonts w:ascii="Garamond" w:hAnsi="Garamond"/>
        </w:rPr>
        <w:t xml:space="preserve"> Manuscripts’ in </w:t>
      </w:r>
      <w:r w:rsidRPr="003037D2">
        <w:rPr>
          <w:rFonts w:ascii="Garamond" w:hAnsi="Garamond"/>
          <w:i/>
        </w:rPr>
        <w:t xml:space="preserve">Christianity and Literature, </w:t>
      </w:r>
      <w:r w:rsidRPr="003037D2">
        <w:rPr>
          <w:rFonts w:ascii="Garamond" w:hAnsi="Garamond"/>
        </w:rPr>
        <w:t xml:space="preserve">66 (2016) pp. 90-108 </w:t>
      </w:r>
    </w:p>
    <w:bookmarkEnd w:id="272"/>
    <w:p w14:paraId="2BB269B5" w14:textId="77777777" w:rsidR="00162224" w:rsidRPr="003037D2" w:rsidRDefault="00162224" w:rsidP="00A721D6">
      <w:pPr>
        <w:ind w:left="1361" w:hanging="720"/>
        <w:rPr>
          <w:rFonts w:ascii="Garamond" w:hAnsi="Garamond"/>
        </w:rPr>
      </w:pPr>
      <w:r w:rsidRPr="003037D2">
        <w:rPr>
          <w:rFonts w:ascii="Garamond" w:hAnsi="Garamond"/>
        </w:rPr>
        <w:t xml:space="preserve">Tomlin, T.J., </w:t>
      </w:r>
      <w:r w:rsidRPr="003037D2">
        <w:rPr>
          <w:rFonts w:ascii="Garamond" w:hAnsi="Garamond"/>
          <w:i/>
        </w:rPr>
        <w:t xml:space="preserve">A Divinity for all persuasions: Almanacs and Early American Religious Life </w:t>
      </w:r>
      <w:r w:rsidRPr="003037D2">
        <w:rPr>
          <w:rFonts w:ascii="Garamond" w:hAnsi="Garamond"/>
        </w:rPr>
        <w:t>(Oxford: Oxford University Press, 2014)</w:t>
      </w:r>
    </w:p>
    <w:p w14:paraId="768E1CCB" w14:textId="77777777" w:rsidR="00162224" w:rsidRPr="003037D2" w:rsidRDefault="00162224" w:rsidP="00A721D6">
      <w:pPr>
        <w:ind w:left="1361" w:hanging="720"/>
        <w:rPr>
          <w:rFonts w:ascii="Garamond" w:hAnsi="Garamond"/>
        </w:rPr>
      </w:pPr>
      <w:r w:rsidRPr="003037D2">
        <w:rPr>
          <w:rFonts w:ascii="Garamond" w:hAnsi="Garamond"/>
        </w:rPr>
        <w:t xml:space="preserve">Traub, Valeria, </w:t>
      </w:r>
      <w:r w:rsidRPr="003037D2">
        <w:rPr>
          <w:rFonts w:ascii="Garamond" w:hAnsi="Garamond"/>
          <w:i/>
        </w:rPr>
        <w:t>Thinking Sex with the Early Moderns</w:t>
      </w:r>
      <w:r w:rsidRPr="003037D2">
        <w:rPr>
          <w:rFonts w:ascii="Garamond" w:hAnsi="Garamond"/>
        </w:rPr>
        <w:t xml:space="preserve"> (Philadelphia: University of Pennsylvania Press, 2016) </w:t>
      </w:r>
    </w:p>
    <w:p w14:paraId="44F381FF" w14:textId="77777777" w:rsidR="00162224" w:rsidRPr="003037D2" w:rsidRDefault="00162224" w:rsidP="00A721D6">
      <w:pPr>
        <w:ind w:left="1361" w:hanging="720"/>
        <w:rPr>
          <w:rFonts w:ascii="Garamond" w:hAnsi="Garamond"/>
        </w:rPr>
      </w:pPr>
      <w:r w:rsidRPr="003037D2">
        <w:rPr>
          <w:rFonts w:ascii="Garamond" w:hAnsi="Garamond"/>
        </w:rPr>
        <w:lastRenderedPageBreak/>
        <w:t xml:space="preserve">Trevor-Roper, H.R. ‘The Fast Sermons of the Long Parliament’ in </w:t>
      </w:r>
      <w:r w:rsidRPr="003037D2">
        <w:rPr>
          <w:rFonts w:ascii="Garamond" w:hAnsi="Garamond"/>
          <w:i/>
          <w:iCs/>
        </w:rPr>
        <w:t xml:space="preserve">Essays in British History: Presented to Sir Keith </w:t>
      </w:r>
      <w:proofErr w:type="spellStart"/>
      <w:r w:rsidRPr="003037D2">
        <w:rPr>
          <w:rFonts w:ascii="Garamond" w:hAnsi="Garamond"/>
          <w:i/>
          <w:iCs/>
        </w:rPr>
        <w:t>Feiling</w:t>
      </w:r>
      <w:proofErr w:type="spellEnd"/>
      <w:r w:rsidRPr="003037D2">
        <w:rPr>
          <w:rFonts w:ascii="Garamond" w:hAnsi="Garamond"/>
          <w:i/>
          <w:iCs/>
        </w:rPr>
        <w:t xml:space="preserve">, </w:t>
      </w:r>
      <w:r w:rsidRPr="003037D2">
        <w:rPr>
          <w:rFonts w:ascii="Garamond" w:hAnsi="Garamond"/>
        </w:rPr>
        <w:t xml:space="preserve">ed. by H.R. Trevor-Roper (London: Macmillan, 1964) pp. 85-138 </w:t>
      </w:r>
    </w:p>
    <w:p w14:paraId="4CCEDCFE" w14:textId="4DA3ACE8" w:rsidR="00162224" w:rsidRPr="003037D2" w:rsidRDefault="00162224" w:rsidP="00A721D6">
      <w:pPr>
        <w:ind w:left="1361" w:hanging="720"/>
        <w:rPr>
          <w:rFonts w:ascii="Garamond" w:hAnsi="Garamond"/>
        </w:rPr>
      </w:pPr>
      <w:proofErr w:type="spellStart"/>
      <w:r w:rsidRPr="003037D2">
        <w:rPr>
          <w:rFonts w:ascii="Garamond" w:hAnsi="Garamond"/>
        </w:rPr>
        <w:t>Trundell</w:t>
      </w:r>
      <w:proofErr w:type="spellEnd"/>
      <w:r w:rsidRPr="003037D2">
        <w:rPr>
          <w:rFonts w:ascii="Garamond" w:hAnsi="Garamond"/>
        </w:rPr>
        <w:t>, Scott A., ‘</w:t>
      </w:r>
      <w:r w:rsidR="00161762">
        <w:rPr>
          <w:rFonts w:ascii="Garamond" w:hAnsi="Garamond"/>
        </w:rPr>
        <w:t>“</w:t>
      </w:r>
      <w:r w:rsidRPr="003037D2">
        <w:rPr>
          <w:rFonts w:ascii="Garamond" w:hAnsi="Garamond"/>
        </w:rPr>
        <w:t>Unto the world's ear</w:t>
      </w:r>
      <w:r w:rsidR="00161762">
        <w:rPr>
          <w:rFonts w:ascii="Garamond" w:hAnsi="Garamond"/>
        </w:rPr>
        <w:t>”</w:t>
      </w:r>
      <w:r w:rsidRPr="003037D2">
        <w:rPr>
          <w:rFonts w:ascii="Garamond" w:hAnsi="Garamond"/>
        </w:rPr>
        <w:t xml:space="preserve">: Wyatt's ‘Psalms’ Beyond the Court’ in </w:t>
      </w:r>
      <w:r w:rsidRPr="003037D2">
        <w:rPr>
          <w:rFonts w:ascii="Garamond" w:hAnsi="Garamond"/>
          <w:i/>
        </w:rPr>
        <w:t>Studies in Philology</w:t>
      </w:r>
      <w:r w:rsidRPr="003037D2">
        <w:rPr>
          <w:rFonts w:ascii="Garamond" w:hAnsi="Garamond"/>
        </w:rPr>
        <w:t xml:space="preserve">, 110.2 (Spring, 2013) pp. 266-290 </w:t>
      </w:r>
    </w:p>
    <w:p w14:paraId="3700CF72" w14:textId="77777777" w:rsidR="00162224" w:rsidRPr="003037D2" w:rsidRDefault="00162224" w:rsidP="00A721D6">
      <w:pPr>
        <w:ind w:left="1361" w:hanging="720"/>
        <w:rPr>
          <w:rFonts w:ascii="Garamond" w:hAnsi="Garamond"/>
        </w:rPr>
      </w:pPr>
      <w:r w:rsidRPr="003037D2">
        <w:rPr>
          <w:rFonts w:ascii="Garamond" w:hAnsi="Garamond"/>
        </w:rPr>
        <w:t xml:space="preserve">Turner, Henry S. ed., </w:t>
      </w:r>
      <w:r w:rsidRPr="003037D2">
        <w:rPr>
          <w:rFonts w:ascii="Garamond" w:hAnsi="Garamond"/>
          <w:i/>
        </w:rPr>
        <w:t>Early Modern Theatricality</w:t>
      </w:r>
      <w:r w:rsidRPr="003037D2">
        <w:rPr>
          <w:rFonts w:ascii="Garamond" w:hAnsi="Garamond"/>
        </w:rPr>
        <w:t xml:space="preserve"> (Oxford: Oxford University Press, 2013) </w:t>
      </w:r>
    </w:p>
    <w:p w14:paraId="352313B8" w14:textId="35C9EB24" w:rsidR="00162224" w:rsidRPr="003037D2" w:rsidRDefault="00162224" w:rsidP="00A721D6">
      <w:pPr>
        <w:ind w:left="1361" w:hanging="720"/>
        <w:rPr>
          <w:rFonts w:ascii="Garamond" w:hAnsi="Garamond"/>
        </w:rPr>
      </w:pPr>
      <w:bookmarkStart w:id="273" w:name="_Hlk532634580"/>
      <w:r w:rsidRPr="003037D2">
        <w:rPr>
          <w:rFonts w:ascii="Garamond" w:hAnsi="Garamond"/>
        </w:rPr>
        <w:t xml:space="preserve">Van der </w:t>
      </w:r>
      <w:proofErr w:type="spellStart"/>
      <w:r w:rsidRPr="003037D2">
        <w:rPr>
          <w:rFonts w:ascii="Garamond" w:hAnsi="Garamond"/>
        </w:rPr>
        <w:t>Woude</w:t>
      </w:r>
      <w:proofErr w:type="spellEnd"/>
      <w:r w:rsidRPr="003037D2">
        <w:rPr>
          <w:rFonts w:ascii="Garamond" w:hAnsi="Garamond"/>
        </w:rPr>
        <w:t>, Joanne, ‘</w:t>
      </w:r>
      <w:r w:rsidR="00161762">
        <w:rPr>
          <w:rFonts w:ascii="Garamond" w:hAnsi="Garamond"/>
        </w:rPr>
        <w:t>“</w:t>
      </w:r>
      <w:r w:rsidRPr="003037D2">
        <w:rPr>
          <w:rFonts w:ascii="Garamond" w:hAnsi="Garamond"/>
        </w:rPr>
        <w:t>How shall we sing the Lord’s word in a strange land?</w:t>
      </w:r>
      <w:r w:rsidR="00161762">
        <w:rPr>
          <w:rFonts w:ascii="Garamond" w:hAnsi="Garamond"/>
        </w:rPr>
        <w:t>”</w:t>
      </w:r>
      <w:r w:rsidRPr="003037D2">
        <w:rPr>
          <w:rFonts w:ascii="Garamond" w:hAnsi="Garamond"/>
        </w:rPr>
        <w:t xml:space="preserve"> A transatlantic study of </w:t>
      </w:r>
      <w:r w:rsidRPr="003037D2">
        <w:rPr>
          <w:rFonts w:ascii="Garamond" w:hAnsi="Garamond"/>
          <w:i/>
        </w:rPr>
        <w:t>the Bay Psalm Book</w:t>
      </w:r>
      <w:r w:rsidRPr="003037D2">
        <w:rPr>
          <w:rFonts w:ascii="Garamond" w:hAnsi="Garamond"/>
        </w:rPr>
        <w:t xml:space="preserve">’ in </w:t>
      </w:r>
      <w:r w:rsidRPr="003037D2">
        <w:rPr>
          <w:rFonts w:ascii="Garamond" w:hAnsi="Garamond"/>
          <w:i/>
          <w:iCs/>
        </w:rPr>
        <w:t>Psalms in the Early Modern World,</w:t>
      </w:r>
      <w:r w:rsidRPr="003037D2">
        <w:rPr>
          <w:rFonts w:ascii="Garamond" w:hAnsi="Garamond"/>
        </w:rPr>
        <w:t xml:space="preserve"> ed. by Linda </w:t>
      </w:r>
      <w:proofErr w:type="spellStart"/>
      <w:r w:rsidRPr="003037D2">
        <w:rPr>
          <w:rFonts w:ascii="Garamond" w:hAnsi="Garamond"/>
        </w:rPr>
        <w:t>Austern</w:t>
      </w:r>
      <w:proofErr w:type="spellEnd"/>
      <w:r w:rsidRPr="003037D2">
        <w:rPr>
          <w:rFonts w:ascii="Garamond" w:hAnsi="Garamond"/>
        </w:rPr>
        <w:t>, Kari Boyd McBride, and David L. Orvis (</w:t>
      </w:r>
      <w:proofErr w:type="spellStart"/>
      <w:r w:rsidRPr="003037D2">
        <w:rPr>
          <w:rFonts w:ascii="Garamond" w:hAnsi="Garamond"/>
        </w:rPr>
        <w:t>Farnham</w:t>
      </w:r>
      <w:proofErr w:type="spellEnd"/>
      <w:r w:rsidRPr="003037D2">
        <w:rPr>
          <w:rFonts w:ascii="Garamond" w:hAnsi="Garamond"/>
        </w:rPr>
        <w:t>: Ashgate, 2011), pp. 115-134</w:t>
      </w:r>
    </w:p>
    <w:bookmarkEnd w:id="273"/>
    <w:p w14:paraId="1DB84260" w14:textId="77777777" w:rsidR="00162224" w:rsidRPr="003037D2" w:rsidRDefault="00162224" w:rsidP="00A721D6">
      <w:pPr>
        <w:ind w:left="1361" w:hanging="720"/>
        <w:rPr>
          <w:rStyle w:val="exlresultdetails"/>
          <w:rFonts w:ascii="Garamond" w:hAnsi="Garamond"/>
        </w:rPr>
      </w:pPr>
      <w:r w:rsidRPr="003037D2">
        <w:rPr>
          <w:rFonts w:ascii="Garamond" w:hAnsi="Garamond"/>
        </w:rPr>
        <w:t xml:space="preserve">Van </w:t>
      </w:r>
      <w:proofErr w:type="spellStart"/>
      <w:r w:rsidRPr="003037D2">
        <w:rPr>
          <w:rFonts w:ascii="Garamond" w:hAnsi="Garamond"/>
        </w:rPr>
        <w:t>Wengen</w:t>
      </w:r>
      <w:proofErr w:type="spellEnd"/>
      <w:r w:rsidRPr="003037D2">
        <w:rPr>
          <w:rFonts w:ascii="Garamond" w:hAnsi="Garamond"/>
        </w:rPr>
        <w:t xml:space="preserve">-Shute, Rosemary, ‘Time and Liturgy in George Herbert’s </w:t>
      </w:r>
      <w:r w:rsidRPr="003037D2">
        <w:rPr>
          <w:rFonts w:ascii="Garamond" w:hAnsi="Garamond"/>
          <w:i/>
          <w:iCs/>
        </w:rPr>
        <w:t>The Temple</w:t>
      </w:r>
      <w:r w:rsidRPr="003037D2">
        <w:rPr>
          <w:rFonts w:ascii="Garamond" w:hAnsi="Garamond"/>
        </w:rPr>
        <w:t xml:space="preserve">’ in </w:t>
      </w:r>
      <w:r w:rsidRPr="003037D2">
        <w:rPr>
          <w:rFonts w:ascii="Garamond" w:hAnsi="Garamond"/>
          <w:i/>
          <w:iCs/>
        </w:rPr>
        <w:t>Theology</w:t>
      </w:r>
      <w:r w:rsidRPr="003037D2">
        <w:rPr>
          <w:rStyle w:val="exlresultdetails"/>
          <w:rFonts w:ascii="Garamond" w:hAnsi="Garamond"/>
        </w:rPr>
        <w:t xml:space="preserve">, 106 (March 2003), pp. 98-107 </w:t>
      </w:r>
    </w:p>
    <w:p w14:paraId="40D7301F" w14:textId="77777777" w:rsidR="00162224" w:rsidRPr="003037D2" w:rsidRDefault="00162224" w:rsidP="00A721D6">
      <w:pPr>
        <w:ind w:left="1361" w:hanging="720"/>
        <w:rPr>
          <w:rFonts w:ascii="Garamond" w:hAnsi="Garamond"/>
        </w:rPr>
      </w:pPr>
      <w:proofErr w:type="spellStart"/>
      <w:r w:rsidRPr="003037D2">
        <w:rPr>
          <w:rFonts w:ascii="Garamond" w:hAnsi="Garamond"/>
        </w:rPr>
        <w:t>Vendler</w:t>
      </w:r>
      <w:proofErr w:type="spellEnd"/>
      <w:r w:rsidRPr="003037D2">
        <w:rPr>
          <w:rFonts w:ascii="Garamond" w:hAnsi="Garamond"/>
        </w:rPr>
        <w:t xml:space="preserve">, Helen, </w:t>
      </w:r>
      <w:r w:rsidRPr="003037D2">
        <w:rPr>
          <w:rFonts w:ascii="Garamond" w:hAnsi="Garamond"/>
          <w:i/>
        </w:rPr>
        <w:t xml:space="preserve">Invisible Listeners: Lyric Intimacy in Herbert, Whitman, and </w:t>
      </w:r>
      <w:proofErr w:type="spellStart"/>
      <w:r w:rsidRPr="003037D2">
        <w:rPr>
          <w:rFonts w:ascii="Garamond" w:hAnsi="Garamond"/>
          <w:i/>
        </w:rPr>
        <w:t>Ashbery</w:t>
      </w:r>
      <w:proofErr w:type="spellEnd"/>
      <w:r w:rsidRPr="003037D2">
        <w:rPr>
          <w:rFonts w:ascii="Garamond" w:hAnsi="Garamond"/>
          <w:i/>
        </w:rPr>
        <w:t xml:space="preserve"> </w:t>
      </w:r>
      <w:r w:rsidRPr="003037D2">
        <w:rPr>
          <w:rFonts w:ascii="Garamond" w:hAnsi="Garamond"/>
        </w:rPr>
        <w:t xml:space="preserve">(Princeton, NJ: Princeton University Press, 2005) </w:t>
      </w:r>
    </w:p>
    <w:p w14:paraId="1A5DE789" w14:textId="77777777" w:rsidR="00162224" w:rsidRPr="003037D2" w:rsidRDefault="00162224" w:rsidP="00A721D6">
      <w:pPr>
        <w:ind w:left="1361" w:hanging="720"/>
        <w:rPr>
          <w:rFonts w:ascii="Garamond" w:hAnsi="Garamond"/>
        </w:rPr>
      </w:pPr>
      <w:r w:rsidRPr="003037D2">
        <w:rPr>
          <w:rFonts w:ascii="Garamond" w:hAnsi="Garamond"/>
        </w:rPr>
        <w:t>___</w:t>
      </w:r>
      <w:proofErr w:type="gramStart"/>
      <w:r w:rsidRPr="003037D2">
        <w:rPr>
          <w:rFonts w:ascii="Garamond" w:hAnsi="Garamond"/>
        </w:rPr>
        <w:t>_ ,</w:t>
      </w:r>
      <w:proofErr w:type="gramEnd"/>
      <w:r w:rsidRPr="003037D2">
        <w:rPr>
          <w:rFonts w:ascii="Garamond" w:hAnsi="Garamond"/>
        </w:rPr>
        <w:t xml:space="preserve"> </w:t>
      </w:r>
      <w:r w:rsidRPr="003037D2">
        <w:rPr>
          <w:rFonts w:ascii="Garamond" w:hAnsi="Garamond"/>
          <w:i/>
        </w:rPr>
        <w:t xml:space="preserve">The Poetry of George Herbert </w:t>
      </w:r>
      <w:r w:rsidRPr="003037D2">
        <w:rPr>
          <w:rFonts w:ascii="Garamond" w:hAnsi="Garamond"/>
        </w:rPr>
        <w:t xml:space="preserve">(Cambridge, MA: Harvard University Press, 1975) </w:t>
      </w:r>
    </w:p>
    <w:p w14:paraId="1F88372E" w14:textId="77777777" w:rsidR="00162224" w:rsidRPr="003037D2" w:rsidRDefault="00162224" w:rsidP="00A721D6">
      <w:pPr>
        <w:ind w:left="1361" w:hanging="720"/>
        <w:rPr>
          <w:rFonts w:ascii="Garamond" w:hAnsi="Garamond"/>
        </w:rPr>
      </w:pPr>
      <w:r w:rsidRPr="003037D2">
        <w:rPr>
          <w:rFonts w:ascii="Garamond" w:hAnsi="Garamond"/>
        </w:rPr>
        <w:t xml:space="preserve">Verweij, </w:t>
      </w:r>
      <w:proofErr w:type="spellStart"/>
      <w:r w:rsidRPr="003037D2">
        <w:rPr>
          <w:rFonts w:ascii="Garamond" w:hAnsi="Garamond"/>
        </w:rPr>
        <w:t>Sebastiaan</w:t>
      </w:r>
      <w:proofErr w:type="spellEnd"/>
      <w:r w:rsidRPr="003037D2">
        <w:rPr>
          <w:rFonts w:ascii="Garamond" w:hAnsi="Garamond"/>
        </w:rPr>
        <w:t xml:space="preserve">, ‘Sermon Notes from John Donne in the Manuscripts of Francis Russell, Fourth Earl of Bedford’ in </w:t>
      </w:r>
      <w:r w:rsidRPr="003037D2">
        <w:rPr>
          <w:rFonts w:ascii="Garamond" w:hAnsi="Garamond"/>
          <w:i/>
        </w:rPr>
        <w:t>English Literary Renaissance</w:t>
      </w:r>
      <w:r w:rsidRPr="003037D2">
        <w:rPr>
          <w:rFonts w:ascii="Garamond" w:hAnsi="Garamond"/>
        </w:rPr>
        <w:t xml:space="preserve">, 46 (2016), pp. 278–313 </w:t>
      </w:r>
    </w:p>
    <w:p w14:paraId="47B9B355" w14:textId="77777777" w:rsidR="00162224" w:rsidRPr="003037D2" w:rsidRDefault="00162224" w:rsidP="00A721D6">
      <w:pPr>
        <w:ind w:left="1361" w:hanging="720"/>
        <w:rPr>
          <w:rFonts w:ascii="Garamond" w:hAnsi="Garamond"/>
        </w:rPr>
      </w:pPr>
      <w:r w:rsidRPr="003037D2">
        <w:rPr>
          <w:rFonts w:ascii="Garamond" w:hAnsi="Garamond"/>
        </w:rPr>
        <w:t xml:space="preserve">Vice, Sue, </w:t>
      </w:r>
      <w:r w:rsidRPr="003037D2">
        <w:rPr>
          <w:rFonts w:ascii="Garamond" w:hAnsi="Garamond"/>
          <w:i/>
        </w:rPr>
        <w:t xml:space="preserve">Introducing Bakhtin </w:t>
      </w:r>
      <w:r w:rsidRPr="003037D2">
        <w:rPr>
          <w:rFonts w:ascii="Garamond" w:hAnsi="Garamond"/>
        </w:rPr>
        <w:t xml:space="preserve">(Manchester: Manchester University Press, 1997) </w:t>
      </w:r>
    </w:p>
    <w:p w14:paraId="3A2192A1" w14:textId="77777777" w:rsidR="00162224" w:rsidRPr="003037D2" w:rsidRDefault="00162224" w:rsidP="00A721D6">
      <w:pPr>
        <w:ind w:left="1361" w:hanging="720"/>
        <w:rPr>
          <w:rFonts w:ascii="Garamond" w:hAnsi="Garamond"/>
          <w:bCs/>
        </w:rPr>
      </w:pPr>
      <w:r w:rsidRPr="003037D2">
        <w:rPr>
          <w:rFonts w:ascii="Garamond" w:hAnsi="Garamond"/>
          <w:bCs/>
        </w:rPr>
        <w:t xml:space="preserve">Voss, Paul J., ‘Books for Sale: Advertising and Patronage in Late Elizabethan England’ in </w:t>
      </w:r>
      <w:r w:rsidRPr="003037D2">
        <w:rPr>
          <w:rFonts w:ascii="Garamond" w:hAnsi="Garamond"/>
          <w:bCs/>
          <w:i/>
          <w:iCs/>
        </w:rPr>
        <w:t>The Sixteenth Century Journal</w:t>
      </w:r>
      <w:r w:rsidRPr="003037D2">
        <w:rPr>
          <w:rFonts w:ascii="Garamond" w:hAnsi="Garamond"/>
          <w:bCs/>
        </w:rPr>
        <w:t>, 29.3 (Autumn, 1998), pp. 733-756</w:t>
      </w:r>
    </w:p>
    <w:p w14:paraId="350300A8" w14:textId="77777777" w:rsidR="00162224" w:rsidRPr="003037D2" w:rsidRDefault="00162224" w:rsidP="00A721D6">
      <w:pPr>
        <w:ind w:left="1361" w:hanging="720"/>
        <w:rPr>
          <w:rFonts w:ascii="Garamond" w:hAnsi="Garamond"/>
          <w:bCs/>
        </w:rPr>
      </w:pPr>
      <w:r w:rsidRPr="003037D2">
        <w:rPr>
          <w:rFonts w:ascii="Garamond" w:hAnsi="Garamond"/>
          <w:bCs/>
        </w:rPr>
        <w:t xml:space="preserve">Waddell, Brodie, ‘Writing History from Below: Chronicling and Record-Keeping in Early Modern England’ in </w:t>
      </w:r>
      <w:r w:rsidRPr="003037D2">
        <w:rPr>
          <w:rFonts w:ascii="Garamond" w:hAnsi="Garamond"/>
          <w:bCs/>
          <w:i/>
          <w:iCs/>
        </w:rPr>
        <w:t>History Workshop Journal</w:t>
      </w:r>
      <w:r w:rsidRPr="003037D2">
        <w:rPr>
          <w:rFonts w:ascii="Garamond" w:hAnsi="Garamond"/>
          <w:bCs/>
        </w:rPr>
        <w:t>, 85 (April 2018), pp. 239–264</w:t>
      </w:r>
    </w:p>
    <w:p w14:paraId="4F3D0286" w14:textId="77777777" w:rsidR="00162224" w:rsidRPr="003037D2" w:rsidRDefault="00162224" w:rsidP="00A721D6">
      <w:pPr>
        <w:ind w:left="1361" w:hanging="720"/>
        <w:rPr>
          <w:rFonts w:ascii="Garamond" w:hAnsi="Garamond"/>
          <w:bCs/>
        </w:rPr>
      </w:pPr>
      <w:r w:rsidRPr="003037D2">
        <w:rPr>
          <w:rFonts w:ascii="Garamond" w:hAnsi="Garamond"/>
        </w:rPr>
        <w:t xml:space="preserve">Walker, John David, ‘The Architectonics of George Herbert’s </w:t>
      </w:r>
      <w:r w:rsidRPr="003037D2">
        <w:rPr>
          <w:rFonts w:ascii="Garamond" w:hAnsi="Garamond"/>
          <w:i/>
        </w:rPr>
        <w:t xml:space="preserve">The Temple’ </w:t>
      </w:r>
      <w:r w:rsidRPr="003037D2">
        <w:rPr>
          <w:rFonts w:ascii="Garamond" w:hAnsi="Garamond"/>
        </w:rPr>
        <w:t xml:space="preserve">in </w:t>
      </w:r>
      <w:r w:rsidRPr="003037D2">
        <w:rPr>
          <w:rFonts w:ascii="Garamond" w:hAnsi="Garamond"/>
          <w:i/>
        </w:rPr>
        <w:t xml:space="preserve">English Literary History, </w:t>
      </w:r>
      <w:r w:rsidRPr="003037D2">
        <w:rPr>
          <w:rFonts w:ascii="Garamond" w:hAnsi="Garamond"/>
        </w:rPr>
        <w:t>29 (1962), pp. 289-305</w:t>
      </w:r>
    </w:p>
    <w:p w14:paraId="7296B22F" w14:textId="516F3353" w:rsidR="00162224" w:rsidRPr="003037D2" w:rsidRDefault="00162224" w:rsidP="00A721D6">
      <w:pPr>
        <w:ind w:left="1361" w:hanging="720"/>
        <w:rPr>
          <w:rFonts w:ascii="Garamond" w:hAnsi="Garamond"/>
          <w:bCs/>
        </w:rPr>
      </w:pPr>
      <w:r w:rsidRPr="003037D2">
        <w:rPr>
          <w:rFonts w:ascii="Garamond" w:hAnsi="Garamond"/>
          <w:bCs/>
        </w:rPr>
        <w:t xml:space="preserve">Wall, John N., ‘Virtual Paul’s Cross: The Experience of Public Preaching after the reformation’, in </w:t>
      </w:r>
      <w:r w:rsidRPr="003037D2">
        <w:rPr>
          <w:rFonts w:ascii="Garamond" w:hAnsi="Garamond"/>
          <w:bCs/>
          <w:i/>
        </w:rPr>
        <w:t>Paul’s Cross and the Culture of Persuasion</w:t>
      </w:r>
      <w:r w:rsidR="00814479">
        <w:rPr>
          <w:rFonts w:ascii="Garamond" w:hAnsi="Garamond"/>
          <w:bCs/>
          <w:i/>
        </w:rPr>
        <w:t>,</w:t>
      </w:r>
      <w:r w:rsidRPr="003037D2">
        <w:rPr>
          <w:rFonts w:ascii="Garamond" w:hAnsi="Garamond"/>
          <w:bCs/>
          <w:i/>
        </w:rPr>
        <w:t xml:space="preserve"> </w:t>
      </w:r>
      <w:r w:rsidRPr="003037D2">
        <w:rPr>
          <w:rFonts w:ascii="Garamond" w:hAnsi="Garamond"/>
          <w:bCs/>
        </w:rPr>
        <w:t>ed. by Torrance Kirby (Boston: Brill, 2014),</w:t>
      </w:r>
      <w:r w:rsidRPr="003037D2">
        <w:rPr>
          <w:rFonts w:ascii="Garamond" w:hAnsi="Garamond"/>
          <w:bCs/>
          <w:i/>
        </w:rPr>
        <w:t xml:space="preserve"> </w:t>
      </w:r>
      <w:r w:rsidRPr="003037D2">
        <w:rPr>
          <w:rFonts w:ascii="Garamond" w:hAnsi="Garamond"/>
          <w:bCs/>
        </w:rPr>
        <w:t>pp. 61-92</w:t>
      </w:r>
    </w:p>
    <w:p w14:paraId="1A3E974F" w14:textId="77777777" w:rsidR="00162224" w:rsidRPr="003037D2" w:rsidRDefault="00162224" w:rsidP="00A721D6">
      <w:pPr>
        <w:ind w:left="1361" w:hanging="720"/>
        <w:rPr>
          <w:rFonts w:ascii="Garamond" w:hAnsi="Garamond"/>
        </w:rPr>
      </w:pPr>
      <w:r w:rsidRPr="003037D2">
        <w:rPr>
          <w:rFonts w:ascii="Garamond" w:hAnsi="Garamond"/>
        </w:rPr>
        <w:t xml:space="preserve">Wall, Wendy, </w:t>
      </w:r>
      <w:r w:rsidRPr="003037D2">
        <w:rPr>
          <w:rFonts w:ascii="Garamond" w:hAnsi="Garamond"/>
          <w:i/>
          <w:iCs/>
        </w:rPr>
        <w:t xml:space="preserve">The Imprint of Gender: Authorship and Publication in the English Renaissance </w:t>
      </w:r>
      <w:r w:rsidRPr="003037D2">
        <w:rPr>
          <w:rFonts w:ascii="Garamond" w:hAnsi="Garamond"/>
        </w:rPr>
        <w:t>(</w:t>
      </w:r>
      <w:proofErr w:type="spellStart"/>
      <w:r w:rsidRPr="003037D2">
        <w:rPr>
          <w:rFonts w:ascii="Garamond" w:hAnsi="Garamond"/>
        </w:rPr>
        <w:t>Ithica</w:t>
      </w:r>
      <w:proofErr w:type="spellEnd"/>
      <w:r w:rsidRPr="003037D2">
        <w:rPr>
          <w:rFonts w:ascii="Garamond" w:hAnsi="Garamond"/>
        </w:rPr>
        <w:t xml:space="preserve">, NY: Cornell University Press, 1993) </w:t>
      </w:r>
    </w:p>
    <w:p w14:paraId="6E3F6A45" w14:textId="365A887B" w:rsidR="00162224" w:rsidRPr="003037D2" w:rsidRDefault="00162224" w:rsidP="00A721D6">
      <w:pPr>
        <w:ind w:left="1361" w:hanging="720"/>
        <w:rPr>
          <w:rFonts w:ascii="Garamond" w:hAnsi="Garamond"/>
        </w:rPr>
      </w:pPr>
      <w:r w:rsidRPr="003037D2">
        <w:rPr>
          <w:rFonts w:ascii="Garamond" w:hAnsi="Garamond"/>
        </w:rPr>
        <w:t>Walls, Kathryn, ‘</w:t>
      </w:r>
      <w:r w:rsidR="00161762">
        <w:rPr>
          <w:rFonts w:ascii="Garamond" w:hAnsi="Garamond"/>
        </w:rPr>
        <w:t>“</w:t>
      </w:r>
      <w:r w:rsidRPr="003037D2">
        <w:rPr>
          <w:rFonts w:ascii="Garamond" w:hAnsi="Garamond"/>
        </w:rPr>
        <w:t>Resorting to Sermons</w:t>
      </w:r>
      <w:r w:rsidR="00161762">
        <w:rPr>
          <w:rFonts w:ascii="Garamond" w:hAnsi="Garamond"/>
        </w:rPr>
        <w:t>”</w:t>
      </w:r>
      <w:r w:rsidRPr="003037D2">
        <w:rPr>
          <w:rFonts w:ascii="Garamond" w:hAnsi="Garamond"/>
        </w:rPr>
        <w:t xml:space="preserve">: The Place of Preaching in William </w:t>
      </w:r>
      <w:proofErr w:type="spellStart"/>
      <w:r w:rsidRPr="003037D2">
        <w:rPr>
          <w:rFonts w:ascii="Garamond" w:hAnsi="Garamond"/>
        </w:rPr>
        <w:t>Baspoole’s</w:t>
      </w:r>
      <w:proofErr w:type="spellEnd"/>
      <w:r w:rsidRPr="003037D2">
        <w:rPr>
          <w:rFonts w:ascii="Garamond" w:hAnsi="Garamond"/>
        </w:rPr>
        <w:t xml:space="preserve"> </w:t>
      </w:r>
      <w:r w:rsidRPr="003037D2">
        <w:rPr>
          <w:rFonts w:ascii="Garamond" w:hAnsi="Garamond"/>
          <w:i/>
        </w:rPr>
        <w:t xml:space="preserve">The </w:t>
      </w:r>
      <w:proofErr w:type="spellStart"/>
      <w:r w:rsidRPr="003037D2">
        <w:rPr>
          <w:rFonts w:ascii="Garamond" w:hAnsi="Garamond"/>
          <w:i/>
        </w:rPr>
        <w:t>Pilgrime</w:t>
      </w:r>
      <w:proofErr w:type="spellEnd"/>
      <w:r w:rsidRPr="003037D2">
        <w:rPr>
          <w:rFonts w:ascii="Garamond" w:hAnsi="Garamond"/>
          <w:i/>
        </w:rPr>
        <w:t xml:space="preserve"> </w:t>
      </w:r>
      <w:r w:rsidRPr="003037D2">
        <w:rPr>
          <w:rFonts w:ascii="Garamond" w:hAnsi="Garamond"/>
        </w:rPr>
        <w:t>and George He</w:t>
      </w:r>
      <w:r w:rsidR="00814479">
        <w:rPr>
          <w:rFonts w:ascii="Garamond" w:hAnsi="Garamond"/>
        </w:rPr>
        <w:t>r</w:t>
      </w:r>
      <w:r w:rsidRPr="003037D2">
        <w:rPr>
          <w:rFonts w:ascii="Garamond" w:hAnsi="Garamond"/>
        </w:rPr>
        <w:t xml:space="preserve">bert’s </w:t>
      </w:r>
      <w:r w:rsidRPr="003037D2">
        <w:rPr>
          <w:rFonts w:ascii="Garamond" w:hAnsi="Garamond"/>
          <w:i/>
        </w:rPr>
        <w:t xml:space="preserve">The Country Parson’ </w:t>
      </w:r>
      <w:r w:rsidRPr="003037D2">
        <w:rPr>
          <w:rFonts w:ascii="Garamond" w:hAnsi="Garamond"/>
        </w:rPr>
        <w:t xml:space="preserve">in </w:t>
      </w:r>
      <w:r w:rsidRPr="003037D2">
        <w:rPr>
          <w:rFonts w:ascii="Garamond" w:hAnsi="Garamond"/>
          <w:i/>
        </w:rPr>
        <w:t>George Herbert Journal</w:t>
      </w:r>
      <w:r w:rsidRPr="003037D2">
        <w:rPr>
          <w:rFonts w:ascii="Garamond" w:hAnsi="Garamond"/>
        </w:rPr>
        <w:t>, 30 (2006), pp. 42-58</w:t>
      </w:r>
    </w:p>
    <w:p w14:paraId="11DCB83A" w14:textId="77777777" w:rsidR="00162224" w:rsidRPr="003037D2" w:rsidRDefault="00162224" w:rsidP="00A721D6">
      <w:pPr>
        <w:ind w:left="1361" w:hanging="720"/>
        <w:rPr>
          <w:rFonts w:ascii="Garamond" w:hAnsi="Garamond"/>
        </w:rPr>
      </w:pPr>
      <w:r w:rsidRPr="003037D2">
        <w:rPr>
          <w:rFonts w:ascii="Garamond" w:hAnsi="Garamond"/>
        </w:rPr>
        <w:t xml:space="preserve">Waller, G.F., </w:t>
      </w:r>
      <w:r w:rsidRPr="003037D2">
        <w:rPr>
          <w:rFonts w:ascii="Garamond" w:hAnsi="Garamond"/>
          <w:i/>
        </w:rPr>
        <w:t xml:space="preserve">The Strong Necessity of Time: The Philosophy of Time in Shakespeare and Elizabethan Literature </w:t>
      </w:r>
      <w:r w:rsidRPr="003037D2">
        <w:rPr>
          <w:rFonts w:ascii="Garamond" w:hAnsi="Garamond"/>
        </w:rPr>
        <w:t xml:space="preserve">(Paris: Mouton, 1976) </w:t>
      </w:r>
    </w:p>
    <w:p w14:paraId="5B9456EB" w14:textId="77777777" w:rsidR="00162224" w:rsidRPr="003037D2" w:rsidRDefault="00162224" w:rsidP="00A721D6">
      <w:pPr>
        <w:ind w:left="1361" w:hanging="720"/>
        <w:rPr>
          <w:rFonts w:ascii="Garamond" w:hAnsi="Garamond"/>
        </w:rPr>
      </w:pPr>
      <w:r w:rsidRPr="003037D2">
        <w:rPr>
          <w:rFonts w:ascii="Garamond" w:hAnsi="Garamond"/>
        </w:rPr>
        <w:t>___</w:t>
      </w:r>
      <w:proofErr w:type="gramStart"/>
      <w:r w:rsidRPr="003037D2">
        <w:rPr>
          <w:rFonts w:ascii="Garamond" w:hAnsi="Garamond"/>
        </w:rPr>
        <w:t>_ ,</w:t>
      </w:r>
      <w:proofErr w:type="gramEnd"/>
      <w:r w:rsidRPr="003037D2">
        <w:rPr>
          <w:rFonts w:ascii="Garamond" w:hAnsi="Garamond"/>
        </w:rPr>
        <w:t xml:space="preserve"> ‘The Text and Manuscript Variants of the Countess of Pembroke's Psalms’ in </w:t>
      </w:r>
      <w:r w:rsidRPr="003037D2">
        <w:rPr>
          <w:rFonts w:ascii="Garamond" w:hAnsi="Garamond"/>
          <w:i/>
          <w:iCs/>
        </w:rPr>
        <w:t xml:space="preserve">Review of English Studies, </w:t>
      </w:r>
      <w:r w:rsidRPr="003037D2">
        <w:rPr>
          <w:rFonts w:ascii="Garamond" w:hAnsi="Garamond"/>
        </w:rPr>
        <w:t xml:space="preserve">26 (1975), pp. 1-18 </w:t>
      </w:r>
    </w:p>
    <w:p w14:paraId="64D76B02" w14:textId="77777777" w:rsidR="00162224" w:rsidRPr="003037D2" w:rsidRDefault="00162224" w:rsidP="00A721D6">
      <w:pPr>
        <w:ind w:left="1361" w:hanging="720"/>
        <w:rPr>
          <w:rFonts w:ascii="Garamond" w:hAnsi="Garamond"/>
        </w:rPr>
      </w:pPr>
      <w:r w:rsidRPr="003037D2">
        <w:rPr>
          <w:rFonts w:ascii="Garamond" w:hAnsi="Garamond"/>
        </w:rPr>
        <w:t xml:space="preserve">Walsham, Alexandra, </w:t>
      </w:r>
      <w:r w:rsidRPr="003037D2">
        <w:rPr>
          <w:rFonts w:ascii="Garamond" w:hAnsi="Garamond"/>
          <w:i/>
          <w:iCs/>
        </w:rPr>
        <w:t xml:space="preserve">The Reformation of the Landscape: Religion, identity, and memory in early modern Britain and Ireland </w:t>
      </w:r>
      <w:r w:rsidRPr="003037D2">
        <w:rPr>
          <w:rFonts w:ascii="Garamond" w:hAnsi="Garamond"/>
        </w:rPr>
        <w:t xml:space="preserve">(Oxford: Oxford University Press, 2011) </w:t>
      </w:r>
    </w:p>
    <w:p w14:paraId="37310C4F" w14:textId="77777777" w:rsidR="00162224" w:rsidRPr="003037D2" w:rsidRDefault="00162224" w:rsidP="00A721D6">
      <w:pPr>
        <w:ind w:left="1361" w:hanging="720"/>
        <w:rPr>
          <w:rFonts w:ascii="Garamond" w:hAnsi="Garamond"/>
        </w:rPr>
      </w:pPr>
      <w:proofErr w:type="spellStart"/>
      <w:r w:rsidRPr="003037D2">
        <w:rPr>
          <w:rFonts w:ascii="Garamond" w:hAnsi="Garamond"/>
        </w:rPr>
        <w:t>Warley</w:t>
      </w:r>
      <w:proofErr w:type="spellEnd"/>
      <w:r w:rsidRPr="003037D2">
        <w:rPr>
          <w:rFonts w:ascii="Garamond" w:hAnsi="Garamond"/>
        </w:rPr>
        <w:t xml:space="preserve">, Christopher, </w:t>
      </w:r>
      <w:bookmarkStart w:id="274" w:name="_Hlk532656304"/>
      <w:r w:rsidRPr="003037D2">
        <w:rPr>
          <w:rFonts w:ascii="Garamond" w:hAnsi="Garamond"/>
          <w:i/>
          <w:iCs/>
        </w:rPr>
        <w:t>Sonnet Sequences and Social distinction in Renaissance England</w:t>
      </w:r>
      <w:r w:rsidRPr="003037D2">
        <w:rPr>
          <w:rFonts w:ascii="Garamond" w:hAnsi="Garamond"/>
        </w:rPr>
        <w:t xml:space="preserve"> (Cambridge: Cambridge University Press, 2005) </w:t>
      </w:r>
    </w:p>
    <w:bookmarkEnd w:id="274"/>
    <w:p w14:paraId="6FB211B5" w14:textId="77777777" w:rsidR="00162224" w:rsidRPr="003037D2" w:rsidRDefault="00162224" w:rsidP="00A721D6">
      <w:pPr>
        <w:ind w:left="1361" w:hanging="720"/>
        <w:rPr>
          <w:rFonts w:ascii="Garamond" w:hAnsi="Garamond"/>
        </w:rPr>
      </w:pPr>
      <w:r w:rsidRPr="003037D2">
        <w:rPr>
          <w:rFonts w:ascii="Garamond" w:hAnsi="Garamond"/>
        </w:rPr>
        <w:t>Watt, Diane, ‘</w:t>
      </w:r>
      <w:proofErr w:type="gramStart"/>
      <w:r w:rsidRPr="003037D2">
        <w:rPr>
          <w:rFonts w:ascii="Garamond" w:hAnsi="Garamond"/>
        </w:rPr>
        <w:t>Davies ,</w:t>
      </w:r>
      <w:proofErr w:type="gramEnd"/>
      <w:r w:rsidRPr="003037D2">
        <w:rPr>
          <w:rFonts w:ascii="Garamond" w:hAnsi="Garamond"/>
        </w:rPr>
        <w:t xml:space="preserve"> Lady Eleanor (1590–1652)’, Oxford Dictionary of National Biography, Oxford University Press, 2004 &lt;http://www.oxforddnb.com/view/article/7233&gt; [accessed 21 Sept 2016]</w:t>
      </w:r>
    </w:p>
    <w:p w14:paraId="1D5E32E2" w14:textId="77777777" w:rsidR="00162224" w:rsidRPr="003037D2" w:rsidRDefault="00162224" w:rsidP="00A721D6">
      <w:pPr>
        <w:ind w:left="1361" w:hanging="720"/>
        <w:rPr>
          <w:rFonts w:ascii="Garamond" w:hAnsi="Garamond"/>
        </w:rPr>
      </w:pPr>
      <w:r w:rsidRPr="003037D2">
        <w:rPr>
          <w:rFonts w:ascii="Garamond" w:hAnsi="Garamond"/>
        </w:rPr>
        <w:t xml:space="preserve">Webber, Joan, </w:t>
      </w:r>
      <w:r w:rsidRPr="003037D2">
        <w:rPr>
          <w:rFonts w:ascii="Garamond" w:hAnsi="Garamond"/>
          <w:i/>
        </w:rPr>
        <w:t>Contrary Music: The Prose Style of John Donne</w:t>
      </w:r>
      <w:r w:rsidRPr="003037D2">
        <w:rPr>
          <w:rFonts w:ascii="Garamond" w:hAnsi="Garamond"/>
        </w:rPr>
        <w:t xml:space="preserve"> (Madison: University of Wisconsin Press, 1963)</w:t>
      </w:r>
    </w:p>
    <w:p w14:paraId="41D2D1C2" w14:textId="605582AC" w:rsidR="00162224" w:rsidRPr="003037D2" w:rsidRDefault="00162224" w:rsidP="00A721D6">
      <w:pPr>
        <w:ind w:left="1361" w:hanging="720"/>
        <w:rPr>
          <w:rFonts w:ascii="Garamond" w:hAnsi="Garamond"/>
        </w:rPr>
      </w:pPr>
      <w:r w:rsidRPr="003037D2">
        <w:rPr>
          <w:rFonts w:ascii="Garamond" w:hAnsi="Garamond"/>
        </w:rPr>
        <w:t xml:space="preserve">Weber, Max, </w:t>
      </w:r>
      <w:r w:rsidRPr="003037D2">
        <w:rPr>
          <w:rFonts w:ascii="Garamond" w:hAnsi="Garamond"/>
          <w:i/>
          <w:iCs/>
        </w:rPr>
        <w:t>The Protestant Ethic and the spirit of Capitalism,</w:t>
      </w:r>
      <w:r w:rsidRPr="003037D2">
        <w:rPr>
          <w:rFonts w:ascii="Garamond" w:hAnsi="Garamond"/>
        </w:rPr>
        <w:t xml:space="preserve"> translated by Talcott Parsons (New York: Charles Scribner's Sons, 1958) </w:t>
      </w:r>
    </w:p>
    <w:p w14:paraId="4FC5C828" w14:textId="77777777" w:rsidR="00162224" w:rsidRPr="003037D2" w:rsidRDefault="00162224" w:rsidP="00A721D6">
      <w:pPr>
        <w:ind w:left="1361" w:hanging="720"/>
        <w:rPr>
          <w:rFonts w:ascii="Garamond" w:hAnsi="Garamond"/>
        </w:rPr>
      </w:pPr>
      <w:r w:rsidRPr="003037D2">
        <w:rPr>
          <w:rFonts w:ascii="Garamond" w:hAnsi="Garamond"/>
        </w:rPr>
        <w:t xml:space="preserve">Whalen, Robert, </w:t>
      </w:r>
      <w:r w:rsidRPr="003037D2">
        <w:rPr>
          <w:rFonts w:ascii="Garamond" w:hAnsi="Garamond"/>
          <w:i/>
        </w:rPr>
        <w:t xml:space="preserve">The Poetry of Immanence: Sacrament in Donne and Herbert </w:t>
      </w:r>
      <w:r w:rsidRPr="003037D2">
        <w:rPr>
          <w:rFonts w:ascii="Garamond" w:hAnsi="Garamond"/>
        </w:rPr>
        <w:t>(Toronto: University of Toronto Press, 2002)</w:t>
      </w:r>
    </w:p>
    <w:p w14:paraId="719C87B6" w14:textId="5BEECD87" w:rsidR="00162224" w:rsidRPr="003037D2" w:rsidRDefault="00162224" w:rsidP="00A721D6">
      <w:pPr>
        <w:ind w:left="1361" w:hanging="720"/>
        <w:rPr>
          <w:rFonts w:ascii="Garamond" w:hAnsi="Garamond"/>
        </w:rPr>
      </w:pPr>
      <w:r w:rsidRPr="003037D2">
        <w:rPr>
          <w:rFonts w:ascii="Garamond" w:hAnsi="Garamond"/>
        </w:rPr>
        <w:lastRenderedPageBreak/>
        <w:t xml:space="preserve">Whitaker, Curtis, ‘Baptisms and Burials: The Presence of </w:t>
      </w:r>
      <w:r w:rsidR="00284281" w:rsidRPr="00284281">
        <w:rPr>
          <w:rFonts w:ascii="Garamond" w:hAnsi="Garamond"/>
          <w:i/>
        </w:rPr>
        <w:t>T</w:t>
      </w:r>
      <w:r w:rsidRPr="00284281">
        <w:rPr>
          <w:rFonts w:ascii="Garamond" w:hAnsi="Garamond"/>
          <w:i/>
        </w:rPr>
        <w:t>he Book of Common Prayer</w:t>
      </w:r>
      <w:r w:rsidRPr="003037D2">
        <w:rPr>
          <w:rFonts w:ascii="Garamond" w:hAnsi="Garamond"/>
        </w:rPr>
        <w:t xml:space="preserve"> in Herbert’s Nature Poetry’ in </w:t>
      </w:r>
      <w:r w:rsidRPr="003037D2">
        <w:rPr>
          <w:rFonts w:ascii="Garamond" w:hAnsi="Garamond"/>
          <w:i/>
        </w:rPr>
        <w:t>George Herbert Journal</w:t>
      </w:r>
      <w:r w:rsidRPr="003037D2">
        <w:rPr>
          <w:rFonts w:ascii="Garamond" w:hAnsi="Garamond"/>
        </w:rPr>
        <w:t>, 27.1-2 (2004 Spring), pp. 82-104</w:t>
      </w:r>
    </w:p>
    <w:p w14:paraId="1D0F4183" w14:textId="77777777" w:rsidR="00162224" w:rsidRPr="003037D2" w:rsidRDefault="00162224" w:rsidP="00A721D6">
      <w:pPr>
        <w:ind w:left="1361" w:hanging="720"/>
        <w:rPr>
          <w:rFonts w:ascii="Garamond" w:hAnsi="Garamond"/>
        </w:rPr>
      </w:pPr>
      <w:r w:rsidRPr="003037D2">
        <w:rPr>
          <w:rFonts w:ascii="Garamond" w:hAnsi="Garamond"/>
        </w:rPr>
        <w:t xml:space="preserve">White, James, </w:t>
      </w:r>
      <w:r w:rsidRPr="003037D2">
        <w:rPr>
          <w:rFonts w:ascii="Garamond" w:hAnsi="Garamond"/>
          <w:i/>
        </w:rPr>
        <w:t xml:space="preserve">Protestant Worship and Church Architecture: Theological and Historical considerations </w:t>
      </w:r>
      <w:r w:rsidRPr="003037D2">
        <w:rPr>
          <w:rFonts w:ascii="Garamond" w:hAnsi="Garamond"/>
        </w:rPr>
        <w:t xml:space="preserve">(New York: Oxford University Press, 1964) </w:t>
      </w:r>
    </w:p>
    <w:p w14:paraId="6D5103BF" w14:textId="77777777" w:rsidR="00162224" w:rsidRPr="003037D2" w:rsidRDefault="00162224" w:rsidP="00A721D6">
      <w:pPr>
        <w:ind w:left="1361" w:hanging="720"/>
        <w:rPr>
          <w:rFonts w:ascii="Garamond" w:hAnsi="Garamond"/>
        </w:rPr>
      </w:pPr>
      <w:r w:rsidRPr="003037D2">
        <w:rPr>
          <w:rFonts w:ascii="Garamond" w:hAnsi="Garamond"/>
        </w:rPr>
        <w:t>Whitehead, Lydia, ‘</w:t>
      </w:r>
      <w:r w:rsidRPr="003037D2">
        <w:rPr>
          <w:rFonts w:ascii="Garamond" w:hAnsi="Garamond"/>
          <w:i/>
          <w:iCs/>
        </w:rPr>
        <w:t xml:space="preserve">A </w:t>
      </w:r>
      <w:proofErr w:type="spellStart"/>
      <w:r w:rsidRPr="003037D2">
        <w:rPr>
          <w:rFonts w:ascii="Garamond" w:hAnsi="Garamond"/>
          <w:i/>
          <w:iCs/>
        </w:rPr>
        <w:t>poena</w:t>
      </w:r>
      <w:proofErr w:type="spellEnd"/>
      <w:r w:rsidRPr="003037D2">
        <w:rPr>
          <w:rFonts w:ascii="Garamond" w:hAnsi="Garamond"/>
          <w:i/>
          <w:iCs/>
        </w:rPr>
        <w:t xml:space="preserve"> et culpa</w:t>
      </w:r>
      <w:r w:rsidRPr="003037D2">
        <w:rPr>
          <w:rFonts w:ascii="Garamond" w:hAnsi="Garamond"/>
        </w:rPr>
        <w:t xml:space="preserve">: penitence, confidence and the Miserere in Foxe's </w:t>
      </w:r>
      <w:proofErr w:type="spellStart"/>
      <w:r w:rsidRPr="003037D2">
        <w:rPr>
          <w:rFonts w:ascii="Garamond" w:hAnsi="Garamond"/>
        </w:rPr>
        <w:t>Actes</w:t>
      </w:r>
      <w:proofErr w:type="spellEnd"/>
      <w:r w:rsidRPr="003037D2">
        <w:rPr>
          <w:rFonts w:ascii="Garamond" w:hAnsi="Garamond"/>
        </w:rPr>
        <w:t xml:space="preserve"> and Monuments’ in </w:t>
      </w:r>
      <w:r w:rsidRPr="003037D2">
        <w:rPr>
          <w:rFonts w:ascii="Garamond" w:hAnsi="Garamond"/>
          <w:i/>
          <w:iCs/>
        </w:rPr>
        <w:t>Renaissance Studies,</w:t>
      </w:r>
      <w:r w:rsidRPr="003037D2">
        <w:rPr>
          <w:rFonts w:ascii="Garamond" w:hAnsi="Garamond"/>
        </w:rPr>
        <w:t xml:space="preserve"> 4.3 (September 2008), pp. 287-299</w:t>
      </w:r>
    </w:p>
    <w:p w14:paraId="5809A953" w14:textId="77777777" w:rsidR="00162224" w:rsidRPr="003037D2" w:rsidRDefault="00162224" w:rsidP="00A721D6">
      <w:pPr>
        <w:ind w:left="1361" w:hanging="720"/>
        <w:rPr>
          <w:rFonts w:ascii="Garamond" w:hAnsi="Garamond"/>
        </w:rPr>
      </w:pPr>
      <w:r w:rsidRPr="003037D2">
        <w:rPr>
          <w:rFonts w:ascii="Garamond" w:hAnsi="Garamond"/>
        </w:rPr>
        <w:t xml:space="preserve">Whitman, Jon ed., </w:t>
      </w:r>
      <w:r w:rsidRPr="003037D2">
        <w:rPr>
          <w:rFonts w:ascii="Garamond" w:hAnsi="Garamond"/>
          <w:i/>
        </w:rPr>
        <w:t xml:space="preserve">Romance and History:  Imagining Time from the Medieval to the Early Modern Period </w:t>
      </w:r>
      <w:r w:rsidRPr="003037D2">
        <w:rPr>
          <w:rFonts w:ascii="Garamond" w:hAnsi="Garamond"/>
        </w:rPr>
        <w:t xml:space="preserve">(Cambridge: Cambridge University Press, 2015) </w:t>
      </w:r>
    </w:p>
    <w:p w14:paraId="05B1C792" w14:textId="77777777" w:rsidR="00162224" w:rsidRPr="003037D2" w:rsidRDefault="00162224" w:rsidP="00A721D6">
      <w:pPr>
        <w:ind w:left="1361" w:hanging="720"/>
        <w:rPr>
          <w:rFonts w:ascii="Garamond" w:hAnsi="Garamond"/>
        </w:rPr>
      </w:pPr>
      <w:r w:rsidRPr="003037D2">
        <w:rPr>
          <w:rFonts w:ascii="Garamond" w:hAnsi="Garamond"/>
        </w:rPr>
        <w:t xml:space="preserve">Wilcox, Helen, ‘Herbert, George (1593–1633)’ in </w:t>
      </w:r>
      <w:r w:rsidRPr="003037D2">
        <w:rPr>
          <w:rFonts w:ascii="Garamond" w:hAnsi="Garamond"/>
          <w:i/>
          <w:iCs/>
        </w:rPr>
        <w:t>Oxford Dictionary of National Biography</w:t>
      </w:r>
      <w:r w:rsidRPr="003037D2">
        <w:rPr>
          <w:rFonts w:ascii="Garamond" w:hAnsi="Garamond"/>
        </w:rPr>
        <w:t xml:space="preserve">, Oxford University Press, 2004 &lt;http://www.oxforddnb.com/view/article/13025&gt; [accessed 8 August 2017] </w:t>
      </w:r>
    </w:p>
    <w:p w14:paraId="1041ED88" w14:textId="3210E320" w:rsidR="00162224" w:rsidRPr="003037D2" w:rsidRDefault="00162224" w:rsidP="00A721D6">
      <w:pPr>
        <w:ind w:left="1361" w:hanging="720"/>
        <w:rPr>
          <w:rFonts w:ascii="Garamond" w:hAnsi="Garamond"/>
        </w:rPr>
      </w:pPr>
      <w:r w:rsidRPr="003037D2">
        <w:rPr>
          <w:rFonts w:ascii="Garamond" w:hAnsi="Garamond"/>
        </w:rPr>
        <w:t>___</w:t>
      </w:r>
      <w:proofErr w:type="gramStart"/>
      <w:r w:rsidRPr="003037D2">
        <w:rPr>
          <w:rFonts w:ascii="Garamond" w:hAnsi="Garamond"/>
        </w:rPr>
        <w:t>_ ,</w:t>
      </w:r>
      <w:proofErr w:type="gramEnd"/>
      <w:r w:rsidRPr="003037D2">
        <w:rPr>
          <w:rFonts w:ascii="Garamond" w:hAnsi="Garamond"/>
        </w:rPr>
        <w:t xml:space="preserve"> ‘In </w:t>
      </w:r>
      <w:r w:rsidRPr="003037D2">
        <w:rPr>
          <w:rFonts w:ascii="Garamond" w:hAnsi="Garamond"/>
          <w:i/>
        </w:rPr>
        <w:t>The T</w:t>
      </w:r>
      <w:r w:rsidRPr="003037D2">
        <w:rPr>
          <w:rFonts w:ascii="Garamond" w:hAnsi="Garamond"/>
          <w:i/>
          <w:iCs/>
        </w:rPr>
        <w:t xml:space="preserve">emple </w:t>
      </w:r>
      <w:r w:rsidRPr="003037D2">
        <w:rPr>
          <w:rFonts w:ascii="Garamond" w:hAnsi="Garamond"/>
        </w:rPr>
        <w:t xml:space="preserve">Precincts: George Herbert and Seventeenth-Century Community-Making’ in </w:t>
      </w:r>
      <w:r w:rsidRPr="003037D2">
        <w:rPr>
          <w:rFonts w:ascii="Garamond" w:hAnsi="Garamond"/>
          <w:i/>
          <w:iCs/>
        </w:rPr>
        <w:t>Writing and Religion in England, 1558-1689: Studies in Community Making and Cultural Memory</w:t>
      </w:r>
      <w:r w:rsidR="00814479">
        <w:rPr>
          <w:rFonts w:ascii="Garamond" w:hAnsi="Garamond"/>
          <w:i/>
          <w:iCs/>
        </w:rPr>
        <w:t>,</w:t>
      </w:r>
      <w:r w:rsidRPr="003037D2">
        <w:rPr>
          <w:rFonts w:ascii="Garamond" w:hAnsi="Garamond"/>
          <w:i/>
          <w:iCs/>
        </w:rPr>
        <w:t xml:space="preserve"> </w:t>
      </w:r>
      <w:r w:rsidRPr="003037D2">
        <w:rPr>
          <w:rFonts w:ascii="Garamond" w:hAnsi="Garamond"/>
          <w:iCs/>
        </w:rPr>
        <w:t>ed. by Anthony W. Johnson and Roger D. Sell (London: Routledge, 2009)</w:t>
      </w:r>
      <w:r w:rsidRPr="003037D2">
        <w:rPr>
          <w:rFonts w:ascii="Garamond" w:hAnsi="Garamond"/>
          <w:i/>
          <w:iCs/>
        </w:rPr>
        <w:t xml:space="preserve"> </w:t>
      </w:r>
      <w:r w:rsidRPr="003037D2">
        <w:rPr>
          <w:rFonts w:ascii="Garamond" w:hAnsi="Garamond"/>
        </w:rPr>
        <w:t xml:space="preserve">pp. 253-272 </w:t>
      </w:r>
    </w:p>
    <w:p w14:paraId="4C422471" w14:textId="4CE612A6" w:rsidR="00162224" w:rsidRPr="003037D2" w:rsidRDefault="00162224" w:rsidP="00A721D6">
      <w:pPr>
        <w:ind w:left="1361" w:hanging="720"/>
        <w:rPr>
          <w:rFonts w:ascii="Garamond" w:hAnsi="Garamond"/>
        </w:rPr>
      </w:pPr>
      <w:r w:rsidRPr="003037D2">
        <w:rPr>
          <w:rFonts w:ascii="Garamond" w:hAnsi="Garamond"/>
        </w:rPr>
        <w:t>Willis, Jonathan, ed.</w:t>
      </w:r>
      <w:r w:rsidR="00814479">
        <w:rPr>
          <w:rFonts w:ascii="Garamond" w:hAnsi="Garamond"/>
        </w:rPr>
        <w:t>,</w:t>
      </w:r>
      <w:r w:rsidRPr="003037D2">
        <w:rPr>
          <w:rFonts w:ascii="Garamond" w:hAnsi="Garamond"/>
        </w:rPr>
        <w:t xml:space="preserve"> </w:t>
      </w:r>
      <w:r w:rsidRPr="003037D2">
        <w:rPr>
          <w:rFonts w:ascii="Garamond" w:hAnsi="Garamond"/>
          <w:i/>
          <w:iCs/>
        </w:rPr>
        <w:t xml:space="preserve">Sin and Salvation in Reformation England </w:t>
      </w:r>
      <w:r w:rsidRPr="003037D2">
        <w:rPr>
          <w:rFonts w:ascii="Garamond" w:hAnsi="Garamond"/>
        </w:rPr>
        <w:t xml:space="preserve">(London: Routledge, 2015) </w:t>
      </w:r>
    </w:p>
    <w:p w14:paraId="207CD912" w14:textId="77777777" w:rsidR="00162224" w:rsidRPr="003037D2" w:rsidRDefault="00162224" w:rsidP="00A721D6">
      <w:pPr>
        <w:ind w:left="1361" w:hanging="720"/>
        <w:rPr>
          <w:rFonts w:ascii="Garamond" w:hAnsi="Garamond"/>
        </w:rPr>
      </w:pPr>
      <w:r w:rsidRPr="003037D2">
        <w:rPr>
          <w:rFonts w:ascii="Garamond" w:hAnsi="Garamond"/>
        </w:rPr>
        <w:t>Woodruff, Robert, ‘Foretelling the Everyday: Early Modern English Almanacs Prepare a Public for News’ (</w:t>
      </w:r>
      <w:r w:rsidRPr="003037D2">
        <w:rPr>
          <w:rFonts w:ascii="Garamond" w:hAnsi="Garamond"/>
          <w:bCs/>
        </w:rPr>
        <w:t>unpublished Doctoral dissertation, University of Maryland, 2014)</w:t>
      </w:r>
      <w:r w:rsidRPr="003037D2">
        <w:rPr>
          <w:rFonts w:ascii="Garamond" w:hAnsi="Garamond"/>
        </w:rPr>
        <w:t> </w:t>
      </w:r>
    </w:p>
    <w:p w14:paraId="70A04F18" w14:textId="77777777" w:rsidR="00162224" w:rsidRPr="003037D2" w:rsidRDefault="00162224" w:rsidP="00A721D6">
      <w:pPr>
        <w:ind w:left="1361" w:hanging="720"/>
        <w:rPr>
          <w:rFonts w:ascii="Garamond" w:hAnsi="Garamond"/>
        </w:rPr>
      </w:pPr>
      <w:r w:rsidRPr="003037D2">
        <w:rPr>
          <w:rFonts w:ascii="Garamond" w:hAnsi="Garamond"/>
        </w:rPr>
        <w:t xml:space="preserve">Woolf, Daniel, </w:t>
      </w:r>
      <w:r w:rsidRPr="003037D2">
        <w:rPr>
          <w:rFonts w:ascii="Garamond" w:hAnsi="Garamond"/>
          <w:i/>
          <w:iCs/>
        </w:rPr>
        <w:t xml:space="preserve">The Social Circulation of the Past: English Historical Culture 1500-1730 </w:t>
      </w:r>
      <w:r w:rsidRPr="003037D2">
        <w:rPr>
          <w:rFonts w:ascii="Garamond" w:hAnsi="Garamond"/>
        </w:rPr>
        <w:t xml:space="preserve">(Oxford: Oxford University Press, 2003) </w:t>
      </w:r>
    </w:p>
    <w:p w14:paraId="51073777" w14:textId="316643D8" w:rsidR="00162224" w:rsidRPr="003037D2" w:rsidRDefault="00162224" w:rsidP="00A721D6">
      <w:pPr>
        <w:ind w:left="1361" w:hanging="720"/>
        <w:rPr>
          <w:rFonts w:ascii="Garamond" w:hAnsi="Garamond"/>
        </w:rPr>
      </w:pPr>
      <w:r w:rsidRPr="003037D2">
        <w:rPr>
          <w:rFonts w:ascii="Garamond" w:hAnsi="Garamond"/>
        </w:rPr>
        <w:t xml:space="preserve">Wrightson, Keith, ‘Popular Senses of Past Time: dating events in the North Country, 1615-1631’ in </w:t>
      </w:r>
      <w:r w:rsidRPr="003037D2">
        <w:rPr>
          <w:rFonts w:ascii="Garamond" w:hAnsi="Garamond"/>
          <w:i/>
        </w:rPr>
        <w:t>Popular Culture and Political Agency in Early Modern England and Ireland</w:t>
      </w:r>
      <w:r w:rsidR="00814479">
        <w:rPr>
          <w:rFonts w:ascii="Garamond" w:hAnsi="Garamond"/>
          <w:i/>
        </w:rPr>
        <w:t>,</w:t>
      </w:r>
      <w:r w:rsidRPr="003037D2">
        <w:rPr>
          <w:rFonts w:ascii="Garamond" w:hAnsi="Garamond"/>
          <w:i/>
        </w:rPr>
        <w:t xml:space="preserve"> </w:t>
      </w:r>
      <w:r w:rsidRPr="003037D2">
        <w:rPr>
          <w:rFonts w:ascii="Garamond" w:hAnsi="Garamond"/>
        </w:rPr>
        <w:t xml:space="preserve">ed. by Michael </w:t>
      </w:r>
      <w:proofErr w:type="spellStart"/>
      <w:r w:rsidRPr="003037D2">
        <w:rPr>
          <w:rFonts w:ascii="Garamond" w:hAnsi="Garamond"/>
        </w:rPr>
        <w:t>Braddick</w:t>
      </w:r>
      <w:proofErr w:type="spellEnd"/>
      <w:r w:rsidRPr="003037D2">
        <w:rPr>
          <w:rFonts w:ascii="Garamond" w:hAnsi="Garamond"/>
        </w:rPr>
        <w:t xml:space="preserve"> and Keith Wrightson (Woodbridge: Boydell and Brewer, 2017), pp. 91-108</w:t>
      </w:r>
    </w:p>
    <w:p w14:paraId="1CE7B1DD" w14:textId="77777777" w:rsidR="00162224" w:rsidRPr="003037D2" w:rsidRDefault="00162224" w:rsidP="00A721D6">
      <w:pPr>
        <w:ind w:left="1361" w:hanging="720"/>
        <w:rPr>
          <w:rFonts w:ascii="Garamond" w:hAnsi="Garamond"/>
          <w:iCs/>
        </w:rPr>
      </w:pPr>
      <w:proofErr w:type="spellStart"/>
      <w:r w:rsidRPr="003037D2">
        <w:rPr>
          <w:rFonts w:ascii="Garamond" w:hAnsi="Garamond"/>
          <w:iCs/>
        </w:rPr>
        <w:t>Zemon</w:t>
      </w:r>
      <w:proofErr w:type="spellEnd"/>
      <w:r w:rsidRPr="003037D2">
        <w:rPr>
          <w:rFonts w:ascii="Garamond" w:hAnsi="Garamond"/>
          <w:iCs/>
        </w:rPr>
        <w:t xml:space="preserve"> Davis, Natalie, </w:t>
      </w:r>
      <w:r w:rsidRPr="003037D2">
        <w:rPr>
          <w:rFonts w:ascii="Garamond" w:hAnsi="Garamond"/>
          <w:i/>
          <w:iCs/>
        </w:rPr>
        <w:t>Society and Culture in Early Modern France</w:t>
      </w:r>
      <w:r w:rsidRPr="003037D2">
        <w:rPr>
          <w:rFonts w:ascii="Garamond" w:hAnsi="Garamond"/>
          <w:iCs/>
        </w:rPr>
        <w:t xml:space="preserve"> (Stanford: Stanford University Press, 1975)</w:t>
      </w:r>
    </w:p>
    <w:p w14:paraId="6A22E325" w14:textId="77777777" w:rsidR="00A721D6" w:rsidRPr="003037D2" w:rsidRDefault="00162224" w:rsidP="00A721D6">
      <w:pPr>
        <w:ind w:left="1361" w:hanging="720"/>
        <w:rPr>
          <w:rFonts w:ascii="Garamond" w:hAnsi="Garamond"/>
        </w:rPr>
        <w:sectPr w:rsidR="00A721D6" w:rsidRPr="003037D2" w:rsidSect="00A721D6">
          <w:pgSz w:w="11900" w:h="16840"/>
          <w:pgMar w:top="1134" w:right="1134" w:bottom="1440" w:left="2291" w:header="720" w:footer="720" w:gutter="0"/>
          <w:cols w:space="720"/>
          <w:docGrid w:linePitch="360"/>
        </w:sectPr>
      </w:pPr>
      <w:proofErr w:type="spellStart"/>
      <w:r w:rsidRPr="003037D2">
        <w:rPr>
          <w:rFonts w:ascii="Garamond" w:hAnsi="Garamond"/>
          <w:iCs/>
        </w:rPr>
        <w:t>Zim</w:t>
      </w:r>
      <w:proofErr w:type="spellEnd"/>
      <w:r w:rsidRPr="003037D2">
        <w:rPr>
          <w:rFonts w:ascii="Garamond" w:hAnsi="Garamond"/>
          <w:iCs/>
        </w:rPr>
        <w:t xml:space="preserve">, </w:t>
      </w:r>
      <w:proofErr w:type="spellStart"/>
      <w:r w:rsidRPr="003037D2">
        <w:rPr>
          <w:rFonts w:ascii="Garamond" w:hAnsi="Garamond"/>
          <w:iCs/>
        </w:rPr>
        <w:t>Rivkah</w:t>
      </w:r>
      <w:proofErr w:type="spellEnd"/>
      <w:r w:rsidRPr="003037D2">
        <w:rPr>
          <w:rFonts w:ascii="Garamond" w:hAnsi="Garamond"/>
          <w:iCs/>
        </w:rPr>
        <w:t xml:space="preserve">, </w:t>
      </w:r>
      <w:r w:rsidRPr="003037D2">
        <w:rPr>
          <w:rFonts w:ascii="Garamond" w:hAnsi="Garamond"/>
          <w:i/>
          <w:iCs/>
        </w:rPr>
        <w:t xml:space="preserve">English Metrical Psalms: Poetry as Praise and Prayer, 1535-1601 </w:t>
      </w:r>
      <w:r w:rsidRPr="003037D2">
        <w:rPr>
          <w:rFonts w:ascii="Garamond" w:hAnsi="Garamond"/>
        </w:rPr>
        <w:t>(Cambridge: Cambridge University Press, 1987)</w:t>
      </w:r>
    </w:p>
    <w:p w14:paraId="5AB3C90C" w14:textId="77777777" w:rsidR="00A721D6" w:rsidRPr="003037D2" w:rsidRDefault="00A721D6" w:rsidP="00A721D6">
      <w:pPr>
        <w:pStyle w:val="Heading1"/>
        <w:spacing w:line="360" w:lineRule="auto"/>
        <w:rPr>
          <w:rFonts w:ascii="Garamond" w:hAnsi="Garamond"/>
          <w:sz w:val="22"/>
          <w:szCs w:val="22"/>
          <w:lang w:eastAsia="zh-CN"/>
        </w:rPr>
      </w:pPr>
      <w:bookmarkStart w:id="275" w:name="_Toc3967206"/>
      <w:r w:rsidRPr="003037D2">
        <w:rPr>
          <w:rFonts w:ascii="Garamond" w:hAnsi="Garamond"/>
          <w:sz w:val="22"/>
          <w:szCs w:val="22"/>
          <w:lang w:eastAsia="zh-CN"/>
        </w:rPr>
        <w:lastRenderedPageBreak/>
        <w:t>Appendix I. Annotated almanacs in the Huntington Library</w:t>
      </w:r>
      <w:bookmarkEnd w:id="275"/>
      <w:r w:rsidRPr="003037D2">
        <w:rPr>
          <w:rFonts w:ascii="Garamond" w:hAnsi="Garamond"/>
          <w:sz w:val="22"/>
          <w:szCs w:val="22"/>
          <w:lang w:eastAsia="zh-CN"/>
        </w:rPr>
        <w:t xml:space="preserve"> </w:t>
      </w:r>
    </w:p>
    <w:tbl>
      <w:tblPr>
        <w:tblStyle w:val="TableGrid"/>
        <w:tblW w:w="0" w:type="auto"/>
        <w:tblLook w:val="04A0" w:firstRow="1" w:lastRow="0" w:firstColumn="1" w:lastColumn="0" w:noHBand="0" w:noVBand="1"/>
      </w:tblPr>
      <w:tblGrid>
        <w:gridCol w:w="969"/>
        <w:gridCol w:w="3400"/>
        <w:gridCol w:w="71"/>
        <w:gridCol w:w="1448"/>
        <w:gridCol w:w="1781"/>
        <w:gridCol w:w="1237"/>
        <w:gridCol w:w="1040"/>
        <w:gridCol w:w="8"/>
        <w:gridCol w:w="1006"/>
        <w:gridCol w:w="947"/>
        <w:gridCol w:w="980"/>
        <w:gridCol w:w="1061"/>
      </w:tblGrid>
      <w:tr w:rsidR="00A721D6" w:rsidRPr="003037D2" w14:paraId="1557AA25" w14:textId="77777777" w:rsidTr="00A721D6">
        <w:trPr>
          <w:trHeight w:val="300"/>
        </w:trPr>
        <w:tc>
          <w:tcPr>
            <w:tcW w:w="969" w:type="dxa"/>
            <w:shd w:val="clear" w:color="auto" w:fill="D0CECE" w:themeFill="background2" w:themeFillShade="E6"/>
            <w:noWrap/>
            <w:hideMark/>
          </w:tcPr>
          <w:p w14:paraId="3E34AD72" w14:textId="77777777" w:rsidR="00A721D6" w:rsidRPr="003037D2" w:rsidRDefault="00A721D6" w:rsidP="00A721D6">
            <w:pPr>
              <w:spacing w:line="360" w:lineRule="auto"/>
              <w:rPr>
                <w:rFonts w:ascii="Garamond" w:hAnsi="Garamond" w:cstheme="minorHAnsi"/>
                <w:b/>
                <w:bCs/>
                <w:sz w:val="21"/>
                <w:szCs w:val="21"/>
              </w:rPr>
            </w:pPr>
            <w:r w:rsidRPr="003037D2">
              <w:rPr>
                <w:rFonts w:ascii="Garamond" w:hAnsi="Garamond" w:cstheme="minorHAnsi"/>
                <w:b/>
                <w:bCs/>
                <w:sz w:val="21"/>
                <w:szCs w:val="21"/>
              </w:rPr>
              <w:t xml:space="preserve">Date </w:t>
            </w:r>
          </w:p>
        </w:tc>
        <w:tc>
          <w:tcPr>
            <w:tcW w:w="3471" w:type="dxa"/>
            <w:gridSpan w:val="2"/>
            <w:shd w:val="clear" w:color="auto" w:fill="D0CECE" w:themeFill="background2" w:themeFillShade="E6"/>
            <w:noWrap/>
            <w:hideMark/>
          </w:tcPr>
          <w:p w14:paraId="05EED153" w14:textId="77777777" w:rsidR="00A721D6" w:rsidRPr="003037D2" w:rsidRDefault="00A721D6" w:rsidP="00A721D6">
            <w:pPr>
              <w:spacing w:line="360" w:lineRule="auto"/>
              <w:rPr>
                <w:rFonts w:ascii="Garamond" w:hAnsi="Garamond" w:cstheme="minorHAnsi"/>
                <w:b/>
                <w:bCs/>
                <w:sz w:val="21"/>
                <w:szCs w:val="21"/>
              </w:rPr>
            </w:pPr>
            <w:r w:rsidRPr="003037D2">
              <w:rPr>
                <w:rFonts w:ascii="Garamond" w:hAnsi="Garamond" w:cstheme="minorHAnsi"/>
                <w:b/>
                <w:bCs/>
                <w:sz w:val="21"/>
                <w:szCs w:val="21"/>
              </w:rPr>
              <w:t xml:space="preserve">Title </w:t>
            </w:r>
          </w:p>
        </w:tc>
        <w:tc>
          <w:tcPr>
            <w:tcW w:w="1448" w:type="dxa"/>
            <w:shd w:val="clear" w:color="auto" w:fill="D0CECE" w:themeFill="background2" w:themeFillShade="E6"/>
            <w:noWrap/>
            <w:hideMark/>
          </w:tcPr>
          <w:p w14:paraId="35E107A3" w14:textId="77777777" w:rsidR="00A721D6" w:rsidRPr="003037D2" w:rsidRDefault="00A721D6" w:rsidP="00A721D6">
            <w:pPr>
              <w:spacing w:line="360" w:lineRule="auto"/>
              <w:rPr>
                <w:rFonts w:ascii="Garamond" w:hAnsi="Garamond" w:cstheme="minorHAnsi"/>
                <w:b/>
                <w:bCs/>
                <w:sz w:val="21"/>
                <w:szCs w:val="21"/>
              </w:rPr>
            </w:pPr>
            <w:r w:rsidRPr="003037D2">
              <w:rPr>
                <w:rFonts w:ascii="Garamond" w:hAnsi="Garamond" w:cstheme="minorHAnsi"/>
                <w:b/>
                <w:bCs/>
                <w:sz w:val="21"/>
                <w:szCs w:val="21"/>
              </w:rPr>
              <w:t xml:space="preserve">Compiler </w:t>
            </w:r>
          </w:p>
        </w:tc>
        <w:tc>
          <w:tcPr>
            <w:tcW w:w="1781" w:type="dxa"/>
            <w:shd w:val="clear" w:color="auto" w:fill="D0CECE" w:themeFill="background2" w:themeFillShade="E6"/>
            <w:noWrap/>
            <w:hideMark/>
          </w:tcPr>
          <w:p w14:paraId="14EED1AF" w14:textId="77777777" w:rsidR="00A721D6" w:rsidRPr="003037D2" w:rsidRDefault="00A721D6" w:rsidP="00A721D6">
            <w:pPr>
              <w:spacing w:line="360" w:lineRule="auto"/>
              <w:rPr>
                <w:rFonts w:ascii="Garamond" w:hAnsi="Garamond" w:cstheme="minorHAnsi"/>
                <w:b/>
                <w:bCs/>
                <w:sz w:val="21"/>
                <w:szCs w:val="21"/>
              </w:rPr>
            </w:pPr>
            <w:r w:rsidRPr="003037D2">
              <w:rPr>
                <w:rFonts w:ascii="Garamond" w:hAnsi="Garamond" w:cstheme="minorHAnsi"/>
                <w:b/>
                <w:bCs/>
                <w:sz w:val="21"/>
                <w:szCs w:val="21"/>
              </w:rPr>
              <w:t xml:space="preserve">Bibl. Refs. </w:t>
            </w:r>
          </w:p>
        </w:tc>
        <w:tc>
          <w:tcPr>
            <w:tcW w:w="1237" w:type="dxa"/>
            <w:shd w:val="clear" w:color="auto" w:fill="D0CECE" w:themeFill="background2" w:themeFillShade="E6"/>
            <w:noWrap/>
            <w:hideMark/>
          </w:tcPr>
          <w:p w14:paraId="28EED568" w14:textId="77777777" w:rsidR="00A721D6" w:rsidRPr="003037D2" w:rsidRDefault="00A721D6" w:rsidP="00A721D6">
            <w:pPr>
              <w:spacing w:line="360" w:lineRule="auto"/>
              <w:rPr>
                <w:rFonts w:ascii="Garamond" w:hAnsi="Garamond" w:cstheme="minorHAnsi"/>
                <w:b/>
                <w:bCs/>
                <w:sz w:val="21"/>
                <w:szCs w:val="21"/>
              </w:rPr>
            </w:pPr>
            <w:r w:rsidRPr="003037D2">
              <w:rPr>
                <w:rFonts w:ascii="Garamond" w:hAnsi="Garamond" w:cstheme="minorHAnsi"/>
                <w:b/>
                <w:bCs/>
                <w:sz w:val="21"/>
                <w:szCs w:val="21"/>
              </w:rPr>
              <w:t xml:space="preserve">MS Notes? </w:t>
            </w:r>
          </w:p>
        </w:tc>
        <w:tc>
          <w:tcPr>
            <w:tcW w:w="1048" w:type="dxa"/>
            <w:gridSpan w:val="2"/>
            <w:shd w:val="clear" w:color="auto" w:fill="D0CECE" w:themeFill="background2" w:themeFillShade="E6"/>
            <w:noWrap/>
            <w:hideMark/>
          </w:tcPr>
          <w:p w14:paraId="6D7DBE69" w14:textId="77777777" w:rsidR="00A721D6" w:rsidRPr="003037D2" w:rsidRDefault="00A721D6" w:rsidP="00A721D6">
            <w:pPr>
              <w:spacing w:line="360" w:lineRule="auto"/>
              <w:rPr>
                <w:rFonts w:ascii="Garamond" w:hAnsi="Garamond" w:cstheme="minorHAnsi"/>
                <w:b/>
                <w:bCs/>
                <w:sz w:val="21"/>
                <w:szCs w:val="21"/>
              </w:rPr>
            </w:pPr>
            <w:r w:rsidRPr="003037D2">
              <w:rPr>
                <w:rFonts w:ascii="Garamond" w:hAnsi="Garamond" w:cstheme="minorHAnsi"/>
                <w:b/>
                <w:bCs/>
                <w:sz w:val="21"/>
                <w:szCs w:val="21"/>
              </w:rPr>
              <w:t xml:space="preserve">Financial </w:t>
            </w:r>
          </w:p>
        </w:tc>
        <w:tc>
          <w:tcPr>
            <w:tcW w:w="1006" w:type="dxa"/>
            <w:shd w:val="clear" w:color="auto" w:fill="D0CECE" w:themeFill="background2" w:themeFillShade="E6"/>
            <w:noWrap/>
            <w:hideMark/>
          </w:tcPr>
          <w:p w14:paraId="0BFEB4DD" w14:textId="77777777" w:rsidR="00A721D6" w:rsidRPr="003037D2" w:rsidRDefault="00A721D6" w:rsidP="00A721D6">
            <w:pPr>
              <w:spacing w:line="360" w:lineRule="auto"/>
              <w:rPr>
                <w:rFonts w:ascii="Garamond" w:hAnsi="Garamond" w:cstheme="minorHAnsi"/>
                <w:b/>
                <w:bCs/>
                <w:sz w:val="21"/>
                <w:szCs w:val="21"/>
              </w:rPr>
            </w:pPr>
            <w:r w:rsidRPr="003037D2">
              <w:rPr>
                <w:rFonts w:ascii="Garamond" w:hAnsi="Garamond" w:cstheme="minorHAnsi"/>
                <w:b/>
                <w:bCs/>
                <w:sz w:val="21"/>
                <w:szCs w:val="21"/>
              </w:rPr>
              <w:t xml:space="preserve">Personal </w:t>
            </w:r>
          </w:p>
        </w:tc>
        <w:tc>
          <w:tcPr>
            <w:tcW w:w="947" w:type="dxa"/>
            <w:shd w:val="clear" w:color="auto" w:fill="D0CECE" w:themeFill="background2" w:themeFillShade="E6"/>
            <w:noWrap/>
            <w:hideMark/>
          </w:tcPr>
          <w:p w14:paraId="456D395C" w14:textId="77777777" w:rsidR="00A721D6" w:rsidRPr="003037D2" w:rsidRDefault="00A721D6" w:rsidP="00A721D6">
            <w:pPr>
              <w:spacing w:line="360" w:lineRule="auto"/>
              <w:rPr>
                <w:rFonts w:ascii="Garamond" w:hAnsi="Garamond" w:cstheme="minorHAnsi"/>
                <w:b/>
                <w:bCs/>
                <w:sz w:val="21"/>
                <w:szCs w:val="21"/>
              </w:rPr>
            </w:pPr>
            <w:r w:rsidRPr="003037D2">
              <w:rPr>
                <w:rFonts w:ascii="Garamond" w:hAnsi="Garamond" w:cstheme="minorHAnsi"/>
                <w:b/>
                <w:bCs/>
                <w:sz w:val="21"/>
                <w:szCs w:val="21"/>
              </w:rPr>
              <w:t>Political / News</w:t>
            </w:r>
          </w:p>
        </w:tc>
        <w:tc>
          <w:tcPr>
            <w:tcW w:w="980" w:type="dxa"/>
            <w:shd w:val="clear" w:color="auto" w:fill="D0CECE" w:themeFill="background2" w:themeFillShade="E6"/>
            <w:noWrap/>
            <w:hideMark/>
          </w:tcPr>
          <w:p w14:paraId="0A3E454F" w14:textId="77777777" w:rsidR="00A721D6" w:rsidRPr="003037D2" w:rsidRDefault="00A721D6" w:rsidP="00A721D6">
            <w:pPr>
              <w:spacing w:line="360" w:lineRule="auto"/>
              <w:rPr>
                <w:rFonts w:ascii="Garamond" w:hAnsi="Garamond" w:cstheme="minorHAnsi"/>
                <w:b/>
                <w:bCs/>
                <w:sz w:val="21"/>
                <w:szCs w:val="21"/>
              </w:rPr>
            </w:pPr>
            <w:r w:rsidRPr="003037D2">
              <w:rPr>
                <w:rFonts w:ascii="Garamond" w:hAnsi="Garamond" w:cstheme="minorHAnsi"/>
                <w:b/>
                <w:bCs/>
                <w:sz w:val="21"/>
                <w:szCs w:val="21"/>
              </w:rPr>
              <w:t>weather</w:t>
            </w:r>
          </w:p>
        </w:tc>
        <w:tc>
          <w:tcPr>
            <w:tcW w:w="1061" w:type="dxa"/>
            <w:shd w:val="clear" w:color="auto" w:fill="D0CECE" w:themeFill="background2" w:themeFillShade="E6"/>
            <w:noWrap/>
            <w:hideMark/>
          </w:tcPr>
          <w:p w14:paraId="11F594BC" w14:textId="77777777" w:rsidR="00A721D6" w:rsidRPr="003037D2" w:rsidRDefault="00A721D6" w:rsidP="00A721D6">
            <w:pPr>
              <w:spacing w:line="360" w:lineRule="auto"/>
              <w:rPr>
                <w:rFonts w:ascii="Garamond" w:hAnsi="Garamond" w:cstheme="minorHAnsi"/>
                <w:b/>
                <w:bCs/>
                <w:sz w:val="21"/>
                <w:szCs w:val="21"/>
              </w:rPr>
            </w:pPr>
            <w:r w:rsidRPr="003037D2">
              <w:rPr>
                <w:rFonts w:ascii="Garamond" w:hAnsi="Garamond" w:cstheme="minorHAnsi"/>
                <w:b/>
                <w:bCs/>
                <w:sz w:val="21"/>
                <w:szCs w:val="21"/>
              </w:rPr>
              <w:t xml:space="preserve">Religious </w:t>
            </w:r>
          </w:p>
        </w:tc>
      </w:tr>
      <w:tr w:rsidR="00A721D6" w:rsidRPr="003037D2" w14:paraId="005DBDDD" w14:textId="77777777" w:rsidTr="00A721D6">
        <w:trPr>
          <w:trHeight w:val="300"/>
        </w:trPr>
        <w:tc>
          <w:tcPr>
            <w:tcW w:w="969" w:type="dxa"/>
            <w:noWrap/>
            <w:hideMark/>
          </w:tcPr>
          <w:p w14:paraId="5F27099B"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1550</w:t>
            </w:r>
          </w:p>
        </w:tc>
        <w:tc>
          <w:tcPr>
            <w:tcW w:w="3471" w:type="dxa"/>
            <w:gridSpan w:val="2"/>
            <w:noWrap/>
            <w:hideMark/>
          </w:tcPr>
          <w:p w14:paraId="77A87A0A"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 boke of </w:t>
            </w:r>
            <w:proofErr w:type="spellStart"/>
            <w:r w:rsidRPr="003037D2">
              <w:rPr>
                <w:rFonts w:ascii="Garamond" w:hAnsi="Garamond" w:cstheme="minorHAnsi"/>
                <w:sz w:val="21"/>
                <w:szCs w:val="21"/>
              </w:rPr>
              <w:t>preidentes</w:t>
            </w:r>
            <w:proofErr w:type="spellEnd"/>
            <w:r w:rsidRPr="003037D2">
              <w:rPr>
                <w:rFonts w:ascii="Garamond" w:hAnsi="Garamond" w:cstheme="minorHAnsi"/>
                <w:sz w:val="21"/>
                <w:szCs w:val="21"/>
              </w:rPr>
              <w:t xml:space="preserve"> exactly written </w:t>
            </w:r>
          </w:p>
        </w:tc>
        <w:tc>
          <w:tcPr>
            <w:tcW w:w="1448" w:type="dxa"/>
            <w:noWrap/>
            <w:hideMark/>
          </w:tcPr>
          <w:p w14:paraId="155EBFB5"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sometimes ascribed to Thomas </w:t>
            </w:r>
            <w:proofErr w:type="spellStart"/>
            <w:r w:rsidRPr="003037D2">
              <w:rPr>
                <w:rFonts w:ascii="Garamond" w:hAnsi="Garamond" w:cstheme="minorHAnsi"/>
                <w:sz w:val="21"/>
                <w:szCs w:val="21"/>
              </w:rPr>
              <w:t>Phayer</w:t>
            </w:r>
            <w:proofErr w:type="spellEnd"/>
            <w:r w:rsidRPr="003037D2">
              <w:rPr>
                <w:rFonts w:ascii="Garamond" w:hAnsi="Garamond" w:cstheme="minorHAnsi"/>
                <w:sz w:val="21"/>
                <w:szCs w:val="21"/>
              </w:rPr>
              <w:t xml:space="preserve"> </w:t>
            </w:r>
          </w:p>
        </w:tc>
        <w:tc>
          <w:tcPr>
            <w:tcW w:w="1781" w:type="dxa"/>
            <w:noWrap/>
            <w:hideMark/>
          </w:tcPr>
          <w:p w14:paraId="6EED2FC9"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3331. ESTC (RLIN), S103622.</w:t>
            </w:r>
          </w:p>
        </w:tc>
        <w:tc>
          <w:tcPr>
            <w:tcW w:w="1237" w:type="dxa"/>
            <w:noWrap/>
            <w:hideMark/>
          </w:tcPr>
          <w:p w14:paraId="1C4F123B"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207B1D9A" w14:textId="77777777" w:rsidR="00A721D6" w:rsidRPr="003037D2" w:rsidRDefault="00A721D6" w:rsidP="00A721D6">
            <w:pPr>
              <w:spacing w:line="360" w:lineRule="auto"/>
              <w:rPr>
                <w:rFonts w:ascii="Garamond" w:hAnsi="Garamond" w:cstheme="minorHAnsi"/>
                <w:sz w:val="21"/>
                <w:szCs w:val="21"/>
              </w:rPr>
            </w:pPr>
          </w:p>
        </w:tc>
        <w:tc>
          <w:tcPr>
            <w:tcW w:w="1006" w:type="dxa"/>
            <w:noWrap/>
            <w:hideMark/>
          </w:tcPr>
          <w:p w14:paraId="2E2B7151"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947" w:type="dxa"/>
            <w:noWrap/>
            <w:hideMark/>
          </w:tcPr>
          <w:p w14:paraId="53A6F822"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478A03AC"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14BBB6BA" w14:textId="77777777" w:rsidR="00A721D6" w:rsidRPr="003037D2" w:rsidRDefault="00A721D6" w:rsidP="00A721D6">
            <w:pPr>
              <w:spacing w:line="360" w:lineRule="auto"/>
              <w:rPr>
                <w:rFonts w:ascii="Garamond" w:hAnsi="Garamond" w:cstheme="minorHAnsi"/>
                <w:sz w:val="21"/>
                <w:szCs w:val="21"/>
              </w:rPr>
            </w:pPr>
          </w:p>
        </w:tc>
      </w:tr>
      <w:tr w:rsidR="00A721D6" w:rsidRPr="003037D2" w14:paraId="561CF885" w14:textId="77777777" w:rsidTr="00A721D6">
        <w:trPr>
          <w:trHeight w:val="300"/>
        </w:trPr>
        <w:tc>
          <w:tcPr>
            <w:tcW w:w="969" w:type="dxa"/>
            <w:noWrap/>
            <w:hideMark/>
          </w:tcPr>
          <w:p w14:paraId="274974EB"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1559</w:t>
            </w:r>
          </w:p>
        </w:tc>
        <w:tc>
          <w:tcPr>
            <w:tcW w:w="3400" w:type="dxa"/>
            <w:noWrap/>
            <w:hideMark/>
          </w:tcPr>
          <w:p w14:paraId="4817269A"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 boke of </w:t>
            </w:r>
            <w:proofErr w:type="spellStart"/>
            <w:r w:rsidRPr="003037D2">
              <w:rPr>
                <w:rFonts w:ascii="Garamond" w:hAnsi="Garamond" w:cstheme="minorHAnsi"/>
                <w:sz w:val="21"/>
                <w:szCs w:val="21"/>
              </w:rPr>
              <w:t>presidentes</w:t>
            </w:r>
            <w:proofErr w:type="spellEnd"/>
            <w:r w:rsidRPr="003037D2">
              <w:rPr>
                <w:rFonts w:ascii="Garamond" w:hAnsi="Garamond" w:cstheme="minorHAnsi"/>
                <w:sz w:val="21"/>
                <w:szCs w:val="21"/>
              </w:rPr>
              <w:t xml:space="preserve"> exactly written, in </w:t>
            </w:r>
            <w:proofErr w:type="spellStart"/>
            <w:r w:rsidRPr="003037D2">
              <w:rPr>
                <w:rFonts w:ascii="Garamond" w:hAnsi="Garamond" w:cstheme="minorHAnsi"/>
                <w:sz w:val="21"/>
                <w:szCs w:val="21"/>
              </w:rPr>
              <w:t>maner</w:t>
            </w:r>
            <w:proofErr w:type="spellEnd"/>
            <w:r w:rsidRPr="003037D2">
              <w:rPr>
                <w:rFonts w:ascii="Garamond" w:hAnsi="Garamond" w:cstheme="minorHAnsi"/>
                <w:sz w:val="21"/>
                <w:szCs w:val="21"/>
              </w:rPr>
              <w:t xml:space="preserve"> of a register </w:t>
            </w:r>
          </w:p>
        </w:tc>
        <w:tc>
          <w:tcPr>
            <w:tcW w:w="1519" w:type="dxa"/>
            <w:gridSpan w:val="2"/>
          </w:tcPr>
          <w:p w14:paraId="3B30B1E5"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Anon </w:t>
            </w:r>
          </w:p>
        </w:tc>
        <w:tc>
          <w:tcPr>
            <w:tcW w:w="1781" w:type="dxa"/>
            <w:noWrap/>
            <w:hideMark/>
          </w:tcPr>
          <w:p w14:paraId="562570C3"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3332.7. ESTC (RLIN), S106515.</w:t>
            </w:r>
          </w:p>
        </w:tc>
        <w:tc>
          <w:tcPr>
            <w:tcW w:w="1237" w:type="dxa"/>
            <w:noWrap/>
            <w:hideMark/>
          </w:tcPr>
          <w:p w14:paraId="7563C91F" w14:textId="0D7CBB29" w:rsidR="00A721D6" w:rsidRPr="003037D2" w:rsidRDefault="00B86F13" w:rsidP="00A721D6">
            <w:pPr>
              <w:spacing w:line="360" w:lineRule="auto"/>
              <w:rPr>
                <w:rFonts w:ascii="Garamond" w:hAnsi="Garamond" w:cstheme="minorHAnsi"/>
                <w:sz w:val="21"/>
                <w:szCs w:val="21"/>
              </w:rPr>
            </w:pPr>
            <w:r w:rsidRPr="003037D2">
              <w:rPr>
                <w:rFonts w:ascii="Garamond" w:hAnsi="Garamond" w:cstheme="minorHAnsi"/>
                <w:sz w:val="21"/>
                <w:szCs w:val="21"/>
              </w:rPr>
              <w:t>Y</w:t>
            </w:r>
            <w:r w:rsidR="00A721D6" w:rsidRPr="003037D2">
              <w:rPr>
                <w:rFonts w:ascii="Garamond" w:hAnsi="Garamond" w:cstheme="minorHAnsi"/>
                <w:sz w:val="21"/>
                <w:szCs w:val="21"/>
              </w:rPr>
              <w:t>es</w:t>
            </w:r>
          </w:p>
        </w:tc>
        <w:tc>
          <w:tcPr>
            <w:tcW w:w="1048" w:type="dxa"/>
            <w:gridSpan w:val="2"/>
            <w:noWrap/>
            <w:hideMark/>
          </w:tcPr>
          <w:p w14:paraId="102793C4" w14:textId="77777777" w:rsidR="00A721D6" w:rsidRPr="003037D2" w:rsidRDefault="00A721D6" w:rsidP="00A721D6">
            <w:pPr>
              <w:spacing w:line="360" w:lineRule="auto"/>
              <w:rPr>
                <w:rFonts w:ascii="Garamond" w:hAnsi="Garamond" w:cstheme="minorHAnsi"/>
                <w:sz w:val="21"/>
                <w:szCs w:val="21"/>
              </w:rPr>
            </w:pPr>
          </w:p>
        </w:tc>
        <w:tc>
          <w:tcPr>
            <w:tcW w:w="1006" w:type="dxa"/>
            <w:noWrap/>
            <w:hideMark/>
          </w:tcPr>
          <w:p w14:paraId="595C7016" w14:textId="77777777" w:rsidR="00A721D6" w:rsidRPr="003037D2" w:rsidRDefault="00A721D6" w:rsidP="00A721D6">
            <w:pPr>
              <w:spacing w:line="360" w:lineRule="auto"/>
              <w:rPr>
                <w:rFonts w:ascii="Garamond" w:hAnsi="Garamond" w:cstheme="minorHAnsi"/>
                <w:sz w:val="21"/>
                <w:szCs w:val="21"/>
              </w:rPr>
            </w:pPr>
          </w:p>
        </w:tc>
        <w:tc>
          <w:tcPr>
            <w:tcW w:w="947" w:type="dxa"/>
            <w:noWrap/>
            <w:hideMark/>
          </w:tcPr>
          <w:p w14:paraId="4A44EA70"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50E29A7C"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204D720C" w14:textId="77777777" w:rsidR="00A721D6" w:rsidRPr="003037D2" w:rsidRDefault="00A721D6" w:rsidP="00A721D6">
            <w:pPr>
              <w:spacing w:line="360" w:lineRule="auto"/>
              <w:rPr>
                <w:rFonts w:ascii="Garamond" w:hAnsi="Garamond" w:cstheme="minorHAnsi"/>
                <w:sz w:val="21"/>
                <w:szCs w:val="21"/>
              </w:rPr>
            </w:pPr>
          </w:p>
        </w:tc>
      </w:tr>
      <w:tr w:rsidR="00A721D6" w:rsidRPr="003037D2" w14:paraId="2B1BCD82" w14:textId="77777777" w:rsidTr="00A721D6">
        <w:trPr>
          <w:trHeight w:val="300"/>
        </w:trPr>
        <w:tc>
          <w:tcPr>
            <w:tcW w:w="969" w:type="dxa"/>
            <w:noWrap/>
            <w:hideMark/>
          </w:tcPr>
          <w:p w14:paraId="3076EF11"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1559</w:t>
            </w:r>
          </w:p>
        </w:tc>
        <w:tc>
          <w:tcPr>
            <w:tcW w:w="3471" w:type="dxa"/>
            <w:gridSpan w:val="2"/>
            <w:noWrap/>
            <w:hideMark/>
          </w:tcPr>
          <w:p w14:paraId="5DBE3677"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 new </w:t>
            </w:r>
            <w:proofErr w:type="spellStart"/>
            <w:r w:rsidRPr="003037D2">
              <w:rPr>
                <w:rFonts w:ascii="Garamond" w:hAnsi="Garamond" w:cstheme="minorHAnsi"/>
                <w:sz w:val="21"/>
                <w:szCs w:val="21"/>
              </w:rPr>
              <w:t>almanacke</w:t>
            </w:r>
            <w:proofErr w:type="spellEnd"/>
            <w:r w:rsidRPr="003037D2">
              <w:rPr>
                <w:rFonts w:ascii="Garamond" w:hAnsi="Garamond" w:cstheme="minorHAnsi"/>
                <w:sz w:val="21"/>
                <w:szCs w:val="21"/>
              </w:rPr>
              <w:t xml:space="preserve"> and prognostication </w:t>
            </w:r>
          </w:p>
        </w:tc>
        <w:tc>
          <w:tcPr>
            <w:tcW w:w="1448" w:type="dxa"/>
            <w:noWrap/>
            <w:hideMark/>
          </w:tcPr>
          <w:p w14:paraId="653C6485"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Vaughan, Lewes </w:t>
            </w:r>
          </w:p>
        </w:tc>
        <w:tc>
          <w:tcPr>
            <w:tcW w:w="1781" w:type="dxa"/>
          </w:tcPr>
          <w:p w14:paraId="58E934BB"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520.</w:t>
            </w:r>
            <w:r w:rsidRPr="003037D2">
              <w:rPr>
                <w:rFonts w:ascii="Garamond" w:hAnsi="Garamond" w:cstheme="minorHAnsi"/>
                <w:sz w:val="21"/>
                <w:szCs w:val="21"/>
                <w:lang w:val="it-IT"/>
              </w:rPr>
              <w:br/>
              <w:t>ESTC (RLIN), S104389.</w:t>
            </w:r>
          </w:p>
        </w:tc>
        <w:tc>
          <w:tcPr>
            <w:tcW w:w="1237" w:type="dxa"/>
            <w:noWrap/>
            <w:hideMark/>
          </w:tcPr>
          <w:p w14:paraId="0598D1CA"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52B4DC6B" w14:textId="77777777" w:rsidR="00A721D6" w:rsidRPr="003037D2" w:rsidRDefault="00A721D6" w:rsidP="00A721D6">
            <w:pPr>
              <w:spacing w:line="360" w:lineRule="auto"/>
              <w:rPr>
                <w:rFonts w:ascii="Garamond" w:hAnsi="Garamond" w:cstheme="minorHAnsi"/>
                <w:sz w:val="21"/>
                <w:szCs w:val="21"/>
              </w:rPr>
            </w:pPr>
          </w:p>
        </w:tc>
        <w:tc>
          <w:tcPr>
            <w:tcW w:w="1006" w:type="dxa"/>
            <w:noWrap/>
            <w:hideMark/>
          </w:tcPr>
          <w:p w14:paraId="7F78CAE3" w14:textId="77777777" w:rsidR="00A721D6" w:rsidRPr="003037D2" w:rsidRDefault="00A721D6" w:rsidP="00A721D6">
            <w:pPr>
              <w:spacing w:line="360" w:lineRule="auto"/>
              <w:rPr>
                <w:rFonts w:ascii="Garamond" w:hAnsi="Garamond" w:cstheme="minorHAnsi"/>
                <w:sz w:val="21"/>
                <w:szCs w:val="21"/>
              </w:rPr>
            </w:pPr>
          </w:p>
        </w:tc>
        <w:tc>
          <w:tcPr>
            <w:tcW w:w="947" w:type="dxa"/>
            <w:noWrap/>
            <w:hideMark/>
          </w:tcPr>
          <w:p w14:paraId="580C5462"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6C0E1F6C"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74D85AAE" w14:textId="77777777" w:rsidR="00A721D6" w:rsidRPr="003037D2" w:rsidRDefault="00A721D6" w:rsidP="00A721D6">
            <w:pPr>
              <w:spacing w:line="360" w:lineRule="auto"/>
              <w:rPr>
                <w:rFonts w:ascii="Garamond" w:hAnsi="Garamond" w:cstheme="minorHAnsi"/>
                <w:sz w:val="21"/>
                <w:szCs w:val="21"/>
              </w:rPr>
            </w:pPr>
          </w:p>
        </w:tc>
      </w:tr>
      <w:tr w:rsidR="00A721D6" w:rsidRPr="003037D2" w14:paraId="622F57F1" w14:textId="77777777" w:rsidTr="00A721D6">
        <w:trPr>
          <w:trHeight w:val="300"/>
        </w:trPr>
        <w:tc>
          <w:tcPr>
            <w:tcW w:w="969" w:type="dxa"/>
            <w:noWrap/>
            <w:hideMark/>
          </w:tcPr>
          <w:p w14:paraId="64A7B749"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1568</w:t>
            </w:r>
          </w:p>
        </w:tc>
        <w:tc>
          <w:tcPr>
            <w:tcW w:w="3471" w:type="dxa"/>
            <w:gridSpan w:val="2"/>
            <w:noWrap/>
            <w:hideMark/>
          </w:tcPr>
          <w:p w14:paraId="112F5B2A"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An </w:t>
            </w:r>
            <w:proofErr w:type="spellStart"/>
            <w:r w:rsidRPr="003037D2">
              <w:rPr>
                <w:rFonts w:ascii="Garamond" w:hAnsi="Garamond" w:cstheme="minorHAnsi"/>
                <w:sz w:val="21"/>
                <w:szCs w:val="21"/>
              </w:rPr>
              <w:t>almaacke</w:t>
            </w:r>
            <w:proofErr w:type="spellEnd"/>
            <w:r w:rsidRPr="003037D2">
              <w:rPr>
                <w:rFonts w:ascii="Garamond" w:hAnsi="Garamond" w:cstheme="minorHAnsi"/>
                <w:sz w:val="21"/>
                <w:szCs w:val="21"/>
              </w:rPr>
              <w:t xml:space="preserve"> and prognostication, for the </w:t>
            </w:r>
            <w:proofErr w:type="spellStart"/>
            <w:r w:rsidRPr="003037D2">
              <w:rPr>
                <w:rFonts w:ascii="Garamond" w:hAnsi="Garamond" w:cstheme="minorHAnsi"/>
                <w:sz w:val="21"/>
                <w:szCs w:val="21"/>
              </w:rPr>
              <w:t>yeare</w:t>
            </w:r>
            <w:proofErr w:type="spellEnd"/>
            <w:r w:rsidRPr="003037D2">
              <w:rPr>
                <w:rFonts w:ascii="Garamond" w:hAnsi="Garamond" w:cstheme="minorHAnsi"/>
                <w:sz w:val="21"/>
                <w:szCs w:val="21"/>
              </w:rPr>
              <w:t xml:space="preserve"> of our Lorde God 1568 </w:t>
            </w:r>
          </w:p>
        </w:tc>
        <w:tc>
          <w:tcPr>
            <w:tcW w:w="1448" w:type="dxa"/>
            <w:noWrap/>
            <w:hideMark/>
          </w:tcPr>
          <w:p w14:paraId="60C92675" w14:textId="77777777" w:rsidR="00A721D6" w:rsidRPr="003037D2" w:rsidRDefault="00A721D6" w:rsidP="00A721D6">
            <w:pPr>
              <w:spacing w:line="360" w:lineRule="auto"/>
              <w:rPr>
                <w:rFonts w:ascii="Garamond" w:hAnsi="Garamond" w:cstheme="minorHAnsi"/>
                <w:sz w:val="21"/>
                <w:szCs w:val="21"/>
              </w:rPr>
            </w:pPr>
            <w:proofErr w:type="spellStart"/>
            <w:r w:rsidRPr="003037D2">
              <w:rPr>
                <w:rFonts w:ascii="Garamond" w:hAnsi="Garamond" w:cstheme="minorHAnsi"/>
                <w:sz w:val="21"/>
                <w:szCs w:val="21"/>
              </w:rPr>
              <w:t>Hubrigh</w:t>
            </w:r>
            <w:proofErr w:type="spellEnd"/>
            <w:r w:rsidRPr="003037D2">
              <w:rPr>
                <w:rFonts w:ascii="Garamond" w:hAnsi="Garamond" w:cstheme="minorHAnsi"/>
                <w:sz w:val="21"/>
                <w:szCs w:val="21"/>
              </w:rPr>
              <w:t xml:space="preserve">, Joachim </w:t>
            </w:r>
          </w:p>
        </w:tc>
        <w:tc>
          <w:tcPr>
            <w:tcW w:w="1781" w:type="dxa"/>
            <w:noWrap/>
            <w:hideMark/>
          </w:tcPr>
          <w:p w14:paraId="1FD54C4B"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462.7. ESTC (RLIN), S000057.</w:t>
            </w:r>
          </w:p>
        </w:tc>
        <w:tc>
          <w:tcPr>
            <w:tcW w:w="1237" w:type="dxa"/>
            <w:noWrap/>
            <w:hideMark/>
          </w:tcPr>
          <w:p w14:paraId="54DCA167"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2F28C330" w14:textId="77777777" w:rsidR="00A721D6" w:rsidRPr="003037D2" w:rsidRDefault="00A721D6" w:rsidP="00A721D6">
            <w:pPr>
              <w:spacing w:line="360" w:lineRule="auto"/>
              <w:rPr>
                <w:rFonts w:ascii="Garamond" w:hAnsi="Garamond" w:cstheme="minorHAnsi"/>
                <w:sz w:val="21"/>
                <w:szCs w:val="21"/>
              </w:rPr>
            </w:pPr>
          </w:p>
        </w:tc>
        <w:tc>
          <w:tcPr>
            <w:tcW w:w="1006" w:type="dxa"/>
            <w:noWrap/>
            <w:hideMark/>
          </w:tcPr>
          <w:p w14:paraId="49D4C8F3"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947" w:type="dxa"/>
            <w:noWrap/>
            <w:hideMark/>
          </w:tcPr>
          <w:p w14:paraId="032DFB2E"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1609D294"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11E03A75" w14:textId="77777777" w:rsidR="00A721D6" w:rsidRPr="003037D2" w:rsidRDefault="00A721D6" w:rsidP="00A721D6">
            <w:pPr>
              <w:spacing w:line="360" w:lineRule="auto"/>
              <w:rPr>
                <w:rFonts w:ascii="Garamond" w:hAnsi="Garamond" w:cstheme="minorHAnsi"/>
                <w:sz w:val="21"/>
                <w:szCs w:val="21"/>
              </w:rPr>
            </w:pPr>
          </w:p>
        </w:tc>
      </w:tr>
      <w:tr w:rsidR="00A721D6" w:rsidRPr="003037D2" w14:paraId="37DD88D3" w14:textId="77777777" w:rsidTr="00A721D6">
        <w:trPr>
          <w:trHeight w:val="300"/>
        </w:trPr>
        <w:tc>
          <w:tcPr>
            <w:tcW w:w="969" w:type="dxa"/>
            <w:noWrap/>
            <w:hideMark/>
          </w:tcPr>
          <w:p w14:paraId="4D4DB6A8"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1571</w:t>
            </w:r>
          </w:p>
        </w:tc>
        <w:tc>
          <w:tcPr>
            <w:tcW w:w="3471" w:type="dxa"/>
            <w:gridSpan w:val="2"/>
            <w:noWrap/>
            <w:hideMark/>
          </w:tcPr>
          <w:p w14:paraId="39651968"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An almanack published at large, in </w:t>
            </w:r>
            <w:proofErr w:type="spellStart"/>
            <w:r w:rsidRPr="003037D2">
              <w:rPr>
                <w:rFonts w:ascii="Garamond" w:hAnsi="Garamond" w:cstheme="minorHAnsi"/>
                <w:sz w:val="21"/>
                <w:szCs w:val="21"/>
              </w:rPr>
              <w:t>forme</w:t>
            </w:r>
            <w:proofErr w:type="spellEnd"/>
            <w:r w:rsidRPr="003037D2">
              <w:rPr>
                <w:rFonts w:ascii="Garamond" w:hAnsi="Garamond" w:cstheme="minorHAnsi"/>
                <w:sz w:val="21"/>
                <w:szCs w:val="21"/>
              </w:rPr>
              <w:t xml:space="preserve"> of a </w:t>
            </w:r>
            <w:proofErr w:type="spellStart"/>
            <w:r w:rsidRPr="003037D2">
              <w:rPr>
                <w:rFonts w:ascii="Garamond" w:hAnsi="Garamond" w:cstheme="minorHAnsi"/>
                <w:sz w:val="21"/>
                <w:szCs w:val="21"/>
              </w:rPr>
              <w:t>booke</w:t>
            </w:r>
            <w:proofErr w:type="spellEnd"/>
            <w:r w:rsidRPr="003037D2">
              <w:rPr>
                <w:rFonts w:ascii="Garamond" w:hAnsi="Garamond" w:cstheme="minorHAnsi"/>
                <w:sz w:val="21"/>
                <w:szCs w:val="21"/>
              </w:rPr>
              <w:t xml:space="preserve"> of </w:t>
            </w:r>
            <w:proofErr w:type="spellStart"/>
            <w:r w:rsidRPr="003037D2">
              <w:rPr>
                <w:rFonts w:ascii="Garamond" w:hAnsi="Garamond" w:cstheme="minorHAnsi"/>
                <w:sz w:val="21"/>
                <w:szCs w:val="21"/>
              </w:rPr>
              <w:t>memorie</w:t>
            </w:r>
            <w:proofErr w:type="spellEnd"/>
          </w:p>
        </w:tc>
        <w:tc>
          <w:tcPr>
            <w:tcW w:w="1448" w:type="dxa"/>
            <w:noWrap/>
            <w:hideMark/>
          </w:tcPr>
          <w:p w14:paraId="768C8478"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T.H(ill) (Londoner) </w:t>
            </w:r>
          </w:p>
        </w:tc>
        <w:tc>
          <w:tcPr>
            <w:tcW w:w="1781" w:type="dxa"/>
            <w:noWrap/>
            <w:hideMark/>
          </w:tcPr>
          <w:p w14:paraId="07C2D9B2"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454. ESTC (RLIN), S104388</w:t>
            </w:r>
          </w:p>
        </w:tc>
        <w:tc>
          <w:tcPr>
            <w:tcW w:w="1237" w:type="dxa"/>
            <w:noWrap/>
            <w:hideMark/>
          </w:tcPr>
          <w:p w14:paraId="59263CEE"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0" w:type="dxa"/>
            <w:noWrap/>
            <w:hideMark/>
          </w:tcPr>
          <w:p w14:paraId="2AFC6A4D"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in second hand at back </w:t>
            </w:r>
          </w:p>
        </w:tc>
        <w:tc>
          <w:tcPr>
            <w:tcW w:w="1014" w:type="dxa"/>
            <w:gridSpan w:val="2"/>
          </w:tcPr>
          <w:p w14:paraId="3086DEC5"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947" w:type="dxa"/>
            <w:noWrap/>
            <w:hideMark/>
          </w:tcPr>
          <w:p w14:paraId="411CFA64"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980" w:type="dxa"/>
            <w:noWrap/>
            <w:hideMark/>
          </w:tcPr>
          <w:p w14:paraId="0FBEAB78"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20C4C59B"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r>
      <w:tr w:rsidR="00A721D6" w:rsidRPr="003037D2" w14:paraId="1AD5EBC4" w14:textId="77777777" w:rsidTr="00A721D6">
        <w:trPr>
          <w:trHeight w:val="300"/>
        </w:trPr>
        <w:tc>
          <w:tcPr>
            <w:tcW w:w="969" w:type="dxa"/>
            <w:noWrap/>
            <w:hideMark/>
          </w:tcPr>
          <w:p w14:paraId="48D6E55D"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1576</w:t>
            </w:r>
          </w:p>
        </w:tc>
        <w:tc>
          <w:tcPr>
            <w:tcW w:w="3471" w:type="dxa"/>
            <w:gridSpan w:val="2"/>
            <w:noWrap/>
            <w:hideMark/>
          </w:tcPr>
          <w:p w14:paraId="7729EB09"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 brief treatise </w:t>
            </w:r>
            <w:proofErr w:type="spellStart"/>
            <w:r w:rsidRPr="003037D2">
              <w:rPr>
                <w:rFonts w:ascii="Garamond" w:hAnsi="Garamond" w:cstheme="minorHAnsi"/>
                <w:sz w:val="21"/>
                <w:szCs w:val="21"/>
              </w:rPr>
              <w:t>conteinyng</w:t>
            </w:r>
            <w:proofErr w:type="spellEnd"/>
            <w:r w:rsidRPr="003037D2">
              <w:rPr>
                <w:rFonts w:ascii="Garamond" w:hAnsi="Garamond" w:cstheme="minorHAnsi"/>
                <w:sz w:val="21"/>
                <w:szCs w:val="21"/>
              </w:rPr>
              <w:t xml:space="preserve"> many proper tables, and </w:t>
            </w:r>
            <w:proofErr w:type="spellStart"/>
            <w:r w:rsidRPr="003037D2">
              <w:rPr>
                <w:rFonts w:ascii="Garamond" w:hAnsi="Garamond" w:cstheme="minorHAnsi"/>
                <w:sz w:val="21"/>
                <w:szCs w:val="21"/>
              </w:rPr>
              <w:t>easie</w:t>
            </w:r>
            <w:proofErr w:type="spellEnd"/>
            <w:r w:rsidRPr="003037D2">
              <w:rPr>
                <w:rFonts w:ascii="Garamond" w:hAnsi="Garamond" w:cstheme="minorHAnsi"/>
                <w:sz w:val="21"/>
                <w:szCs w:val="21"/>
              </w:rPr>
              <w:t xml:space="preserve"> rules,</w:t>
            </w:r>
          </w:p>
        </w:tc>
        <w:tc>
          <w:tcPr>
            <w:tcW w:w="1448" w:type="dxa"/>
            <w:noWrap/>
            <w:hideMark/>
          </w:tcPr>
          <w:p w14:paraId="1E2AB8B3"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Grafton, Richard </w:t>
            </w:r>
          </w:p>
        </w:tc>
        <w:tc>
          <w:tcPr>
            <w:tcW w:w="1781" w:type="dxa"/>
            <w:noWrap/>
            <w:hideMark/>
          </w:tcPr>
          <w:p w14:paraId="67FC6B63"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ESTC (RLIN), S103365.</w:t>
            </w:r>
          </w:p>
        </w:tc>
        <w:tc>
          <w:tcPr>
            <w:tcW w:w="1237" w:type="dxa"/>
            <w:noWrap/>
            <w:hideMark/>
          </w:tcPr>
          <w:p w14:paraId="59B0B64A"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6B4E225A"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06" w:type="dxa"/>
            <w:noWrap/>
            <w:hideMark/>
          </w:tcPr>
          <w:p w14:paraId="2F88BEFF"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947" w:type="dxa"/>
            <w:noWrap/>
            <w:hideMark/>
          </w:tcPr>
          <w:p w14:paraId="2C14107C"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18C92257"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77372D68" w14:textId="77777777" w:rsidR="00A721D6" w:rsidRPr="003037D2" w:rsidRDefault="00A721D6" w:rsidP="00A721D6">
            <w:pPr>
              <w:spacing w:line="360" w:lineRule="auto"/>
              <w:rPr>
                <w:rFonts w:ascii="Garamond" w:hAnsi="Garamond" w:cstheme="minorHAnsi"/>
                <w:sz w:val="21"/>
                <w:szCs w:val="21"/>
              </w:rPr>
            </w:pPr>
          </w:p>
        </w:tc>
      </w:tr>
      <w:tr w:rsidR="00A721D6" w:rsidRPr="003037D2" w14:paraId="249A2C0A" w14:textId="77777777" w:rsidTr="00A721D6">
        <w:trPr>
          <w:trHeight w:val="300"/>
        </w:trPr>
        <w:tc>
          <w:tcPr>
            <w:tcW w:w="969" w:type="dxa"/>
            <w:noWrap/>
            <w:hideMark/>
          </w:tcPr>
          <w:p w14:paraId="1BC270C8"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lastRenderedPageBreak/>
              <w:t>1598</w:t>
            </w:r>
          </w:p>
        </w:tc>
        <w:tc>
          <w:tcPr>
            <w:tcW w:w="3471" w:type="dxa"/>
            <w:gridSpan w:val="2"/>
            <w:noWrap/>
            <w:hideMark/>
          </w:tcPr>
          <w:p w14:paraId="0D6D7370"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An Almanack and Prognostication, framed for the </w:t>
            </w:r>
            <w:proofErr w:type="spellStart"/>
            <w:r w:rsidRPr="003037D2">
              <w:rPr>
                <w:rFonts w:ascii="Garamond" w:hAnsi="Garamond" w:cstheme="minorHAnsi"/>
                <w:sz w:val="21"/>
                <w:szCs w:val="21"/>
              </w:rPr>
              <w:t>yeere</w:t>
            </w:r>
            <w:proofErr w:type="spellEnd"/>
            <w:r w:rsidRPr="003037D2">
              <w:rPr>
                <w:rFonts w:ascii="Garamond" w:hAnsi="Garamond" w:cstheme="minorHAnsi"/>
                <w:sz w:val="21"/>
                <w:szCs w:val="21"/>
              </w:rPr>
              <w:t xml:space="preserve"> of our </w:t>
            </w:r>
            <w:proofErr w:type="spellStart"/>
            <w:r w:rsidRPr="003037D2">
              <w:rPr>
                <w:rFonts w:ascii="Garamond" w:hAnsi="Garamond" w:cstheme="minorHAnsi"/>
                <w:sz w:val="21"/>
                <w:szCs w:val="21"/>
              </w:rPr>
              <w:t>redemtion</w:t>
            </w:r>
            <w:proofErr w:type="spellEnd"/>
            <w:r w:rsidRPr="003037D2">
              <w:rPr>
                <w:rFonts w:ascii="Garamond" w:hAnsi="Garamond" w:cstheme="minorHAnsi"/>
                <w:sz w:val="21"/>
                <w:szCs w:val="21"/>
              </w:rPr>
              <w:t xml:space="preserve"> by our Lord and saviour Jesus </w:t>
            </w:r>
            <w:proofErr w:type="spellStart"/>
            <w:r w:rsidRPr="003037D2">
              <w:rPr>
                <w:rFonts w:ascii="Garamond" w:hAnsi="Garamond" w:cstheme="minorHAnsi"/>
                <w:sz w:val="21"/>
                <w:szCs w:val="21"/>
              </w:rPr>
              <w:t>Crsit</w:t>
            </w:r>
            <w:proofErr w:type="spellEnd"/>
            <w:r w:rsidRPr="003037D2">
              <w:rPr>
                <w:rFonts w:ascii="Garamond" w:hAnsi="Garamond" w:cstheme="minorHAnsi"/>
                <w:sz w:val="21"/>
                <w:szCs w:val="21"/>
              </w:rPr>
              <w:t xml:space="preserve"> </w:t>
            </w:r>
          </w:p>
        </w:tc>
        <w:tc>
          <w:tcPr>
            <w:tcW w:w="1448" w:type="dxa"/>
            <w:noWrap/>
            <w:hideMark/>
          </w:tcPr>
          <w:p w14:paraId="3AF24DCE" w14:textId="77777777" w:rsidR="00A721D6" w:rsidRPr="003037D2" w:rsidRDefault="00A721D6" w:rsidP="00A721D6">
            <w:pPr>
              <w:spacing w:line="360" w:lineRule="auto"/>
              <w:rPr>
                <w:rFonts w:ascii="Garamond" w:hAnsi="Garamond" w:cstheme="minorHAnsi"/>
                <w:sz w:val="21"/>
                <w:szCs w:val="21"/>
              </w:rPr>
            </w:pPr>
            <w:proofErr w:type="spellStart"/>
            <w:r w:rsidRPr="003037D2">
              <w:rPr>
                <w:rFonts w:ascii="Garamond" w:hAnsi="Garamond" w:cstheme="minorHAnsi"/>
                <w:sz w:val="21"/>
                <w:szCs w:val="21"/>
              </w:rPr>
              <w:t>Frend</w:t>
            </w:r>
            <w:proofErr w:type="spellEnd"/>
            <w:r w:rsidRPr="003037D2">
              <w:rPr>
                <w:rFonts w:ascii="Garamond" w:hAnsi="Garamond" w:cstheme="minorHAnsi"/>
                <w:sz w:val="21"/>
                <w:szCs w:val="21"/>
              </w:rPr>
              <w:t>, Gabriel</w:t>
            </w:r>
          </w:p>
        </w:tc>
        <w:tc>
          <w:tcPr>
            <w:tcW w:w="1781" w:type="dxa"/>
            <w:noWrap/>
            <w:hideMark/>
          </w:tcPr>
          <w:p w14:paraId="7C9FA190"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445.4. ESTC (RLIN), S121898.</w:t>
            </w:r>
          </w:p>
        </w:tc>
        <w:tc>
          <w:tcPr>
            <w:tcW w:w="1237" w:type="dxa"/>
            <w:noWrap/>
            <w:hideMark/>
          </w:tcPr>
          <w:p w14:paraId="13060754"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6953D849"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06" w:type="dxa"/>
            <w:noWrap/>
            <w:hideMark/>
          </w:tcPr>
          <w:p w14:paraId="509D6041"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947" w:type="dxa"/>
            <w:noWrap/>
            <w:hideMark/>
          </w:tcPr>
          <w:p w14:paraId="4082817E"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69AE9D7B"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6ADC684C" w14:textId="77777777" w:rsidR="00A721D6" w:rsidRPr="003037D2" w:rsidRDefault="00A721D6" w:rsidP="00A721D6">
            <w:pPr>
              <w:spacing w:line="360" w:lineRule="auto"/>
              <w:rPr>
                <w:rFonts w:ascii="Garamond" w:hAnsi="Garamond" w:cstheme="minorHAnsi"/>
                <w:sz w:val="21"/>
                <w:szCs w:val="21"/>
              </w:rPr>
            </w:pPr>
          </w:p>
        </w:tc>
      </w:tr>
      <w:tr w:rsidR="00A721D6" w:rsidRPr="003037D2" w14:paraId="2A9A9F3D" w14:textId="77777777" w:rsidTr="00A721D6">
        <w:trPr>
          <w:trHeight w:val="300"/>
        </w:trPr>
        <w:tc>
          <w:tcPr>
            <w:tcW w:w="969" w:type="dxa"/>
            <w:noWrap/>
            <w:hideMark/>
          </w:tcPr>
          <w:p w14:paraId="49983BFF"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1599</w:t>
            </w:r>
          </w:p>
        </w:tc>
        <w:tc>
          <w:tcPr>
            <w:tcW w:w="3471" w:type="dxa"/>
            <w:gridSpan w:val="2"/>
            <w:noWrap/>
            <w:hideMark/>
          </w:tcPr>
          <w:p w14:paraId="70428099"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An Almanack and Prognostication for </w:t>
            </w:r>
            <w:proofErr w:type="spellStart"/>
            <w:r w:rsidRPr="003037D2">
              <w:rPr>
                <w:rFonts w:ascii="Garamond" w:hAnsi="Garamond" w:cstheme="minorHAnsi"/>
                <w:sz w:val="21"/>
                <w:szCs w:val="21"/>
              </w:rPr>
              <w:t>thid</w:t>
            </w:r>
            <w:proofErr w:type="spellEnd"/>
            <w:r w:rsidRPr="003037D2">
              <w:rPr>
                <w:rFonts w:ascii="Garamond" w:hAnsi="Garamond" w:cstheme="minorHAnsi"/>
                <w:sz w:val="21"/>
                <w:szCs w:val="21"/>
              </w:rPr>
              <w:t xml:space="preserve"> </w:t>
            </w:r>
            <w:proofErr w:type="spellStart"/>
            <w:r w:rsidRPr="003037D2">
              <w:rPr>
                <w:rFonts w:ascii="Garamond" w:hAnsi="Garamond" w:cstheme="minorHAnsi"/>
                <w:sz w:val="21"/>
                <w:szCs w:val="21"/>
              </w:rPr>
              <w:t>yeere</w:t>
            </w:r>
            <w:proofErr w:type="spellEnd"/>
            <w:r w:rsidRPr="003037D2">
              <w:rPr>
                <w:rFonts w:ascii="Garamond" w:hAnsi="Garamond" w:cstheme="minorHAnsi"/>
                <w:sz w:val="21"/>
                <w:szCs w:val="21"/>
              </w:rPr>
              <w:t xml:space="preserve"> of our Lord Jesus </w:t>
            </w:r>
            <w:proofErr w:type="spellStart"/>
            <w:r w:rsidRPr="003037D2">
              <w:rPr>
                <w:rFonts w:ascii="Garamond" w:hAnsi="Garamond" w:cstheme="minorHAnsi"/>
                <w:sz w:val="21"/>
                <w:szCs w:val="21"/>
              </w:rPr>
              <w:t>Chrsit</w:t>
            </w:r>
            <w:proofErr w:type="spellEnd"/>
            <w:r w:rsidRPr="003037D2">
              <w:rPr>
                <w:rFonts w:ascii="Garamond" w:hAnsi="Garamond" w:cstheme="minorHAnsi"/>
                <w:sz w:val="21"/>
                <w:szCs w:val="21"/>
              </w:rPr>
              <w:t xml:space="preserve"> </w:t>
            </w:r>
          </w:p>
        </w:tc>
        <w:tc>
          <w:tcPr>
            <w:tcW w:w="1448" w:type="dxa"/>
            <w:noWrap/>
            <w:hideMark/>
          </w:tcPr>
          <w:p w14:paraId="424C5B0D" w14:textId="77777777" w:rsidR="00A721D6" w:rsidRPr="003037D2" w:rsidRDefault="00A721D6" w:rsidP="00A721D6">
            <w:pPr>
              <w:spacing w:line="360" w:lineRule="auto"/>
              <w:rPr>
                <w:rFonts w:ascii="Garamond" w:hAnsi="Garamond" w:cstheme="minorHAnsi"/>
                <w:sz w:val="21"/>
                <w:szCs w:val="21"/>
              </w:rPr>
            </w:pPr>
            <w:proofErr w:type="spellStart"/>
            <w:r w:rsidRPr="003037D2">
              <w:rPr>
                <w:rFonts w:ascii="Garamond" w:hAnsi="Garamond" w:cstheme="minorHAnsi"/>
                <w:sz w:val="21"/>
                <w:szCs w:val="21"/>
              </w:rPr>
              <w:t>Frend</w:t>
            </w:r>
            <w:proofErr w:type="spellEnd"/>
            <w:r w:rsidRPr="003037D2">
              <w:rPr>
                <w:rFonts w:ascii="Garamond" w:hAnsi="Garamond" w:cstheme="minorHAnsi"/>
                <w:sz w:val="21"/>
                <w:szCs w:val="21"/>
              </w:rPr>
              <w:t>, Gabriel</w:t>
            </w:r>
          </w:p>
        </w:tc>
        <w:tc>
          <w:tcPr>
            <w:tcW w:w="1781" w:type="dxa"/>
            <w:noWrap/>
            <w:hideMark/>
          </w:tcPr>
          <w:p w14:paraId="064DEA1A"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 xml:space="preserve"> STC (2nd ed.), 445.5.   ESTC (RLIN), S112512.</w:t>
            </w:r>
          </w:p>
        </w:tc>
        <w:tc>
          <w:tcPr>
            <w:tcW w:w="1237" w:type="dxa"/>
            <w:noWrap/>
            <w:hideMark/>
          </w:tcPr>
          <w:p w14:paraId="761A9BE4"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75DB7FB9"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06" w:type="dxa"/>
            <w:noWrap/>
            <w:hideMark/>
          </w:tcPr>
          <w:p w14:paraId="00BFCCD4"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947" w:type="dxa"/>
            <w:noWrap/>
            <w:hideMark/>
          </w:tcPr>
          <w:p w14:paraId="592194CA"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7855F6ED"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14EEDCD5" w14:textId="77777777" w:rsidR="00A721D6" w:rsidRPr="003037D2" w:rsidRDefault="00A721D6" w:rsidP="00A721D6">
            <w:pPr>
              <w:spacing w:line="360" w:lineRule="auto"/>
              <w:rPr>
                <w:rFonts w:ascii="Garamond" w:hAnsi="Garamond" w:cstheme="minorHAnsi"/>
                <w:sz w:val="21"/>
                <w:szCs w:val="21"/>
              </w:rPr>
            </w:pPr>
          </w:p>
        </w:tc>
      </w:tr>
      <w:tr w:rsidR="00A721D6" w:rsidRPr="003037D2" w14:paraId="01EE621E" w14:textId="77777777" w:rsidTr="00A721D6">
        <w:trPr>
          <w:trHeight w:val="300"/>
        </w:trPr>
        <w:tc>
          <w:tcPr>
            <w:tcW w:w="969" w:type="dxa"/>
            <w:noWrap/>
            <w:hideMark/>
          </w:tcPr>
          <w:p w14:paraId="08DBA20F"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1600</w:t>
            </w:r>
          </w:p>
        </w:tc>
        <w:tc>
          <w:tcPr>
            <w:tcW w:w="3471" w:type="dxa"/>
            <w:gridSpan w:val="2"/>
            <w:noWrap/>
            <w:hideMark/>
          </w:tcPr>
          <w:p w14:paraId="6CE4C415"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 </w:t>
            </w:r>
            <w:proofErr w:type="spellStart"/>
            <w:r w:rsidRPr="003037D2">
              <w:rPr>
                <w:rFonts w:ascii="Garamond" w:hAnsi="Garamond" w:cstheme="minorHAnsi"/>
                <w:sz w:val="21"/>
                <w:szCs w:val="21"/>
              </w:rPr>
              <w:t>doble</w:t>
            </w:r>
            <w:proofErr w:type="spellEnd"/>
            <w:r w:rsidRPr="003037D2">
              <w:rPr>
                <w:rFonts w:ascii="Garamond" w:hAnsi="Garamond" w:cstheme="minorHAnsi"/>
                <w:sz w:val="21"/>
                <w:szCs w:val="21"/>
              </w:rPr>
              <w:t xml:space="preserve"> </w:t>
            </w:r>
            <w:proofErr w:type="spellStart"/>
            <w:r w:rsidRPr="003037D2">
              <w:rPr>
                <w:rFonts w:ascii="Garamond" w:hAnsi="Garamond" w:cstheme="minorHAnsi"/>
                <w:sz w:val="21"/>
                <w:szCs w:val="21"/>
              </w:rPr>
              <w:t>almanacke</w:t>
            </w:r>
            <w:proofErr w:type="spellEnd"/>
            <w:r w:rsidRPr="003037D2">
              <w:rPr>
                <w:rFonts w:ascii="Garamond" w:hAnsi="Garamond" w:cstheme="minorHAnsi"/>
                <w:sz w:val="21"/>
                <w:szCs w:val="21"/>
              </w:rPr>
              <w:t xml:space="preserve"> or </w:t>
            </w:r>
            <w:proofErr w:type="spellStart"/>
            <w:r w:rsidRPr="003037D2">
              <w:rPr>
                <w:rFonts w:ascii="Garamond" w:hAnsi="Garamond" w:cstheme="minorHAnsi"/>
                <w:sz w:val="21"/>
                <w:szCs w:val="21"/>
              </w:rPr>
              <w:t>kalender</w:t>
            </w:r>
            <w:proofErr w:type="spellEnd"/>
            <w:r w:rsidRPr="003037D2">
              <w:rPr>
                <w:rFonts w:ascii="Garamond" w:hAnsi="Garamond" w:cstheme="minorHAnsi"/>
                <w:sz w:val="21"/>
                <w:szCs w:val="21"/>
              </w:rPr>
              <w:t xml:space="preserve"> </w:t>
            </w:r>
            <w:proofErr w:type="spellStart"/>
            <w:r w:rsidRPr="003037D2">
              <w:rPr>
                <w:rFonts w:ascii="Garamond" w:hAnsi="Garamond" w:cstheme="minorHAnsi"/>
                <w:sz w:val="21"/>
                <w:szCs w:val="21"/>
              </w:rPr>
              <w:t>drawne</w:t>
            </w:r>
            <w:proofErr w:type="spellEnd"/>
            <w:r w:rsidRPr="003037D2">
              <w:rPr>
                <w:rFonts w:ascii="Garamond" w:hAnsi="Garamond" w:cstheme="minorHAnsi"/>
                <w:sz w:val="21"/>
                <w:szCs w:val="21"/>
              </w:rPr>
              <w:t xml:space="preserve"> for this present </w:t>
            </w:r>
            <w:proofErr w:type="spellStart"/>
            <w:r w:rsidRPr="003037D2">
              <w:rPr>
                <w:rFonts w:ascii="Garamond" w:hAnsi="Garamond" w:cstheme="minorHAnsi"/>
                <w:sz w:val="21"/>
                <w:szCs w:val="21"/>
              </w:rPr>
              <w:t>yeere</w:t>
            </w:r>
            <w:proofErr w:type="spellEnd"/>
            <w:r w:rsidRPr="003037D2">
              <w:rPr>
                <w:rFonts w:ascii="Garamond" w:hAnsi="Garamond" w:cstheme="minorHAnsi"/>
                <w:sz w:val="21"/>
                <w:szCs w:val="21"/>
              </w:rPr>
              <w:t xml:space="preserve"> 1600</w:t>
            </w:r>
          </w:p>
        </w:tc>
        <w:tc>
          <w:tcPr>
            <w:tcW w:w="1448" w:type="dxa"/>
            <w:noWrap/>
            <w:hideMark/>
          </w:tcPr>
          <w:p w14:paraId="1F434108"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Watson, Robert </w:t>
            </w:r>
          </w:p>
        </w:tc>
        <w:tc>
          <w:tcPr>
            <w:tcW w:w="1781" w:type="dxa"/>
            <w:noWrap/>
            <w:hideMark/>
          </w:tcPr>
          <w:p w14:paraId="72229CDB"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525.5. ESTC (RLIN), S000111.</w:t>
            </w:r>
          </w:p>
        </w:tc>
        <w:tc>
          <w:tcPr>
            <w:tcW w:w="1237" w:type="dxa"/>
            <w:noWrap/>
            <w:hideMark/>
          </w:tcPr>
          <w:p w14:paraId="34E86C4E"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538FB1CB"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06" w:type="dxa"/>
            <w:noWrap/>
            <w:hideMark/>
          </w:tcPr>
          <w:p w14:paraId="4AA4A132"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947" w:type="dxa"/>
            <w:noWrap/>
            <w:hideMark/>
          </w:tcPr>
          <w:p w14:paraId="28C8DCF2"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3CD10B54"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3AAC6012" w14:textId="77777777" w:rsidR="00A721D6" w:rsidRPr="003037D2" w:rsidRDefault="00A721D6" w:rsidP="00A721D6">
            <w:pPr>
              <w:spacing w:line="360" w:lineRule="auto"/>
              <w:rPr>
                <w:rFonts w:ascii="Garamond" w:hAnsi="Garamond" w:cstheme="minorHAnsi"/>
                <w:sz w:val="21"/>
                <w:szCs w:val="21"/>
              </w:rPr>
            </w:pPr>
          </w:p>
        </w:tc>
      </w:tr>
      <w:tr w:rsidR="00A721D6" w:rsidRPr="003037D2" w14:paraId="187C6FD7" w14:textId="77777777" w:rsidTr="00A721D6">
        <w:trPr>
          <w:trHeight w:val="300"/>
        </w:trPr>
        <w:tc>
          <w:tcPr>
            <w:tcW w:w="969" w:type="dxa"/>
            <w:noWrap/>
            <w:hideMark/>
          </w:tcPr>
          <w:p w14:paraId="3136C8A1"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1607</w:t>
            </w:r>
          </w:p>
        </w:tc>
        <w:tc>
          <w:tcPr>
            <w:tcW w:w="3471" w:type="dxa"/>
            <w:gridSpan w:val="2"/>
            <w:noWrap/>
            <w:hideMark/>
          </w:tcPr>
          <w:p w14:paraId="1DBB9705"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 president for prognosticators. A new </w:t>
            </w:r>
            <w:proofErr w:type="spellStart"/>
            <w:r w:rsidRPr="003037D2">
              <w:rPr>
                <w:rFonts w:ascii="Garamond" w:hAnsi="Garamond" w:cstheme="minorHAnsi"/>
                <w:sz w:val="21"/>
                <w:szCs w:val="21"/>
              </w:rPr>
              <w:t>almanacke</w:t>
            </w:r>
            <w:proofErr w:type="spellEnd"/>
            <w:r w:rsidRPr="003037D2">
              <w:rPr>
                <w:rFonts w:ascii="Garamond" w:hAnsi="Garamond" w:cstheme="minorHAnsi"/>
                <w:sz w:val="21"/>
                <w:szCs w:val="21"/>
              </w:rPr>
              <w:t xml:space="preserve"> for this present </w:t>
            </w:r>
            <w:proofErr w:type="spellStart"/>
            <w:r w:rsidRPr="003037D2">
              <w:rPr>
                <w:rFonts w:ascii="Garamond" w:hAnsi="Garamond" w:cstheme="minorHAnsi"/>
                <w:sz w:val="21"/>
                <w:szCs w:val="21"/>
              </w:rPr>
              <w:t>yeare</w:t>
            </w:r>
            <w:proofErr w:type="spellEnd"/>
            <w:r w:rsidRPr="003037D2">
              <w:rPr>
                <w:rFonts w:ascii="Garamond" w:hAnsi="Garamond" w:cstheme="minorHAnsi"/>
                <w:sz w:val="21"/>
                <w:szCs w:val="21"/>
              </w:rPr>
              <w:t xml:space="preserve"> of our Lord God</w:t>
            </w:r>
          </w:p>
        </w:tc>
        <w:tc>
          <w:tcPr>
            <w:tcW w:w="1448" w:type="dxa"/>
            <w:noWrap/>
            <w:hideMark/>
          </w:tcPr>
          <w:p w14:paraId="409D4CB8"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Pond, Edward </w:t>
            </w:r>
          </w:p>
        </w:tc>
        <w:tc>
          <w:tcPr>
            <w:tcW w:w="1781" w:type="dxa"/>
            <w:noWrap/>
            <w:hideMark/>
          </w:tcPr>
          <w:p w14:paraId="6D9507A2"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501.7. ESTC (RLIN), S000041.</w:t>
            </w:r>
          </w:p>
        </w:tc>
        <w:tc>
          <w:tcPr>
            <w:tcW w:w="1237" w:type="dxa"/>
            <w:noWrap/>
            <w:hideMark/>
          </w:tcPr>
          <w:p w14:paraId="0952B50F"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44F8C6CF"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06" w:type="dxa"/>
            <w:noWrap/>
            <w:hideMark/>
          </w:tcPr>
          <w:p w14:paraId="16EFBC2F"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947" w:type="dxa"/>
            <w:noWrap/>
            <w:hideMark/>
          </w:tcPr>
          <w:p w14:paraId="06130768"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230FDA54"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32378F2D" w14:textId="77777777" w:rsidR="00A721D6" w:rsidRPr="003037D2" w:rsidRDefault="00A721D6" w:rsidP="00A721D6">
            <w:pPr>
              <w:spacing w:line="360" w:lineRule="auto"/>
              <w:rPr>
                <w:rFonts w:ascii="Garamond" w:hAnsi="Garamond" w:cstheme="minorHAnsi"/>
                <w:sz w:val="21"/>
                <w:szCs w:val="21"/>
              </w:rPr>
            </w:pPr>
          </w:p>
        </w:tc>
      </w:tr>
      <w:tr w:rsidR="00A721D6" w:rsidRPr="003037D2" w14:paraId="7E94507B" w14:textId="77777777" w:rsidTr="00A721D6">
        <w:trPr>
          <w:trHeight w:val="300"/>
        </w:trPr>
        <w:tc>
          <w:tcPr>
            <w:tcW w:w="969" w:type="dxa"/>
            <w:noWrap/>
            <w:hideMark/>
          </w:tcPr>
          <w:p w14:paraId="78DB514F"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1609</w:t>
            </w:r>
          </w:p>
        </w:tc>
        <w:tc>
          <w:tcPr>
            <w:tcW w:w="3471" w:type="dxa"/>
            <w:gridSpan w:val="2"/>
            <w:noWrap/>
            <w:hideMark/>
          </w:tcPr>
          <w:p w14:paraId="10CB4B79"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 president for prognosticators. A new </w:t>
            </w:r>
            <w:proofErr w:type="spellStart"/>
            <w:r w:rsidRPr="003037D2">
              <w:rPr>
                <w:rFonts w:ascii="Garamond" w:hAnsi="Garamond" w:cstheme="minorHAnsi"/>
                <w:sz w:val="21"/>
                <w:szCs w:val="21"/>
              </w:rPr>
              <w:t>almanacke</w:t>
            </w:r>
            <w:proofErr w:type="spellEnd"/>
            <w:r w:rsidRPr="003037D2">
              <w:rPr>
                <w:rFonts w:ascii="Garamond" w:hAnsi="Garamond" w:cstheme="minorHAnsi"/>
                <w:sz w:val="21"/>
                <w:szCs w:val="21"/>
              </w:rPr>
              <w:t xml:space="preserve"> for this present </w:t>
            </w:r>
            <w:proofErr w:type="spellStart"/>
            <w:r w:rsidRPr="003037D2">
              <w:rPr>
                <w:rFonts w:ascii="Garamond" w:hAnsi="Garamond" w:cstheme="minorHAnsi"/>
                <w:sz w:val="21"/>
                <w:szCs w:val="21"/>
              </w:rPr>
              <w:t>yeare</w:t>
            </w:r>
            <w:proofErr w:type="spellEnd"/>
            <w:r w:rsidRPr="003037D2">
              <w:rPr>
                <w:rFonts w:ascii="Garamond" w:hAnsi="Garamond" w:cstheme="minorHAnsi"/>
                <w:sz w:val="21"/>
                <w:szCs w:val="21"/>
              </w:rPr>
              <w:t xml:space="preserve"> of our Lord </w:t>
            </w:r>
          </w:p>
        </w:tc>
        <w:tc>
          <w:tcPr>
            <w:tcW w:w="1448" w:type="dxa"/>
            <w:noWrap/>
            <w:hideMark/>
          </w:tcPr>
          <w:p w14:paraId="621B1987"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Pond, Edward </w:t>
            </w:r>
          </w:p>
        </w:tc>
        <w:tc>
          <w:tcPr>
            <w:tcW w:w="1781" w:type="dxa"/>
            <w:noWrap/>
            <w:hideMark/>
          </w:tcPr>
          <w:p w14:paraId="44AF2F34"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501.9. ESTC (RLIN), S122257.</w:t>
            </w:r>
          </w:p>
        </w:tc>
        <w:tc>
          <w:tcPr>
            <w:tcW w:w="1237" w:type="dxa"/>
            <w:noWrap/>
            <w:hideMark/>
          </w:tcPr>
          <w:p w14:paraId="0FB2AB98"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546DA78E"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06" w:type="dxa"/>
            <w:noWrap/>
            <w:hideMark/>
          </w:tcPr>
          <w:p w14:paraId="0DC1DB6A"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947" w:type="dxa"/>
            <w:noWrap/>
            <w:hideMark/>
          </w:tcPr>
          <w:p w14:paraId="610B2967"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04404198"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30210A49" w14:textId="77777777" w:rsidR="00A721D6" w:rsidRPr="003037D2" w:rsidRDefault="00A721D6" w:rsidP="00A721D6">
            <w:pPr>
              <w:spacing w:line="360" w:lineRule="auto"/>
              <w:rPr>
                <w:rFonts w:ascii="Garamond" w:hAnsi="Garamond" w:cstheme="minorHAnsi"/>
                <w:sz w:val="21"/>
                <w:szCs w:val="21"/>
              </w:rPr>
            </w:pPr>
          </w:p>
        </w:tc>
      </w:tr>
      <w:tr w:rsidR="00A721D6" w:rsidRPr="003037D2" w14:paraId="52CB09DF" w14:textId="77777777" w:rsidTr="00A721D6">
        <w:trPr>
          <w:trHeight w:val="300"/>
        </w:trPr>
        <w:tc>
          <w:tcPr>
            <w:tcW w:w="969" w:type="dxa"/>
            <w:noWrap/>
            <w:hideMark/>
          </w:tcPr>
          <w:p w14:paraId="1AE08735"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1614</w:t>
            </w:r>
          </w:p>
        </w:tc>
        <w:tc>
          <w:tcPr>
            <w:tcW w:w="3471" w:type="dxa"/>
            <w:gridSpan w:val="2"/>
            <w:noWrap/>
            <w:hideMark/>
          </w:tcPr>
          <w:p w14:paraId="32AFADEF"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 new </w:t>
            </w:r>
            <w:proofErr w:type="spellStart"/>
            <w:r w:rsidRPr="003037D2">
              <w:rPr>
                <w:rFonts w:ascii="Garamond" w:hAnsi="Garamond" w:cstheme="minorHAnsi"/>
                <w:sz w:val="21"/>
                <w:szCs w:val="21"/>
              </w:rPr>
              <w:t>almanacke</w:t>
            </w:r>
            <w:proofErr w:type="spellEnd"/>
            <w:r w:rsidRPr="003037D2">
              <w:rPr>
                <w:rFonts w:ascii="Garamond" w:hAnsi="Garamond" w:cstheme="minorHAnsi"/>
                <w:sz w:val="21"/>
                <w:szCs w:val="21"/>
              </w:rPr>
              <w:t xml:space="preserve"> and prognostication, for </w:t>
            </w:r>
            <w:proofErr w:type="gramStart"/>
            <w:r w:rsidRPr="003037D2">
              <w:rPr>
                <w:rFonts w:ascii="Garamond" w:hAnsi="Garamond" w:cstheme="minorHAnsi"/>
                <w:sz w:val="21"/>
                <w:szCs w:val="21"/>
              </w:rPr>
              <w:t>the  </w:t>
            </w:r>
            <w:proofErr w:type="spellStart"/>
            <w:r w:rsidRPr="003037D2">
              <w:rPr>
                <w:rFonts w:ascii="Garamond" w:hAnsi="Garamond" w:cstheme="minorHAnsi"/>
                <w:sz w:val="21"/>
                <w:szCs w:val="21"/>
              </w:rPr>
              <w:t>yeare</w:t>
            </w:r>
            <w:proofErr w:type="spellEnd"/>
            <w:proofErr w:type="gramEnd"/>
            <w:r w:rsidRPr="003037D2">
              <w:rPr>
                <w:rFonts w:ascii="Garamond" w:hAnsi="Garamond" w:cstheme="minorHAnsi"/>
                <w:sz w:val="21"/>
                <w:szCs w:val="21"/>
              </w:rPr>
              <w:t xml:space="preserve"> of our Lord God. 1614</w:t>
            </w:r>
          </w:p>
        </w:tc>
        <w:tc>
          <w:tcPr>
            <w:tcW w:w="1448" w:type="dxa"/>
            <w:noWrap/>
            <w:hideMark/>
          </w:tcPr>
          <w:p w14:paraId="18B06DB6"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Hopton, Arthur </w:t>
            </w:r>
          </w:p>
        </w:tc>
        <w:tc>
          <w:tcPr>
            <w:tcW w:w="1781" w:type="dxa"/>
            <w:noWrap/>
            <w:hideMark/>
          </w:tcPr>
          <w:p w14:paraId="436DA852"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461.9. ESTC (RLIN), S121903.</w:t>
            </w:r>
          </w:p>
        </w:tc>
        <w:tc>
          <w:tcPr>
            <w:tcW w:w="1237" w:type="dxa"/>
            <w:noWrap/>
            <w:hideMark/>
          </w:tcPr>
          <w:p w14:paraId="60DF3D62"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6F42D282"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06" w:type="dxa"/>
            <w:noWrap/>
            <w:hideMark/>
          </w:tcPr>
          <w:p w14:paraId="7192B35E"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947" w:type="dxa"/>
            <w:noWrap/>
            <w:hideMark/>
          </w:tcPr>
          <w:p w14:paraId="23F81DF4"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00A1D669"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5BAB3988" w14:textId="77777777" w:rsidR="00A721D6" w:rsidRPr="003037D2" w:rsidRDefault="00A721D6" w:rsidP="00A721D6">
            <w:pPr>
              <w:spacing w:line="360" w:lineRule="auto"/>
              <w:rPr>
                <w:rFonts w:ascii="Garamond" w:hAnsi="Garamond" w:cstheme="minorHAnsi"/>
                <w:sz w:val="21"/>
                <w:szCs w:val="21"/>
              </w:rPr>
            </w:pPr>
          </w:p>
        </w:tc>
      </w:tr>
      <w:tr w:rsidR="00A721D6" w:rsidRPr="003037D2" w14:paraId="462E4AD3" w14:textId="77777777" w:rsidTr="00A721D6">
        <w:trPr>
          <w:trHeight w:val="300"/>
        </w:trPr>
        <w:tc>
          <w:tcPr>
            <w:tcW w:w="969" w:type="dxa"/>
            <w:noWrap/>
            <w:hideMark/>
          </w:tcPr>
          <w:p w14:paraId="524691CB"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1615</w:t>
            </w:r>
          </w:p>
        </w:tc>
        <w:tc>
          <w:tcPr>
            <w:tcW w:w="3471" w:type="dxa"/>
            <w:gridSpan w:val="2"/>
            <w:noWrap/>
            <w:hideMark/>
          </w:tcPr>
          <w:p w14:paraId="7853F428"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 </w:t>
            </w:r>
            <w:proofErr w:type="spellStart"/>
            <w:r w:rsidRPr="003037D2">
              <w:rPr>
                <w:rFonts w:ascii="Garamond" w:hAnsi="Garamond" w:cstheme="minorHAnsi"/>
                <w:sz w:val="21"/>
                <w:szCs w:val="21"/>
              </w:rPr>
              <w:t>Newe</w:t>
            </w:r>
            <w:proofErr w:type="spellEnd"/>
            <w:r w:rsidRPr="003037D2">
              <w:rPr>
                <w:rFonts w:ascii="Garamond" w:hAnsi="Garamond" w:cstheme="minorHAnsi"/>
                <w:sz w:val="21"/>
                <w:szCs w:val="21"/>
              </w:rPr>
              <w:t xml:space="preserve"> </w:t>
            </w:r>
            <w:proofErr w:type="spellStart"/>
            <w:r w:rsidRPr="003037D2">
              <w:rPr>
                <w:rFonts w:ascii="Garamond" w:hAnsi="Garamond" w:cstheme="minorHAnsi"/>
                <w:sz w:val="21"/>
                <w:szCs w:val="21"/>
              </w:rPr>
              <w:t>Almanacke</w:t>
            </w:r>
            <w:proofErr w:type="spellEnd"/>
            <w:r w:rsidRPr="003037D2">
              <w:rPr>
                <w:rFonts w:ascii="Garamond" w:hAnsi="Garamond" w:cstheme="minorHAnsi"/>
                <w:sz w:val="21"/>
                <w:szCs w:val="21"/>
              </w:rPr>
              <w:t xml:space="preserve">, and Prognostication, for the </w:t>
            </w:r>
            <w:proofErr w:type="spellStart"/>
            <w:r w:rsidRPr="003037D2">
              <w:rPr>
                <w:rFonts w:ascii="Garamond" w:hAnsi="Garamond" w:cstheme="minorHAnsi"/>
                <w:sz w:val="21"/>
                <w:szCs w:val="21"/>
              </w:rPr>
              <w:t>yeare</w:t>
            </w:r>
            <w:proofErr w:type="spellEnd"/>
            <w:r w:rsidRPr="003037D2">
              <w:rPr>
                <w:rFonts w:ascii="Garamond" w:hAnsi="Garamond" w:cstheme="minorHAnsi"/>
                <w:sz w:val="21"/>
                <w:szCs w:val="21"/>
              </w:rPr>
              <w:t xml:space="preserve"> of our God 1615</w:t>
            </w:r>
          </w:p>
        </w:tc>
        <w:tc>
          <w:tcPr>
            <w:tcW w:w="1448" w:type="dxa"/>
            <w:noWrap/>
            <w:hideMark/>
          </w:tcPr>
          <w:p w14:paraId="47CA9373" w14:textId="77777777" w:rsidR="00A721D6" w:rsidRPr="003037D2" w:rsidRDefault="00A721D6" w:rsidP="00A721D6">
            <w:pPr>
              <w:spacing w:line="360" w:lineRule="auto"/>
              <w:rPr>
                <w:rFonts w:ascii="Garamond" w:hAnsi="Garamond" w:cstheme="minorHAnsi"/>
                <w:sz w:val="21"/>
                <w:szCs w:val="21"/>
              </w:rPr>
            </w:pPr>
            <w:proofErr w:type="spellStart"/>
            <w:r w:rsidRPr="003037D2">
              <w:rPr>
                <w:rFonts w:ascii="Garamond" w:hAnsi="Garamond" w:cstheme="minorHAnsi"/>
                <w:sz w:val="21"/>
                <w:szCs w:val="21"/>
              </w:rPr>
              <w:t>Bretnor</w:t>
            </w:r>
            <w:proofErr w:type="spellEnd"/>
            <w:r w:rsidRPr="003037D2">
              <w:rPr>
                <w:rFonts w:ascii="Garamond" w:hAnsi="Garamond" w:cstheme="minorHAnsi"/>
                <w:sz w:val="21"/>
                <w:szCs w:val="21"/>
              </w:rPr>
              <w:t xml:space="preserve">, Thomas </w:t>
            </w:r>
          </w:p>
        </w:tc>
        <w:tc>
          <w:tcPr>
            <w:tcW w:w="1781" w:type="dxa"/>
            <w:noWrap/>
            <w:hideMark/>
          </w:tcPr>
          <w:p w14:paraId="4187726D"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420.8. ESTC (RLIN), S001443</w:t>
            </w:r>
          </w:p>
        </w:tc>
        <w:tc>
          <w:tcPr>
            <w:tcW w:w="1237" w:type="dxa"/>
            <w:noWrap/>
            <w:hideMark/>
          </w:tcPr>
          <w:p w14:paraId="043D9CAA"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4AAFC9CC" w14:textId="77777777" w:rsidR="00A721D6" w:rsidRPr="003037D2" w:rsidRDefault="00A721D6" w:rsidP="00A721D6">
            <w:pPr>
              <w:spacing w:line="360" w:lineRule="auto"/>
              <w:rPr>
                <w:rFonts w:ascii="Garamond" w:hAnsi="Garamond" w:cstheme="minorHAnsi"/>
                <w:sz w:val="21"/>
                <w:szCs w:val="21"/>
              </w:rPr>
            </w:pPr>
          </w:p>
        </w:tc>
        <w:tc>
          <w:tcPr>
            <w:tcW w:w="1006" w:type="dxa"/>
            <w:noWrap/>
            <w:hideMark/>
          </w:tcPr>
          <w:p w14:paraId="54DD7F1C" w14:textId="77777777" w:rsidR="00A721D6" w:rsidRPr="003037D2" w:rsidRDefault="00A721D6" w:rsidP="00A721D6">
            <w:pPr>
              <w:spacing w:line="360" w:lineRule="auto"/>
              <w:rPr>
                <w:rFonts w:ascii="Garamond" w:hAnsi="Garamond" w:cstheme="minorHAnsi"/>
                <w:sz w:val="21"/>
                <w:szCs w:val="21"/>
              </w:rPr>
            </w:pPr>
          </w:p>
        </w:tc>
        <w:tc>
          <w:tcPr>
            <w:tcW w:w="947" w:type="dxa"/>
            <w:noWrap/>
            <w:hideMark/>
          </w:tcPr>
          <w:p w14:paraId="50623382"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625ED000"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6A5E7EAB" w14:textId="77777777" w:rsidR="00A721D6" w:rsidRPr="003037D2" w:rsidRDefault="00A721D6" w:rsidP="00A721D6">
            <w:pPr>
              <w:spacing w:line="360" w:lineRule="auto"/>
              <w:rPr>
                <w:rFonts w:ascii="Garamond" w:hAnsi="Garamond" w:cstheme="minorHAnsi"/>
                <w:sz w:val="21"/>
                <w:szCs w:val="21"/>
              </w:rPr>
            </w:pPr>
          </w:p>
        </w:tc>
      </w:tr>
      <w:tr w:rsidR="00A721D6" w:rsidRPr="003037D2" w14:paraId="6C589A47" w14:textId="77777777" w:rsidTr="00A721D6">
        <w:trPr>
          <w:trHeight w:val="300"/>
        </w:trPr>
        <w:tc>
          <w:tcPr>
            <w:tcW w:w="969" w:type="dxa"/>
            <w:noWrap/>
            <w:hideMark/>
          </w:tcPr>
          <w:p w14:paraId="78F95F49"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lastRenderedPageBreak/>
              <w:t>1615</w:t>
            </w:r>
          </w:p>
        </w:tc>
        <w:tc>
          <w:tcPr>
            <w:tcW w:w="3471" w:type="dxa"/>
            <w:gridSpan w:val="2"/>
            <w:noWrap/>
            <w:hideMark/>
          </w:tcPr>
          <w:p w14:paraId="11C95D2C"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An </w:t>
            </w:r>
            <w:proofErr w:type="spellStart"/>
            <w:r w:rsidRPr="003037D2">
              <w:rPr>
                <w:rFonts w:ascii="Garamond" w:hAnsi="Garamond" w:cstheme="minorHAnsi"/>
                <w:sz w:val="21"/>
                <w:szCs w:val="21"/>
              </w:rPr>
              <w:t>Almanacke</w:t>
            </w:r>
            <w:proofErr w:type="spellEnd"/>
            <w:r w:rsidRPr="003037D2">
              <w:rPr>
                <w:rFonts w:ascii="Garamond" w:hAnsi="Garamond" w:cstheme="minorHAnsi"/>
                <w:sz w:val="21"/>
                <w:szCs w:val="21"/>
              </w:rPr>
              <w:t xml:space="preserve"> and Prognostication for this </w:t>
            </w:r>
            <w:proofErr w:type="spellStart"/>
            <w:r w:rsidRPr="003037D2">
              <w:rPr>
                <w:rFonts w:ascii="Garamond" w:hAnsi="Garamond" w:cstheme="minorHAnsi"/>
                <w:sz w:val="21"/>
                <w:szCs w:val="21"/>
              </w:rPr>
              <w:t>yeare</w:t>
            </w:r>
            <w:proofErr w:type="spellEnd"/>
            <w:r w:rsidRPr="003037D2">
              <w:rPr>
                <w:rFonts w:ascii="Garamond" w:hAnsi="Garamond" w:cstheme="minorHAnsi"/>
                <w:sz w:val="21"/>
                <w:szCs w:val="21"/>
              </w:rPr>
              <w:t xml:space="preserve"> of our Lorde </w:t>
            </w:r>
          </w:p>
        </w:tc>
        <w:tc>
          <w:tcPr>
            <w:tcW w:w="1448" w:type="dxa"/>
            <w:noWrap/>
            <w:hideMark/>
          </w:tcPr>
          <w:p w14:paraId="750818F4"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Johnson, John </w:t>
            </w:r>
          </w:p>
        </w:tc>
        <w:tc>
          <w:tcPr>
            <w:tcW w:w="1781" w:type="dxa"/>
            <w:noWrap/>
            <w:hideMark/>
          </w:tcPr>
          <w:p w14:paraId="52B23CC7"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465.4. ESTC (RLIN), S000061.</w:t>
            </w:r>
          </w:p>
        </w:tc>
        <w:tc>
          <w:tcPr>
            <w:tcW w:w="1237" w:type="dxa"/>
            <w:noWrap/>
            <w:hideMark/>
          </w:tcPr>
          <w:p w14:paraId="1AD28D1D"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1A7C5DD1" w14:textId="77777777" w:rsidR="00A721D6" w:rsidRPr="003037D2" w:rsidRDefault="00A721D6" w:rsidP="00A721D6">
            <w:pPr>
              <w:spacing w:line="360" w:lineRule="auto"/>
              <w:rPr>
                <w:rFonts w:ascii="Garamond" w:hAnsi="Garamond" w:cstheme="minorHAnsi"/>
                <w:sz w:val="21"/>
                <w:szCs w:val="21"/>
              </w:rPr>
            </w:pPr>
          </w:p>
        </w:tc>
        <w:tc>
          <w:tcPr>
            <w:tcW w:w="1006" w:type="dxa"/>
            <w:noWrap/>
            <w:hideMark/>
          </w:tcPr>
          <w:p w14:paraId="3027CAF5" w14:textId="77777777" w:rsidR="00A721D6" w:rsidRPr="003037D2" w:rsidRDefault="00A721D6" w:rsidP="00A721D6">
            <w:pPr>
              <w:spacing w:line="360" w:lineRule="auto"/>
              <w:rPr>
                <w:rFonts w:ascii="Garamond" w:hAnsi="Garamond" w:cstheme="minorHAnsi"/>
                <w:sz w:val="21"/>
                <w:szCs w:val="21"/>
              </w:rPr>
            </w:pPr>
          </w:p>
        </w:tc>
        <w:tc>
          <w:tcPr>
            <w:tcW w:w="947" w:type="dxa"/>
            <w:noWrap/>
            <w:hideMark/>
          </w:tcPr>
          <w:p w14:paraId="01A1DD0B"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39A99FC6"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3B635249" w14:textId="77777777" w:rsidR="00A721D6" w:rsidRPr="003037D2" w:rsidRDefault="00A721D6" w:rsidP="00A721D6">
            <w:pPr>
              <w:spacing w:line="360" w:lineRule="auto"/>
              <w:rPr>
                <w:rFonts w:ascii="Garamond" w:hAnsi="Garamond" w:cstheme="minorHAnsi"/>
                <w:sz w:val="21"/>
                <w:szCs w:val="21"/>
              </w:rPr>
            </w:pPr>
          </w:p>
        </w:tc>
      </w:tr>
      <w:tr w:rsidR="00A721D6" w:rsidRPr="003037D2" w14:paraId="3C7F6714" w14:textId="77777777" w:rsidTr="00A721D6">
        <w:trPr>
          <w:trHeight w:val="300"/>
        </w:trPr>
        <w:tc>
          <w:tcPr>
            <w:tcW w:w="969" w:type="dxa"/>
            <w:noWrap/>
            <w:hideMark/>
          </w:tcPr>
          <w:p w14:paraId="1E2374E1"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1616</w:t>
            </w:r>
          </w:p>
        </w:tc>
        <w:tc>
          <w:tcPr>
            <w:tcW w:w="3471" w:type="dxa"/>
            <w:gridSpan w:val="2"/>
            <w:noWrap/>
            <w:hideMark/>
          </w:tcPr>
          <w:p w14:paraId="5147A28B"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 new </w:t>
            </w:r>
            <w:proofErr w:type="spellStart"/>
            <w:r w:rsidRPr="003037D2">
              <w:rPr>
                <w:rFonts w:ascii="Garamond" w:hAnsi="Garamond" w:cstheme="minorHAnsi"/>
                <w:sz w:val="21"/>
                <w:szCs w:val="21"/>
              </w:rPr>
              <w:t>Almanacke</w:t>
            </w:r>
            <w:proofErr w:type="spellEnd"/>
            <w:r w:rsidRPr="003037D2">
              <w:rPr>
                <w:rFonts w:ascii="Garamond" w:hAnsi="Garamond" w:cstheme="minorHAnsi"/>
                <w:sz w:val="21"/>
                <w:szCs w:val="21"/>
              </w:rPr>
              <w:t xml:space="preserve"> and </w:t>
            </w:r>
            <w:proofErr w:type="spellStart"/>
            <w:r w:rsidRPr="003037D2">
              <w:rPr>
                <w:rFonts w:ascii="Garamond" w:hAnsi="Garamond" w:cstheme="minorHAnsi"/>
                <w:sz w:val="21"/>
                <w:szCs w:val="21"/>
              </w:rPr>
              <w:t>Prognosstication</w:t>
            </w:r>
            <w:proofErr w:type="spellEnd"/>
            <w:r w:rsidRPr="003037D2">
              <w:rPr>
                <w:rFonts w:ascii="Garamond" w:hAnsi="Garamond" w:cstheme="minorHAnsi"/>
                <w:sz w:val="21"/>
                <w:szCs w:val="21"/>
              </w:rPr>
              <w:t xml:space="preserve">, for the </w:t>
            </w:r>
            <w:proofErr w:type="spellStart"/>
            <w:r w:rsidRPr="003037D2">
              <w:rPr>
                <w:rFonts w:ascii="Garamond" w:hAnsi="Garamond" w:cstheme="minorHAnsi"/>
                <w:sz w:val="21"/>
                <w:szCs w:val="21"/>
              </w:rPr>
              <w:t>yeare</w:t>
            </w:r>
            <w:proofErr w:type="spellEnd"/>
            <w:r w:rsidRPr="003037D2">
              <w:rPr>
                <w:rFonts w:ascii="Garamond" w:hAnsi="Garamond" w:cstheme="minorHAnsi"/>
                <w:sz w:val="21"/>
                <w:szCs w:val="21"/>
              </w:rPr>
              <w:t xml:space="preserve"> of our Lorde God </w:t>
            </w:r>
          </w:p>
        </w:tc>
        <w:tc>
          <w:tcPr>
            <w:tcW w:w="1448" w:type="dxa"/>
            <w:noWrap/>
            <w:hideMark/>
          </w:tcPr>
          <w:p w14:paraId="4433A149" w14:textId="77777777" w:rsidR="00A721D6" w:rsidRPr="003037D2" w:rsidRDefault="00A721D6" w:rsidP="00A721D6">
            <w:pPr>
              <w:spacing w:line="360" w:lineRule="auto"/>
              <w:rPr>
                <w:rFonts w:ascii="Garamond" w:hAnsi="Garamond" w:cstheme="minorHAnsi"/>
                <w:sz w:val="21"/>
                <w:szCs w:val="21"/>
              </w:rPr>
            </w:pPr>
            <w:proofErr w:type="spellStart"/>
            <w:r w:rsidRPr="003037D2">
              <w:rPr>
                <w:rFonts w:ascii="Garamond" w:hAnsi="Garamond" w:cstheme="minorHAnsi"/>
                <w:sz w:val="21"/>
                <w:szCs w:val="21"/>
              </w:rPr>
              <w:t>Bretnor</w:t>
            </w:r>
            <w:proofErr w:type="spellEnd"/>
            <w:r w:rsidRPr="003037D2">
              <w:rPr>
                <w:rFonts w:ascii="Garamond" w:hAnsi="Garamond" w:cstheme="minorHAnsi"/>
                <w:sz w:val="21"/>
                <w:szCs w:val="21"/>
              </w:rPr>
              <w:t xml:space="preserve">, Thomas </w:t>
            </w:r>
          </w:p>
        </w:tc>
        <w:tc>
          <w:tcPr>
            <w:tcW w:w="1781" w:type="dxa"/>
            <w:noWrap/>
            <w:hideMark/>
          </w:tcPr>
          <w:p w14:paraId="0BBF51DA"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420.9. ESTC (RLIN), S121907.</w:t>
            </w:r>
          </w:p>
        </w:tc>
        <w:tc>
          <w:tcPr>
            <w:tcW w:w="1237" w:type="dxa"/>
            <w:noWrap/>
            <w:hideMark/>
          </w:tcPr>
          <w:p w14:paraId="45B3D3FD"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1ED868CE" w14:textId="77777777" w:rsidR="00A721D6" w:rsidRPr="003037D2" w:rsidRDefault="00A721D6" w:rsidP="00A721D6">
            <w:pPr>
              <w:spacing w:line="360" w:lineRule="auto"/>
              <w:rPr>
                <w:rFonts w:ascii="Garamond" w:hAnsi="Garamond" w:cstheme="minorHAnsi"/>
                <w:sz w:val="21"/>
                <w:szCs w:val="21"/>
              </w:rPr>
            </w:pPr>
          </w:p>
        </w:tc>
        <w:tc>
          <w:tcPr>
            <w:tcW w:w="1006" w:type="dxa"/>
            <w:noWrap/>
            <w:hideMark/>
          </w:tcPr>
          <w:p w14:paraId="6F395CC8"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947" w:type="dxa"/>
            <w:noWrap/>
            <w:hideMark/>
          </w:tcPr>
          <w:p w14:paraId="06A95C78"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2A4D2C28"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6DA3B5B9" w14:textId="77777777" w:rsidR="00A721D6" w:rsidRPr="003037D2" w:rsidRDefault="00A721D6" w:rsidP="00A721D6">
            <w:pPr>
              <w:spacing w:line="360" w:lineRule="auto"/>
              <w:rPr>
                <w:rFonts w:ascii="Garamond" w:hAnsi="Garamond" w:cstheme="minorHAnsi"/>
                <w:sz w:val="21"/>
                <w:szCs w:val="21"/>
              </w:rPr>
            </w:pPr>
          </w:p>
        </w:tc>
      </w:tr>
      <w:tr w:rsidR="00A721D6" w:rsidRPr="003037D2" w14:paraId="0B1B3FC1" w14:textId="77777777" w:rsidTr="00A721D6">
        <w:trPr>
          <w:trHeight w:val="300"/>
        </w:trPr>
        <w:tc>
          <w:tcPr>
            <w:tcW w:w="969" w:type="dxa"/>
            <w:noWrap/>
            <w:hideMark/>
          </w:tcPr>
          <w:p w14:paraId="7EA24141"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1617</w:t>
            </w:r>
          </w:p>
        </w:tc>
        <w:tc>
          <w:tcPr>
            <w:tcW w:w="3471" w:type="dxa"/>
            <w:gridSpan w:val="2"/>
            <w:noWrap/>
            <w:hideMark/>
          </w:tcPr>
          <w:p w14:paraId="31AE5665"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 </w:t>
            </w:r>
            <w:proofErr w:type="spellStart"/>
            <w:r w:rsidRPr="003037D2">
              <w:rPr>
                <w:rFonts w:ascii="Garamond" w:hAnsi="Garamond" w:cstheme="minorHAnsi"/>
                <w:sz w:val="21"/>
                <w:szCs w:val="21"/>
              </w:rPr>
              <w:t>Newe</w:t>
            </w:r>
            <w:proofErr w:type="spellEnd"/>
            <w:r w:rsidRPr="003037D2">
              <w:rPr>
                <w:rFonts w:ascii="Garamond" w:hAnsi="Garamond" w:cstheme="minorHAnsi"/>
                <w:sz w:val="21"/>
                <w:szCs w:val="21"/>
              </w:rPr>
              <w:t xml:space="preserve"> </w:t>
            </w:r>
            <w:proofErr w:type="spellStart"/>
            <w:r w:rsidRPr="003037D2">
              <w:rPr>
                <w:rFonts w:ascii="Garamond" w:hAnsi="Garamond" w:cstheme="minorHAnsi"/>
                <w:sz w:val="21"/>
                <w:szCs w:val="21"/>
              </w:rPr>
              <w:t>Almanacke</w:t>
            </w:r>
            <w:proofErr w:type="spellEnd"/>
            <w:r w:rsidRPr="003037D2">
              <w:rPr>
                <w:rFonts w:ascii="Garamond" w:hAnsi="Garamond" w:cstheme="minorHAnsi"/>
                <w:sz w:val="21"/>
                <w:szCs w:val="21"/>
              </w:rPr>
              <w:t xml:space="preserve"> and Prognostication, for the </w:t>
            </w:r>
            <w:proofErr w:type="spellStart"/>
            <w:r w:rsidRPr="003037D2">
              <w:rPr>
                <w:rFonts w:ascii="Garamond" w:hAnsi="Garamond" w:cstheme="minorHAnsi"/>
                <w:sz w:val="21"/>
                <w:szCs w:val="21"/>
              </w:rPr>
              <w:t>yeare</w:t>
            </w:r>
            <w:proofErr w:type="spellEnd"/>
            <w:r w:rsidRPr="003037D2">
              <w:rPr>
                <w:rFonts w:ascii="Garamond" w:hAnsi="Garamond" w:cstheme="minorHAnsi"/>
                <w:sz w:val="21"/>
                <w:szCs w:val="21"/>
              </w:rPr>
              <w:t xml:space="preserve"> of our Lord God, 1617 </w:t>
            </w:r>
          </w:p>
        </w:tc>
        <w:tc>
          <w:tcPr>
            <w:tcW w:w="1448" w:type="dxa"/>
            <w:noWrap/>
            <w:hideMark/>
          </w:tcPr>
          <w:p w14:paraId="08353D3B" w14:textId="77777777" w:rsidR="00A721D6" w:rsidRPr="003037D2" w:rsidRDefault="00A721D6" w:rsidP="00A721D6">
            <w:pPr>
              <w:spacing w:line="360" w:lineRule="auto"/>
              <w:rPr>
                <w:rFonts w:ascii="Garamond" w:hAnsi="Garamond" w:cstheme="minorHAnsi"/>
                <w:sz w:val="21"/>
                <w:szCs w:val="21"/>
              </w:rPr>
            </w:pPr>
            <w:proofErr w:type="spellStart"/>
            <w:r w:rsidRPr="003037D2">
              <w:rPr>
                <w:rFonts w:ascii="Garamond" w:hAnsi="Garamond" w:cstheme="minorHAnsi"/>
                <w:sz w:val="21"/>
                <w:szCs w:val="21"/>
              </w:rPr>
              <w:t>Bretnor</w:t>
            </w:r>
            <w:proofErr w:type="spellEnd"/>
            <w:r w:rsidRPr="003037D2">
              <w:rPr>
                <w:rFonts w:ascii="Garamond" w:hAnsi="Garamond" w:cstheme="minorHAnsi"/>
                <w:sz w:val="21"/>
                <w:szCs w:val="21"/>
              </w:rPr>
              <w:t xml:space="preserve">, Thomas </w:t>
            </w:r>
          </w:p>
        </w:tc>
        <w:tc>
          <w:tcPr>
            <w:tcW w:w="1781" w:type="dxa"/>
            <w:noWrap/>
            <w:hideMark/>
          </w:tcPr>
          <w:p w14:paraId="7D7AC06B"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420.10. ESTC (RLIN), S001445</w:t>
            </w:r>
          </w:p>
        </w:tc>
        <w:tc>
          <w:tcPr>
            <w:tcW w:w="1237" w:type="dxa"/>
            <w:noWrap/>
            <w:hideMark/>
          </w:tcPr>
          <w:p w14:paraId="6934CDB7"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29C4E7A2" w14:textId="77777777" w:rsidR="00A721D6" w:rsidRPr="003037D2" w:rsidRDefault="00A721D6" w:rsidP="00A721D6">
            <w:pPr>
              <w:spacing w:line="360" w:lineRule="auto"/>
              <w:rPr>
                <w:rFonts w:ascii="Garamond" w:hAnsi="Garamond" w:cstheme="minorHAnsi"/>
                <w:sz w:val="21"/>
                <w:szCs w:val="21"/>
              </w:rPr>
            </w:pPr>
          </w:p>
        </w:tc>
        <w:tc>
          <w:tcPr>
            <w:tcW w:w="1006" w:type="dxa"/>
            <w:noWrap/>
            <w:hideMark/>
          </w:tcPr>
          <w:p w14:paraId="01F6F8E3"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947" w:type="dxa"/>
            <w:noWrap/>
            <w:hideMark/>
          </w:tcPr>
          <w:p w14:paraId="7AB6D76E"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5373954B"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1433323E" w14:textId="77777777" w:rsidR="00A721D6" w:rsidRPr="003037D2" w:rsidRDefault="00A721D6" w:rsidP="00A721D6">
            <w:pPr>
              <w:spacing w:line="360" w:lineRule="auto"/>
              <w:rPr>
                <w:rFonts w:ascii="Garamond" w:hAnsi="Garamond" w:cstheme="minorHAnsi"/>
                <w:sz w:val="21"/>
                <w:szCs w:val="21"/>
              </w:rPr>
            </w:pPr>
          </w:p>
        </w:tc>
      </w:tr>
      <w:tr w:rsidR="00A721D6" w:rsidRPr="003037D2" w14:paraId="0F3F212A" w14:textId="77777777" w:rsidTr="00A721D6">
        <w:trPr>
          <w:trHeight w:val="300"/>
        </w:trPr>
        <w:tc>
          <w:tcPr>
            <w:tcW w:w="969" w:type="dxa"/>
            <w:noWrap/>
            <w:hideMark/>
          </w:tcPr>
          <w:p w14:paraId="2F6990AD"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1617</w:t>
            </w:r>
          </w:p>
        </w:tc>
        <w:tc>
          <w:tcPr>
            <w:tcW w:w="3471" w:type="dxa"/>
            <w:gridSpan w:val="2"/>
            <w:noWrap/>
            <w:hideMark/>
          </w:tcPr>
          <w:p w14:paraId="7FE01436"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 </w:t>
            </w:r>
            <w:proofErr w:type="spellStart"/>
            <w:r w:rsidRPr="003037D2">
              <w:rPr>
                <w:rFonts w:ascii="Garamond" w:hAnsi="Garamond" w:cstheme="minorHAnsi"/>
                <w:sz w:val="21"/>
                <w:szCs w:val="21"/>
              </w:rPr>
              <w:t>plaine</w:t>
            </w:r>
            <w:proofErr w:type="spellEnd"/>
            <w:r w:rsidRPr="003037D2">
              <w:rPr>
                <w:rFonts w:ascii="Garamond" w:hAnsi="Garamond" w:cstheme="minorHAnsi"/>
                <w:sz w:val="21"/>
                <w:szCs w:val="21"/>
              </w:rPr>
              <w:t xml:space="preserve"> Almanack or Prognostication for the </w:t>
            </w:r>
            <w:proofErr w:type="spellStart"/>
            <w:r w:rsidRPr="003037D2">
              <w:rPr>
                <w:rFonts w:ascii="Garamond" w:hAnsi="Garamond" w:cstheme="minorHAnsi"/>
                <w:sz w:val="21"/>
                <w:szCs w:val="21"/>
              </w:rPr>
              <w:t>yeare</w:t>
            </w:r>
            <w:proofErr w:type="spellEnd"/>
            <w:r w:rsidRPr="003037D2">
              <w:rPr>
                <w:rFonts w:ascii="Garamond" w:hAnsi="Garamond" w:cstheme="minorHAnsi"/>
                <w:sz w:val="21"/>
                <w:szCs w:val="21"/>
              </w:rPr>
              <w:t xml:space="preserve"> of our Lord God </w:t>
            </w:r>
          </w:p>
        </w:tc>
        <w:tc>
          <w:tcPr>
            <w:tcW w:w="1448" w:type="dxa"/>
            <w:noWrap/>
            <w:hideMark/>
          </w:tcPr>
          <w:p w14:paraId="527453E0"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Woodhouse, John </w:t>
            </w:r>
          </w:p>
        </w:tc>
        <w:tc>
          <w:tcPr>
            <w:tcW w:w="1781" w:type="dxa"/>
            <w:noWrap/>
            <w:hideMark/>
          </w:tcPr>
          <w:p w14:paraId="53C2A6BE"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531.7.   ESTC (RLIN), S001479.</w:t>
            </w:r>
          </w:p>
        </w:tc>
        <w:tc>
          <w:tcPr>
            <w:tcW w:w="1237" w:type="dxa"/>
            <w:noWrap/>
            <w:hideMark/>
          </w:tcPr>
          <w:p w14:paraId="6D83B637"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70F24B19" w14:textId="77777777" w:rsidR="00A721D6" w:rsidRPr="003037D2" w:rsidRDefault="00A721D6" w:rsidP="00A721D6">
            <w:pPr>
              <w:spacing w:line="360" w:lineRule="auto"/>
              <w:rPr>
                <w:rFonts w:ascii="Garamond" w:hAnsi="Garamond" w:cstheme="minorHAnsi"/>
                <w:sz w:val="21"/>
                <w:szCs w:val="21"/>
              </w:rPr>
            </w:pPr>
          </w:p>
        </w:tc>
        <w:tc>
          <w:tcPr>
            <w:tcW w:w="1006" w:type="dxa"/>
            <w:noWrap/>
            <w:hideMark/>
          </w:tcPr>
          <w:p w14:paraId="1A37E64F" w14:textId="77777777" w:rsidR="00A721D6" w:rsidRPr="003037D2" w:rsidRDefault="00A721D6" w:rsidP="00A721D6">
            <w:pPr>
              <w:spacing w:line="360" w:lineRule="auto"/>
              <w:rPr>
                <w:rFonts w:ascii="Garamond" w:hAnsi="Garamond" w:cstheme="minorHAnsi"/>
                <w:sz w:val="21"/>
                <w:szCs w:val="21"/>
              </w:rPr>
            </w:pPr>
          </w:p>
        </w:tc>
        <w:tc>
          <w:tcPr>
            <w:tcW w:w="947" w:type="dxa"/>
            <w:noWrap/>
            <w:hideMark/>
          </w:tcPr>
          <w:p w14:paraId="6D8B31A6"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0FFC9C0D"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68FB642E" w14:textId="77777777" w:rsidR="00A721D6" w:rsidRPr="003037D2" w:rsidRDefault="00A721D6" w:rsidP="00A721D6">
            <w:pPr>
              <w:spacing w:line="360" w:lineRule="auto"/>
              <w:rPr>
                <w:rFonts w:ascii="Garamond" w:hAnsi="Garamond" w:cstheme="minorHAnsi"/>
                <w:sz w:val="21"/>
                <w:szCs w:val="21"/>
              </w:rPr>
            </w:pPr>
          </w:p>
        </w:tc>
      </w:tr>
      <w:tr w:rsidR="00A721D6" w:rsidRPr="003037D2" w14:paraId="0CAF8686" w14:textId="77777777" w:rsidTr="00A721D6">
        <w:trPr>
          <w:trHeight w:val="300"/>
        </w:trPr>
        <w:tc>
          <w:tcPr>
            <w:tcW w:w="969" w:type="dxa"/>
            <w:noWrap/>
            <w:hideMark/>
          </w:tcPr>
          <w:p w14:paraId="03E803AE"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1618</w:t>
            </w:r>
          </w:p>
        </w:tc>
        <w:tc>
          <w:tcPr>
            <w:tcW w:w="3471" w:type="dxa"/>
            <w:gridSpan w:val="2"/>
            <w:noWrap/>
            <w:hideMark/>
          </w:tcPr>
          <w:p w14:paraId="76E1DF42"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 </w:t>
            </w:r>
            <w:proofErr w:type="spellStart"/>
            <w:r w:rsidRPr="003037D2">
              <w:rPr>
                <w:rFonts w:ascii="Garamond" w:hAnsi="Garamond" w:cstheme="minorHAnsi"/>
                <w:sz w:val="21"/>
                <w:szCs w:val="21"/>
              </w:rPr>
              <w:t>newe</w:t>
            </w:r>
            <w:proofErr w:type="spellEnd"/>
            <w:r w:rsidRPr="003037D2">
              <w:rPr>
                <w:rFonts w:ascii="Garamond" w:hAnsi="Garamond" w:cstheme="minorHAnsi"/>
                <w:sz w:val="21"/>
                <w:szCs w:val="21"/>
              </w:rPr>
              <w:t xml:space="preserve"> </w:t>
            </w:r>
            <w:proofErr w:type="spellStart"/>
            <w:r w:rsidRPr="003037D2">
              <w:rPr>
                <w:rFonts w:ascii="Garamond" w:hAnsi="Garamond" w:cstheme="minorHAnsi"/>
                <w:sz w:val="21"/>
                <w:szCs w:val="21"/>
              </w:rPr>
              <w:t>almanacke</w:t>
            </w:r>
            <w:proofErr w:type="spellEnd"/>
            <w:r w:rsidRPr="003037D2">
              <w:rPr>
                <w:rFonts w:ascii="Garamond" w:hAnsi="Garamond" w:cstheme="minorHAnsi"/>
                <w:sz w:val="21"/>
                <w:szCs w:val="21"/>
              </w:rPr>
              <w:t xml:space="preserve"> and prognostication, for the </w:t>
            </w:r>
            <w:proofErr w:type="spellStart"/>
            <w:r w:rsidRPr="003037D2">
              <w:rPr>
                <w:rFonts w:ascii="Garamond" w:hAnsi="Garamond" w:cstheme="minorHAnsi"/>
                <w:sz w:val="21"/>
                <w:szCs w:val="21"/>
              </w:rPr>
              <w:t>yeare</w:t>
            </w:r>
            <w:proofErr w:type="spellEnd"/>
            <w:r w:rsidRPr="003037D2">
              <w:rPr>
                <w:rFonts w:ascii="Garamond" w:hAnsi="Garamond" w:cstheme="minorHAnsi"/>
                <w:sz w:val="21"/>
                <w:szCs w:val="21"/>
              </w:rPr>
              <w:t xml:space="preserve"> of our Lord God, 1616</w:t>
            </w:r>
          </w:p>
        </w:tc>
        <w:tc>
          <w:tcPr>
            <w:tcW w:w="1448" w:type="dxa"/>
            <w:noWrap/>
            <w:hideMark/>
          </w:tcPr>
          <w:p w14:paraId="523ED7E5" w14:textId="77777777" w:rsidR="00A721D6" w:rsidRPr="003037D2" w:rsidRDefault="00A721D6" w:rsidP="00A721D6">
            <w:pPr>
              <w:spacing w:line="360" w:lineRule="auto"/>
              <w:rPr>
                <w:rFonts w:ascii="Garamond" w:hAnsi="Garamond" w:cstheme="minorHAnsi"/>
                <w:sz w:val="21"/>
                <w:szCs w:val="21"/>
              </w:rPr>
            </w:pPr>
            <w:proofErr w:type="spellStart"/>
            <w:r w:rsidRPr="003037D2">
              <w:rPr>
                <w:rFonts w:ascii="Garamond" w:hAnsi="Garamond" w:cstheme="minorHAnsi"/>
                <w:sz w:val="21"/>
                <w:szCs w:val="21"/>
              </w:rPr>
              <w:t>Bretnor</w:t>
            </w:r>
            <w:proofErr w:type="spellEnd"/>
            <w:r w:rsidRPr="003037D2">
              <w:rPr>
                <w:rFonts w:ascii="Garamond" w:hAnsi="Garamond" w:cstheme="minorHAnsi"/>
                <w:sz w:val="21"/>
                <w:szCs w:val="21"/>
              </w:rPr>
              <w:t xml:space="preserve">, Thomas </w:t>
            </w:r>
          </w:p>
        </w:tc>
        <w:tc>
          <w:tcPr>
            <w:tcW w:w="1781" w:type="dxa"/>
            <w:noWrap/>
            <w:hideMark/>
          </w:tcPr>
          <w:p w14:paraId="4FED3BD7"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420.9. ESTC (RLIN), S121907.</w:t>
            </w:r>
          </w:p>
        </w:tc>
        <w:tc>
          <w:tcPr>
            <w:tcW w:w="1237" w:type="dxa"/>
            <w:noWrap/>
            <w:hideMark/>
          </w:tcPr>
          <w:p w14:paraId="5B1D842A"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16643007"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06" w:type="dxa"/>
            <w:noWrap/>
            <w:hideMark/>
          </w:tcPr>
          <w:p w14:paraId="1C933E2F"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947" w:type="dxa"/>
            <w:noWrap/>
            <w:hideMark/>
          </w:tcPr>
          <w:p w14:paraId="57C5490B"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46901F23"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22074A06" w14:textId="77777777" w:rsidR="00A721D6" w:rsidRPr="003037D2" w:rsidRDefault="00A721D6" w:rsidP="00A721D6">
            <w:pPr>
              <w:spacing w:line="360" w:lineRule="auto"/>
              <w:rPr>
                <w:rFonts w:ascii="Garamond" w:hAnsi="Garamond" w:cstheme="minorHAnsi"/>
                <w:sz w:val="21"/>
                <w:szCs w:val="21"/>
              </w:rPr>
            </w:pPr>
          </w:p>
        </w:tc>
      </w:tr>
      <w:tr w:rsidR="00A721D6" w:rsidRPr="003037D2" w14:paraId="6799F9A2" w14:textId="77777777" w:rsidTr="00A721D6">
        <w:trPr>
          <w:trHeight w:val="300"/>
        </w:trPr>
        <w:tc>
          <w:tcPr>
            <w:tcW w:w="969" w:type="dxa"/>
            <w:noWrap/>
            <w:hideMark/>
          </w:tcPr>
          <w:p w14:paraId="44C87AF3"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1618</w:t>
            </w:r>
          </w:p>
        </w:tc>
        <w:tc>
          <w:tcPr>
            <w:tcW w:w="3471" w:type="dxa"/>
            <w:gridSpan w:val="2"/>
            <w:noWrap/>
            <w:hideMark/>
          </w:tcPr>
          <w:p w14:paraId="5A21A5ED"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 new </w:t>
            </w:r>
            <w:proofErr w:type="spellStart"/>
            <w:r w:rsidRPr="003037D2">
              <w:rPr>
                <w:rFonts w:ascii="Garamond" w:hAnsi="Garamond" w:cstheme="minorHAnsi"/>
                <w:sz w:val="21"/>
                <w:szCs w:val="21"/>
              </w:rPr>
              <w:t>Almanacke</w:t>
            </w:r>
            <w:proofErr w:type="spellEnd"/>
            <w:r w:rsidRPr="003037D2">
              <w:rPr>
                <w:rFonts w:ascii="Garamond" w:hAnsi="Garamond" w:cstheme="minorHAnsi"/>
                <w:sz w:val="21"/>
                <w:szCs w:val="21"/>
              </w:rPr>
              <w:t xml:space="preserve"> and prognostication for the year of our God 1618</w:t>
            </w:r>
          </w:p>
        </w:tc>
        <w:tc>
          <w:tcPr>
            <w:tcW w:w="1448" w:type="dxa"/>
            <w:noWrap/>
            <w:hideMark/>
          </w:tcPr>
          <w:p w14:paraId="57E75348" w14:textId="77777777" w:rsidR="00A721D6" w:rsidRPr="003037D2" w:rsidRDefault="00A721D6" w:rsidP="00A721D6">
            <w:pPr>
              <w:spacing w:line="360" w:lineRule="auto"/>
              <w:rPr>
                <w:rFonts w:ascii="Garamond" w:hAnsi="Garamond" w:cstheme="minorHAnsi"/>
                <w:sz w:val="21"/>
                <w:szCs w:val="21"/>
              </w:rPr>
            </w:pPr>
            <w:proofErr w:type="spellStart"/>
            <w:r w:rsidRPr="003037D2">
              <w:rPr>
                <w:rFonts w:ascii="Garamond" w:hAnsi="Garamond" w:cstheme="minorHAnsi"/>
                <w:sz w:val="21"/>
                <w:szCs w:val="21"/>
              </w:rPr>
              <w:t>Bretnor</w:t>
            </w:r>
            <w:proofErr w:type="spellEnd"/>
            <w:r w:rsidRPr="003037D2">
              <w:rPr>
                <w:rFonts w:ascii="Garamond" w:hAnsi="Garamond" w:cstheme="minorHAnsi"/>
                <w:sz w:val="21"/>
                <w:szCs w:val="21"/>
              </w:rPr>
              <w:t xml:space="preserve">, Thomas </w:t>
            </w:r>
          </w:p>
        </w:tc>
        <w:tc>
          <w:tcPr>
            <w:tcW w:w="1781" w:type="dxa"/>
            <w:noWrap/>
            <w:hideMark/>
          </w:tcPr>
          <w:p w14:paraId="6072D75B"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420.11. ESTC (RLIN), S001767</w:t>
            </w:r>
          </w:p>
        </w:tc>
        <w:tc>
          <w:tcPr>
            <w:tcW w:w="1237" w:type="dxa"/>
            <w:noWrap/>
            <w:hideMark/>
          </w:tcPr>
          <w:p w14:paraId="30BCB4F9"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5277720C"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06" w:type="dxa"/>
            <w:noWrap/>
            <w:hideMark/>
          </w:tcPr>
          <w:p w14:paraId="4B5F1C09" w14:textId="77777777" w:rsidR="00A721D6" w:rsidRPr="003037D2" w:rsidRDefault="00A721D6" w:rsidP="00A721D6">
            <w:pPr>
              <w:spacing w:line="360" w:lineRule="auto"/>
              <w:rPr>
                <w:rFonts w:ascii="Garamond" w:hAnsi="Garamond" w:cstheme="minorHAnsi"/>
                <w:sz w:val="21"/>
                <w:szCs w:val="21"/>
              </w:rPr>
            </w:pPr>
          </w:p>
        </w:tc>
        <w:tc>
          <w:tcPr>
            <w:tcW w:w="947" w:type="dxa"/>
            <w:noWrap/>
            <w:hideMark/>
          </w:tcPr>
          <w:p w14:paraId="1AC371C5"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56F046A4"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5AD2E4A2" w14:textId="77777777" w:rsidR="00A721D6" w:rsidRPr="003037D2" w:rsidRDefault="00A721D6" w:rsidP="00A721D6">
            <w:pPr>
              <w:spacing w:line="360" w:lineRule="auto"/>
              <w:rPr>
                <w:rFonts w:ascii="Garamond" w:hAnsi="Garamond" w:cstheme="minorHAnsi"/>
                <w:sz w:val="21"/>
                <w:szCs w:val="21"/>
              </w:rPr>
            </w:pPr>
          </w:p>
        </w:tc>
      </w:tr>
      <w:tr w:rsidR="00A721D6" w:rsidRPr="003037D2" w14:paraId="5BDF7B07" w14:textId="77777777" w:rsidTr="00A721D6">
        <w:trPr>
          <w:trHeight w:val="300"/>
        </w:trPr>
        <w:tc>
          <w:tcPr>
            <w:tcW w:w="969" w:type="dxa"/>
            <w:noWrap/>
            <w:hideMark/>
          </w:tcPr>
          <w:p w14:paraId="190AB371"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1618</w:t>
            </w:r>
          </w:p>
        </w:tc>
        <w:tc>
          <w:tcPr>
            <w:tcW w:w="3471" w:type="dxa"/>
            <w:gridSpan w:val="2"/>
            <w:noWrap/>
            <w:hideMark/>
          </w:tcPr>
          <w:p w14:paraId="4A92A5A1"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 new Almanac </w:t>
            </w:r>
          </w:p>
        </w:tc>
        <w:tc>
          <w:tcPr>
            <w:tcW w:w="1448" w:type="dxa"/>
            <w:noWrap/>
            <w:hideMark/>
          </w:tcPr>
          <w:p w14:paraId="76E8F870" w14:textId="77777777" w:rsidR="00A721D6" w:rsidRPr="003037D2" w:rsidRDefault="00A721D6" w:rsidP="00A721D6">
            <w:pPr>
              <w:spacing w:line="360" w:lineRule="auto"/>
              <w:rPr>
                <w:rFonts w:ascii="Garamond" w:hAnsi="Garamond" w:cstheme="minorHAnsi"/>
                <w:sz w:val="21"/>
                <w:szCs w:val="21"/>
              </w:rPr>
            </w:pPr>
            <w:proofErr w:type="spellStart"/>
            <w:r w:rsidRPr="003037D2">
              <w:rPr>
                <w:rFonts w:ascii="Garamond" w:hAnsi="Garamond" w:cstheme="minorHAnsi"/>
                <w:sz w:val="21"/>
                <w:szCs w:val="21"/>
              </w:rPr>
              <w:t>Bretnor</w:t>
            </w:r>
            <w:proofErr w:type="spellEnd"/>
            <w:r w:rsidRPr="003037D2">
              <w:rPr>
                <w:rFonts w:ascii="Garamond" w:hAnsi="Garamond" w:cstheme="minorHAnsi"/>
                <w:sz w:val="21"/>
                <w:szCs w:val="21"/>
              </w:rPr>
              <w:t xml:space="preserve">, Thomas </w:t>
            </w:r>
          </w:p>
        </w:tc>
        <w:tc>
          <w:tcPr>
            <w:tcW w:w="1781" w:type="dxa"/>
            <w:noWrap/>
            <w:hideMark/>
          </w:tcPr>
          <w:p w14:paraId="628FD08E"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420.11. ESTC (RLIN), S001767</w:t>
            </w:r>
          </w:p>
        </w:tc>
        <w:tc>
          <w:tcPr>
            <w:tcW w:w="1237" w:type="dxa"/>
            <w:noWrap/>
            <w:hideMark/>
          </w:tcPr>
          <w:p w14:paraId="4240B8C5"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47FD2798"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06" w:type="dxa"/>
            <w:noWrap/>
            <w:hideMark/>
          </w:tcPr>
          <w:p w14:paraId="55E4DDBD" w14:textId="77777777" w:rsidR="00A721D6" w:rsidRPr="003037D2" w:rsidRDefault="00A721D6" w:rsidP="00A721D6">
            <w:pPr>
              <w:spacing w:line="360" w:lineRule="auto"/>
              <w:rPr>
                <w:rFonts w:ascii="Garamond" w:hAnsi="Garamond" w:cstheme="minorHAnsi"/>
                <w:sz w:val="21"/>
                <w:szCs w:val="21"/>
              </w:rPr>
            </w:pPr>
          </w:p>
        </w:tc>
        <w:tc>
          <w:tcPr>
            <w:tcW w:w="947" w:type="dxa"/>
            <w:noWrap/>
            <w:hideMark/>
          </w:tcPr>
          <w:p w14:paraId="481B8E9A"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643A75D9"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31C7DFBF" w14:textId="77777777" w:rsidR="00A721D6" w:rsidRPr="003037D2" w:rsidRDefault="00A721D6" w:rsidP="00A721D6">
            <w:pPr>
              <w:spacing w:line="360" w:lineRule="auto"/>
              <w:rPr>
                <w:rFonts w:ascii="Garamond" w:hAnsi="Garamond" w:cstheme="minorHAnsi"/>
                <w:sz w:val="21"/>
                <w:szCs w:val="21"/>
              </w:rPr>
            </w:pPr>
          </w:p>
        </w:tc>
      </w:tr>
      <w:tr w:rsidR="00A721D6" w:rsidRPr="003037D2" w14:paraId="13BD2067" w14:textId="77777777" w:rsidTr="00A721D6">
        <w:trPr>
          <w:trHeight w:val="300"/>
        </w:trPr>
        <w:tc>
          <w:tcPr>
            <w:tcW w:w="969" w:type="dxa"/>
            <w:noWrap/>
            <w:hideMark/>
          </w:tcPr>
          <w:p w14:paraId="277F90D0"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lastRenderedPageBreak/>
              <w:t>1626</w:t>
            </w:r>
          </w:p>
        </w:tc>
        <w:tc>
          <w:tcPr>
            <w:tcW w:w="3471" w:type="dxa"/>
            <w:gridSpan w:val="2"/>
            <w:noWrap/>
            <w:hideMark/>
          </w:tcPr>
          <w:p w14:paraId="63E34A29"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 new Almanack and Prognostication </w:t>
            </w:r>
          </w:p>
        </w:tc>
        <w:tc>
          <w:tcPr>
            <w:tcW w:w="1448" w:type="dxa"/>
            <w:noWrap/>
            <w:hideMark/>
          </w:tcPr>
          <w:p w14:paraId="21A0F57E" w14:textId="77777777" w:rsidR="00A721D6" w:rsidRPr="003037D2" w:rsidRDefault="00A721D6" w:rsidP="00A721D6">
            <w:pPr>
              <w:spacing w:line="360" w:lineRule="auto"/>
              <w:rPr>
                <w:rFonts w:ascii="Garamond" w:hAnsi="Garamond" w:cstheme="minorHAnsi"/>
                <w:sz w:val="21"/>
                <w:szCs w:val="21"/>
              </w:rPr>
            </w:pPr>
            <w:proofErr w:type="spellStart"/>
            <w:r w:rsidRPr="003037D2">
              <w:rPr>
                <w:rFonts w:ascii="Garamond" w:hAnsi="Garamond" w:cstheme="minorHAnsi"/>
                <w:sz w:val="21"/>
                <w:szCs w:val="21"/>
              </w:rPr>
              <w:t>Allestree</w:t>
            </w:r>
            <w:proofErr w:type="spellEnd"/>
            <w:r w:rsidRPr="003037D2">
              <w:rPr>
                <w:rFonts w:ascii="Garamond" w:hAnsi="Garamond" w:cstheme="minorHAnsi"/>
                <w:sz w:val="21"/>
                <w:szCs w:val="21"/>
              </w:rPr>
              <w:t xml:space="preserve">, Richard </w:t>
            </w:r>
          </w:p>
        </w:tc>
        <w:tc>
          <w:tcPr>
            <w:tcW w:w="1781" w:type="dxa"/>
            <w:noWrap/>
            <w:hideMark/>
          </w:tcPr>
          <w:p w14:paraId="36F69A25"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407.9. ESTC, S104378</w:t>
            </w:r>
          </w:p>
        </w:tc>
        <w:tc>
          <w:tcPr>
            <w:tcW w:w="1237" w:type="dxa"/>
            <w:noWrap/>
            <w:hideMark/>
          </w:tcPr>
          <w:p w14:paraId="2D846033"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4A6B4770" w14:textId="77777777" w:rsidR="00A721D6" w:rsidRPr="003037D2" w:rsidRDefault="00A721D6" w:rsidP="00A721D6">
            <w:pPr>
              <w:spacing w:line="360" w:lineRule="auto"/>
              <w:rPr>
                <w:rFonts w:ascii="Garamond" w:hAnsi="Garamond" w:cstheme="minorHAnsi"/>
                <w:sz w:val="21"/>
                <w:szCs w:val="21"/>
              </w:rPr>
            </w:pPr>
          </w:p>
        </w:tc>
        <w:tc>
          <w:tcPr>
            <w:tcW w:w="1006" w:type="dxa"/>
            <w:noWrap/>
            <w:hideMark/>
          </w:tcPr>
          <w:p w14:paraId="10A07566"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 yes </w:t>
            </w:r>
          </w:p>
        </w:tc>
        <w:tc>
          <w:tcPr>
            <w:tcW w:w="947" w:type="dxa"/>
            <w:noWrap/>
            <w:hideMark/>
          </w:tcPr>
          <w:p w14:paraId="76C47822"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980" w:type="dxa"/>
            <w:noWrap/>
            <w:hideMark/>
          </w:tcPr>
          <w:p w14:paraId="6A41A563"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7372BCAD" w14:textId="77777777" w:rsidR="00A721D6" w:rsidRPr="003037D2" w:rsidRDefault="00A721D6" w:rsidP="00A721D6">
            <w:pPr>
              <w:spacing w:line="360" w:lineRule="auto"/>
              <w:rPr>
                <w:rFonts w:ascii="Garamond" w:hAnsi="Garamond" w:cstheme="minorHAnsi"/>
                <w:sz w:val="21"/>
                <w:szCs w:val="21"/>
              </w:rPr>
            </w:pPr>
          </w:p>
        </w:tc>
      </w:tr>
      <w:tr w:rsidR="00A721D6" w:rsidRPr="003037D2" w14:paraId="603029DC" w14:textId="77777777" w:rsidTr="00A721D6">
        <w:trPr>
          <w:trHeight w:val="300"/>
        </w:trPr>
        <w:tc>
          <w:tcPr>
            <w:tcW w:w="969" w:type="dxa"/>
            <w:noWrap/>
            <w:hideMark/>
          </w:tcPr>
          <w:p w14:paraId="5990C417"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1628</w:t>
            </w:r>
          </w:p>
        </w:tc>
        <w:tc>
          <w:tcPr>
            <w:tcW w:w="3471" w:type="dxa"/>
            <w:gridSpan w:val="2"/>
            <w:noWrap/>
            <w:hideMark/>
          </w:tcPr>
          <w:p w14:paraId="21BF9ACC"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 new Almanack and prognostication, for the </w:t>
            </w:r>
            <w:proofErr w:type="spellStart"/>
            <w:r w:rsidRPr="003037D2">
              <w:rPr>
                <w:rFonts w:ascii="Garamond" w:hAnsi="Garamond" w:cstheme="minorHAnsi"/>
                <w:sz w:val="21"/>
                <w:szCs w:val="21"/>
              </w:rPr>
              <w:t>yeer</w:t>
            </w:r>
            <w:proofErr w:type="spellEnd"/>
            <w:r w:rsidRPr="003037D2">
              <w:rPr>
                <w:rFonts w:ascii="Garamond" w:hAnsi="Garamond" w:cstheme="minorHAnsi"/>
                <w:sz w:val="21"/>
                <w:szCs w:val="21"/>
              </w:rPr>
              <w:t xml:space="preserve"> of our Lord God 1628 </w:t>
            </w:r>
          </w:p>
        </w:tc>
        <w:tc>
          <w:tcPr>
            <w:tcW w:w="1448" w:type="dxa"/>
            <w:noWrap/>
            <w:hideMark/>
          </w:tcPr>
          <w:p w14:paraId="4EA241ED" w14:textId="77777777" w:rsidR="00A721D6" w:rsidRPr="003037D2" w:rsidRDefault="00A721D6" w:rsidP="00A721D6">
            <w:pPr>
              <w:spacing w:line="360" w:lineRule="auto"/>
              <w:rPr>
                <w:rFonts w:ascii="Garamond" w:hAnsi="Garamond" w:cstheme="minorHAnsi"/>
                <w:sz w:val="21"/>
                <w:szCs w:val="21"/>
              </w:rPr>
            </w:pPr>
            <w:proofErr w:type="spellStart"/>
            <w:r w:rsidRPr="003037D2">
              <w:rPr>
                <w:rFonts w:ascii="Garamond" w:hAnsi="Garamond" w:cstheme="minorHAnsi"/>
                <w:sz w:val="21"/>
                <w:szCs w:val="21"/>
              </w:rPr>
              <w:t>Allestree</w:t>
            </w:r>
            <w:proofErr w:type="spellEnd"/>
            <w:r w:rsidRPr="003037D2">
              <w:rPr>
                <w:rFonts w:ascii="Garamond" w:hAnsi="Garamond" w:cstheme="minorHAnsi"/>
                <w:sz w:val="21"/>
                <w:szCs w:val="21"/>
              </w:rPr>
              <w:t xml:space="preserve">, Richard </w:t>
            </w:r>
          </w:p>
        </w:tc>
        <w:tc>
          <w:tcPr>
            <w:tcW w:w="1781" w:type="dxa"/>
            <w:noWrap/>
            <w:hideMark/>
          </w:tcPr>
          <w:p w14:paraId="41C7F551"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407.11. ESTC (RLIN), S001765</w:t>
            </w:r>
          </w:p>
        </w:tc>
        <w:tc>
          <w:tcPr>
            <w:tcW w:w="1237" w:type="dxa"/>
            <w:noWrap/>
            <w:hideMark/>
          </w:tcPr>
          <w:p w14:paraId="2F1B048F"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3A8ABD83"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06" w:type="dxa"/>
            <w:noWrap/>
            <w:hideMark/>
          </w:tcPr>
          <w:p w14:paraId="77952314"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947" w:type="dxa"/>
            <w:noWrap/>
            <w:hideMark/>
          </w:tcPr>
          <w:p w14:paraId="2F6FA3F6"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980" w:type="dxa"/>
            <w:noWrap/>
            <w:hideMark/>
          </w:tcPr>
          <w:p w14:paraId="68F1EB35"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23D93E1A" w14:textId="77777777" w:rsidR="00A721D6" w:rsidRPr="003037D2" w:rsidRDefault="00A721D6" w:rsidP="00A721D6">
            <w:pPr>
              <w:spacing w:line="360" w:lineRule="auto"/>
              <w:rPr>
                <w:rFonts w:ascii="Garamond" w:hAnsi="Garamond" w:cstheme="minorHAnsi"/>
                <w:sz w:val="21"/>
                <w:szCs w:val="21"/>
              </w:rPr>
            </w:pPr>
          </w:p>
        </w:tc>
      </w:tr>
      <w:tr w:rsidR="00A721D6" w:rsidRPr="003037D2" w14:paraId="6298910A" w14:textId="77777777" w:rsidTr="00A721D6">
        <w:trPr>
          <w:trHeight w:val="300"/>
        </w:trPr>
        <w:tc>
          <w:tcPr>
            <w:tcW w:w="969" w:type="dxa"/>
            <w:noWrap/>
            <w:hideMark/>
          </w:tcPr>
          <w:p w14:paraId="32C2C287"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1630</w:t>
            </w:r>
          </w:p>
        </w:tc>
        <w:tc>
          <w:tcPr>
            <w:tcW w:w="3471" w:type="dxa"/>
            <w:gridSpan w:val="2"/>
            <w:noWrap/>
            <w:hideMark/>
          </w:tcPr>
          <w:p w14:paraId="74AD7434"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 new </w:t>
            </w:r>
            <w:proofErr w:type="spellStart"/>
            <w:r w:rsidRPr="003037D2">
              <w:rPr>
                <w:rFonts w:ascii="Garamond" w:hAnsi="Garamond" w:cstheme="minorHAnsi"/>
                <w:sz w:val="21"/>
                <w:szCs w:val="21"/>
              </w:rPr>
              <w:t>Almanacke</w:t>
            </w:r>
            <w:proofErr w:type="spellEnd"/>
            <w:r w:rsidRPr="003037D2">
              <w:rPr>
                <w:rFonts w:ascii="Garamond" w:hAnsi="Garamond" w:cstheme="minorHAnsi"/>
                <w:sz w:val="21"/>
                <w:szCs w:val="21"/>
              </w:rPr>
              <w:t xml:space="preserve"> and Prognostication, for the </w:t>
            </w:r>
            <w:proofErr w:type="spellStart"/>
            <w:r w:rsidRPr="003037D2">
              <w:rPr>
                <w:rFonts w:ascii="Garamond" w:hAnsi="Garamond" w:cstheme="minorHAnsi"/>
                <w:sz w:val="21"/>
                <w:szCs w:val="21"/>
              </w:rPr>
              <w:t>yeare</w:t>
            </w:r>
            <w:proofErr w:type="spellEnd"/>
            <w:r w:rsidRPr="003037D2">
              <w:rPr>
                <w:rFonts w:ascii="Garamond" w:hAnsi="Garamond" w:cstheme="minorHAnsi"/>
                <w:sz w:val="21"/>
                <w:szCs w:val="21"/>
              </w:rPr>
              <w:t xml:space="preserve"> of our Lord God 1630</w:t>
            </w:r>
          </w:p>
        </w:tc>
        <w:tc>
          <w:tcPr>
            <w:tcW w:w="1448" w:type="dxa"/>
            <w:noWrap/>
            <w:hideMark/>
          </w:tcPr>
          <w:p w14:paraId="3D4FF3D0"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Browne, Daniel </w:t>
            </w:r>
          </w:p>
        </w:tc>
        <w:tc>
          <w:tcPr>
            <w:tcW w:w="1781" w:type="dxa"/>
            <w:noWrap/>
            <w:hideMark/>
          </w:tcPr>
          <w:p w14:paraId="3F495565"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421.15. ESTC (RLIN), S123059</w:t>
            </w:r>
          </w:p>
        </w:tc>
        <w:tc>
          <w:tcPr>
            <w:tcW w:w="1237" w:type="dxa"/>
            <w:noWrap/>
            <w:hideMark/>
          </w:tcPr>
          <w:p w14:paraId="7B5DCD91"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2054" w:type="dxa"/>
            <w:gridSpan w:val="3"/>
            <w:noWrap/>
            <w:hideMark/>
          </w:tcPr>
          <w:p w14:paraId="58A437A0"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one financial note on f.16r.</w:t>
            </w:r>
          </w:p>
        </w:tc>
        <w:tc>
          <w:tcPr>
            <w:tcW w:w="947" w:type="dxa"/>
            <w:noWrap/>
            <w:hideMark/>
          </w:tcPr>
          <w:p w14:paraId="2EF6CA05"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4CB0F3F0"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3B8B1B06" w14:textId="77777777" w:rsidR="00A721D6" w:rsidRPr="003037D2" w:rsidRDefault="00A721D6" w:rsidP="00A721D6">
            <w:pPr>
              <w:spacing w:line="360" w:lineRule="auto"/>
              <w:rPr>
                <w:rFonts w:ascii="Garamond" w:hAnsi="Garamond" w:cstheme="minorHAnsi"/>
                <w:sz w:val="21"/>
                <w:szCs w:val="21"/>
              </w:rPr>
            </w:pPr>
          </w:p>
        </w:tc>
      </w:tr>
      <w:tr w:rsidR="00A721D6" w:rsidRPr="003037D2" w14:paraId="440CE1A4" w14:textId="77777777" w:rsidTr="00A721D6">
        <w:trPr>
          <w:trHeight w:val="300"/>
        </w:trPr>
        <w:tc>
          <w:tcPr>
            <w:tcW w:w="969" w:type="dxa"/>
            <w:noWrap/>
            <w:hideMark/>
          </w:tcPr>
          <w:p w14:paraId="12012100"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1632</w:t>
            </w:r>
          </w:p>
        </w:tc>
        <w:tc>
          <w:tcPr>
            <w:tcW w:w="3471" w:type="dxa"/>
            <w:gridSpan w:val="2"/>
            <w:noWrap/>
            <w:hideMark/>
          </w:tcPr>
          <w:p w14:paraId="505BB3D9"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 new almanack and prognostication, for the </w:t>
            </w:r>
            <w:proofErr w:type="spellStart"/>
            <w:r w:rsidRPr="003037D2">
              <w:rPr>
                <w:rFonts w:ascii="Garamond" w:hAnsi="Garamond" w:cstheme="minorHAnsi"/>
                <w:sz w:val="21"/>
                <w:szCs w:val="21"/>
              </w:rPr>
              <w:t>yeere</w:t>
            </w:r>
            <w:proofErr w:type="spellEnd"/>
            <w:r w:rsidRPr="003037D2">
              <w:rPr>
                <w:rFonts w:ascii="Garamond" w:hAnsi="Garamond" w:cstheme="minorHAnsi"/>
                <w:sz w:val="21"/>
                <w:szCs w:val="21"/>
              </w:rPr>
              <w:t xml:space="preserve"> of our Lord God, 1632</w:t>
            </w:r>
          </w:p>
        </w:tc>
        <w:tc>
          <w:tcPr>
            <w:tcW w:w="1448" w:type="dxa"/>
            <w:noWrap/>
            <w:hideMark/>
          </w:tcPr>
          <w:p w14:paraId="690F642C" w14:textId="77777777" w:rsidR="00A721D6" w:rsidRPr="003037D2" w:rsidRDefault="00A721D6" w:rsidP="00A721D6">
            <w:pPr>
              <w:spacing w:line="360" w:lineRule="auto"/>
              <w:rPr>
                <w:rFonts w:ascii="Garamond" w:hAnsi="Garamond" w:cstheme="minorHAnsi"/>
                <w:sz w:val="21"/>
                <w:szCs w:val="21"/>
              </w:rPr>
            </w:pPr>
            <w:proofErr w:type="spellStart"/>
            <w:r w:rsidRPr="003037D2">
              <w:rPr>
                <w:rFonts w:ascii="Garamond" w:hAnsi="Garamond" w:cstheme="minorHAnsi"/>
                <w:sz w:val="21"/>
                <w:szCs w:val="21"/>
              </w:rPr>
              <w:t>Allestree</w:t>
            </w:r>
            <w:proofErr w:type="spellEnd"/>
            <w:r w:rsidRPr="003037D2">
              <w:rPr>
                <w:rFonts w:ascii="Garamond" w:hAnsi="Garamond" w:cstheme="minorHAnsi"/>
                <w:sz w:val="21"/>
                <w:szCs w:val="21"/>
              </w:rPr>
              <w:t xml:space="preserve">, Richard </w:t>
            </w:r>
          </w:p>
        </w:tc>
        <w:tc>
          <w:tcPr>
            <w:tcW w:w="1781" w:type="dxa"/>
            <w:noWrap/>
            <w:hideMark/>
          </w:tcPr>
          <w:p w14:paraId="0E82CBBF"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407.15.  ESTC (RLIN), S003393.</w:t>
            </w:r>
          </w:p>
        </w:tc>
        <w:tc>
          <w:tcPr>
            <w:tcW w:w="1237" w:type="dxa"/>
            <w:noWrap/>
            <w:hideMark/>
          </w:tcPr>
          <w:p w14:paraId="4ACF171B"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05B653E8"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06" w:type="dxa"/>
            <w:noWrap/>
            <w:hideMark/>
          </w:tcPr>
          <w:p w14:paraId="3EBDB0BD"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947" w:type="dxa"/>
            <w:noWrap/>
            <w:hideMark/>
          </w:tcPr>
          <w:p w14:paraId="0E322B1D"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35ACB2F4"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3D5A160E" w14:textId="77777777" w:rsidR="00A721D6" w:rsidRPr="003037D2" w:rsidRDefault="00A721D6" w:rsidP="00A721D6">
            <w:pPr>
              <w:spacing w:line="360" w:lineRule="auto"/>
              <w:rPr>
                <w:rFonts w:ascii="Garamond" w:hAnsi="Garamond" w:cstheme="minorHAnsi"/>
                <w:sz w:val="21"/>
                <w:szCs w:val="21"/>
              </w:rPr>
            </w:pPr>
          </w:p>
        </w:tc>
      </w:tr>
      <w:tr w:rsidR="00A721D6" w:rsidRPr="003037D2" w14:paraId="6E669FE1" w14:textId="77777777" w:rsidTr="00A721D6">
        <w:trPr>
          <w:trHeight w:val="300"/>
        </w:trPr>
        <w:tc>
          <w:tcPr>
            <w:tcW w:w="969" w:type="dxa"/>
            <w:noWrap/>
            <w:hideMark/>
          </w:tcPr>
          <w:p w14:paraId="3D392027"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1636</w:t>
            </w:r>
          </w:p>
        </w:tc>
        <w:tc>
          <w:tcPr>
            <w:tcW w:w="3471" w:type="dxa"/>
            <w:gridSpan w:val="2"/>
            <w:noWrap/>
            <w:hideMark/>
          </w:tcPr>
          <w:p w14:paraId="53934E42"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An Almanack for the </w:t>
            </w:r>
            <w:proofErr w:type="spellStart"/>
            <w:r w:rsidRPr="003037D2">
              <w:rPr>
                <w:rFonts w:ascii="Garamond" w:hAnsi="Garamond" w:cstheme="minorHAnsi"/>
                <w:sz w:val="21"/>
                <w:szCs w:val="21"/>
              </w:rPr>
              <w:t>yeare</w:t>
            </w:r>
            <w:proofErr w:type="spellEnd"/>
            <w:r w:rsidRPr="003037D2">
              <w:rPr>
                <w:rFonts w:ascii="Garamond" w:hAnsi="Garamond" w:cstheme="minorHAnsi"/>
                <w:sz w:val="21"/>
                <w:szCs w:val="21"/>
              </w:rPr>
              <w:t xml:space="preserve"> of our God </w:t>
            </w:r>
          </w:p>
        </w:tc>
        <w:tc>
          <w:tcPr>
            <w:tcW w:w="1448" w:type="dxa"/>
            <w:noWrap/>
            <w:hideMark/>
          </w:tcPr>
          <w:p w14:paraId="552E2EDD"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Dove, Jonathan </w:t>
            </w:r>
          </w:p>
        </w:tc>
        <w:tc>
          <w:tcPr>
            <w:tcW w:w="1781" w:type="dxa"/>
            <w:noWrap/>
            <w:hideMark/>
          </w:tcPr>
          <w:p w14:paraId="67C8BBE9"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436.8. ESTC (RLIN), S104379</w:t>
            </w:r>
          </w:p>
        </w:tc>
        <w:tc>
          <w:tcPr>
            <w:tcW w:w="1237" w:type="dxa"/>
            <w:noWrap/>
            <w:hideMark/>
          </w:tcPr>
          <w:p w14:paraId="1ADDBB81"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476EFFE1"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06" w:type="dxa"/>
            <w:noWrap/>
            <w:hideMark/>
          </w:tcPr>
          <w:p w14:paraId="085B478A"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947" w:type="dxa"/>
            <w:noWrap/>
            <w:hideMark/>
          </w:tcPr>
          <w:p w14:paraId="30D422B8"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5544BF6A"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497025CA" w14:textId="77777777" w:rsidR="00A721D6" w:rsidRPr="003037D2" w:rsidRDefault="00A721D6" w:rsidP="00A721D6">
            <w:pPr>
              <w:spacing w:line="360" w:lineRule="auto"/>
              <w:rPr>
                <w:rFonts w:ascii="Garamond" w:hAnsi="Garamond" w:cstheme="minorHAnsi"/>
                <w:sz w:val="21"/>
                <w:szCs w:val="21"/>
              </w:rPr>
            </w:pPr>
          </w:p>
        </w:tc>
      </w:tr>
      <w:tr w:rsidR="00A721D6" w:rsidRPr="003037D2" w14:paraId="046D3078" w14:textId="77777777" w:rsidTr="00A721D6">
        <w:trPr>
          <w:trHeight w:val="300"/>
        </w:trPr>
        <w:tc>
          <w:tcPr>
            <w:tcW w:w="969" w:type="dxa"/>
            <w:noWrap/>
            <w:hideMark/>
          </w:tcPr>
          <w:p w14:paraId="72107159"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1641</w:t>
            </w:r>
          </w:p>
        </w:tc>
        <w:tc>
          <w:tcPr>
            <w:tcW w:w="3471" w:type="dxa"/>
            <w:gridSpan w:val="2"/>
            <w:noWrap/>
            <w:hideMark/>
          </w:tcPr>
          <w:p w14:paraId="7BD951D9"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Pond's almanack for the </w:t>
            </w:r>
            <w:proofErr w:type="spellStart"/>
            <w:r w:rsidRPr="003037D2">
              <w:rPr>
                <w:rFonts w:ascii="Garamond" w:hAnsi="Garamond" w:cstheme="minorHAnsi"/>
                <w:sz w:val="21"/>
                <w:szCs w:val="21"/>
              </w:rPr>
              <w:t>yeare</w:t>
            </w:r>
            <w:proofErr w:type="spellEnd"/>
            <w:r w:rsidRPr="003037D2">
              <w:rPr>
                <w:rFonts w:ascii="Garamond" w:hAnsi="Garamond" w:cstheme="minorHAnsi"/>
                <w:sz w:val="21"/>
                <w:szCs w:val="21"/>
              </w:rPr>
              <w:t xml:space="preserve"> of our lord Christ 1641</w:t>
            </w:r>
          </w:p>
        </w:tc>
        <w:tc>
          <w:tcPr>
            <w:tcW w:w="1448" w:type="dxa"/>
            <w:noWrap/>
            <w:hideMark/>
          </w:tcPr>
          <w:p w14:paraId="5B25EF09"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Pond, Edward </w:t>
            </w:r>
          </w:p>
        </w:tc>
        <w:tc>
          <w:tcPr>
            <w:tcW w:w="1781" w:type="dxa"/>
            <w:noWrap/>
            <w:hideMark/>
          </w:tcPr>
          <w:p w14:paraId="59501A30"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Wing (2nd ed., 1994), A2127. ESTC (RLIN), R030706</w:t>
            </w:r>
          </w:p>
        </w:tc>
        <w:tc>
          <w:tcPr>
            <w:tcW w:w="1237" w:type="dxa"/>
            <w:noWrap/>
            <w:hideMark/>
          </w:tcPr>
          <w:p w14:paraId="71098F2F"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16C6DF8F" w14:textId="77777777" w:rsidR="00A721D6" w:rsidRPr="003037D2" w:rsidRDefault="00A721D6" w:rsidP="00A721D6">
            <w:pPr>
              <w:spacing w:line="360" w:lineRule="auto"/>
              <w:rPr>
                <w:rFonts w:ascii="Garamond" w:hAnsi="Garamond" w:cstheme="minorHAnsi"/>
                <w:sz w:val="21"/>
                <w:szCs w:val="21"/>
              </w:rPr>
            </w:pPr>
          </w:p>
        </w:tc>
        <w:tc>
          <w:tcPr>
            <w:tcW w:w="1006" w:type="dxa"/>
            <w:noWrap/>
            <w:hideMark/>
          </w:tcPr>
          <w:p w14:paraId="667B3090"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947" w:type="dxa"/>
            <w:noWrap/>
            <w:hideMark/>
          </w:tcPr>
          <w:p w14:paraId="1F02E652"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980" w:type="dxa"/>
            <w:noWrap/>
            <w:hideMark/>
          </w:tcPr>
          <w:p w14:paraId="4D4AA1BE"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1061" w:type="dxa"/>
            <w:noWrap/>
            <w:hideMark/>
          </w:tcPr>
          <w:p w14:paraId="432BDA94" w14:textId="77777777" w:rsidR="00A721D6" w:rsidRPr="003037D2" w:rsidRDefault="00A721D6" w:rsidP="00A721D6">
            <w:pPr>
              <w:spacing w:line="360" w:lineRule="auto"/>
              <w:rPr>
                <w:rFonts w:ascii="Garamond" w:hAnsi="Garamond" w:cstheme="minorHAnsi"/>
                <w:sz w:val="21"/>
                <w:szCs w:val="21"/>
              </w:rPr>
            </w:pPr>
          </w:p>
        </w:tc>
      </w:tr>
      <w:tr w:rsidR="00A721D6" w:rsidRPr="003037D2" w14:paraId="07A61D28" w14:textId="77777777" w:rsidTr="00A721D6">
        <w:trPr>
          <w:trHeight w:val="300"/>
        </w:trPr>
        <w:tc>
          <w:tcPr>
            <w:tcW w:w="969" w:type="dxa"/>
            <w:noWrap/>
            <w:hideMark/>
          </w:tcPr>
          <w:p w14:paraId="6BE910C1"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1645</w:t>
            </w:r>
          </w:p>
        </w:tc>
        <w:tc>
          <w:tcPr>
            <w:tcW w:w="3471" w:type="dxa"/>
            <w:gridSpan w:val="2"/>
            <w:noWrap/>
            <w:hideMark/>
          </w:tcPr>
          <w:p w14:paraId="6734BFE9"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 new </w:t>
            </w:r>
            <w:proofErr w:type="spellStart"/>
            <w:r w:rsidRPr="003037D2">
              <w:rPr>
                <w:rFonts w:ascii="Garamond" w:hAnsi="Garamond" w:cstheme="minorHAnsi"/>
                <w:sz w:val="21"/>
                <w:szCs w:val="21"/>
              </w:rPr>
              <w:t>almanacke</w:t>
            </w:r>
            <w:proofErr w:type="spellEnd"/>
            <w:r w:rsidRPr="003037D2">
              <w:rPr>
                <w:rFonts w:ascii="Garamond" w:hAnsi="Garamond" w:cstheme="minorHAnsi"/>
                <w:sz w:val="21"/>
                <w:szCs w:val="21"/>
              </w:rPr>
              <w:t xml:space="preserve"> and prognostication for the </w:t>
            </w:r>
            <w:proofErr w:type="spellStart"/>
            <w:r w:rsidRPr="003037D2">
              <w:rPr>
                <w:rFonts w:ascii="Garamond" w:hAnsi="Garamond" w:cstheme="minorHAnsi"/>
                <w:sz w:val="21"/>
                <w:szCs w:val="21"/>
              </w:rPr>
              <w:t>yeere</w:t>
            </w:r>
            <w:proofErr w:type="spellEnd"/>
            <w:r w:rsidRPr="003037D2">
              <w:rPr>
                <w:rFonts w:ascii="Garamond" w:hAnsi="Garamond" w:cstheme="minorHAnsi"/>
                <w:sz w:val="21"/>
                <w:szCs w:val="21"/>
              </w:rPr>
              <w:t xml:space="preserve"> of our Lord God 1645</w:t>
            </w:r>
          </w:p>
        </w:tc>
        <w:tc>
          <w:tcPr>
            <w:tcW w:w="1448" w:type="dxa"/>
            <w:noWrap/>
            <w:hideMark/>
          </w:tcPr>
          <w:p w14:paraId="6DB33AF6"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Nye, Nathaniel </w:t>
            </w:r>
          </w:p>
        </w:tc>
        <w:tc>
          <w:tcPr>
            <w:tcW w:w="1781" w:type="dxa"/>
            <w:noWrap/>
            <w:hideMark/>
          </w:tcPr>
          <w:p w14:paraId="0FE9F019"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Wing (2nd ed., 1994), A1997A. ESTC (RLIN), R033127.</w:t>
            </w:r>
          </w:p>
        </w:tc>
        <w:tc>
          <w:tcPr>
            <w:tcW w:w="1237" w:type="dxa"/>
            <w:noWrap/>
            <w:hideMark/>
          </w:tcPr>
          <w:p w14:paraId="1CACA4F5"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2641157C" w14:textId="77777777" w:rsidR="00A721D6" w:rsidRPr="003037D2" w:rsidRDefault="00A721D6" w:rsidP="00A721D6">
            <w:pPr>
              <w:spacing w:line="360" w:lineRule="auto"/>
              <w:rPr>
                <w:rFonts w:ascii="Garamond" w:hAnsi="Garamond" w:cstheme="minorHAnsi"/>
                <w:sz w:val="21"/>
                <w:szCs w:val="21"/>
              </w:rPr>
            </w:pPr>
          </w:p>
        </w:tc>
        <w:tc>
          <w:tcPr>
            <w:tcW w:w="1006" w:type="dxa"/>
            <w:noWrap/>
            <w:hideMark/>
          </w:tcPr>
          <w:p w14:paraId="29E1FEA7"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947" w:type="dxa"/>
            <w:noWrap/>
            <w:hideMark/>
          </w:tcPr>
          <w:p w14:paraId="5DF326E1"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980" w:type="dxa"/>
            <w:noWrap/>
            <w:hideMark/>
          </w:tcPr>
          <w:p w14:paraId="54277A40"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0989D467" w14:textId="77777777" w:rsidR="00A721D6" w:rsidRPr="003037D2" w:rsidRDefault="00A721D6" w:rsidP="00A721D6">
            <w:pPr>
              <w:spacing w:line="360" w:lineRule="auto"/>
              <w:rPr>
                <w:rFonts w:ascii="Garamond" w:hAnsi="Garamond" w:cstheme="minorHAnsi"/>
                <w:sz w:val="21"/>
                <w:szCs w:val="21"/>
              </w:rPr>
            </w:pPr>
          </w:p>
        </w:tc>
      </w:tr>
      <w:tr w:rsidR="00A721D6" w:rsidRPr="003037D2" w14:paraId="2E69F251" w14:textId="77777777" w:rsidTr="00A721D6">
        <w:trPr>
          <w:trHeight w:val="300"/>
        </w:trPr>
        <w:tc>
          <w:tcPr>
            <w:tcW w:w="969" w:type="dxa"/>
            <w:noWrap/>
            <w:hideMark/>
          </w:tcPr>
          <w:p w14:paraId="0AB941AE"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lastRenderedPageBreak/>
              <w:t>1646</w:t>
            </w:r>
          </w:p>
        </w:tc>
        <w:tc>
          <w:tcPr>
            <w:tcW w:w="3471" w:type="dxa"/>
            <w:gridSpan w:val="2"/>
            <w:noWrap/>
            <w:hideMark/>
          </w:tcPr>
          <w:p w14:paraId="001961E5"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An Almanack for this the year of our God </w:t>
            </w:r>
          </w:p>
        </w:tc>
        <w:tc>
          <w:tcPr>
            <w:tcW w:w="1448" w:type="dxa"/>
            <w:noWrap/>
            <w:hideMark/>
          </w:tcPr>
          <w:p w14:paraId="68CD2BB6" w14:textId="77777777" w:rsidR="00A721D6" w:rsidRPr="003037D2" w:rsidRDefault="00A721D6" w:rsidP="00A721D6">
            <w:pPr>
              <w:spacing w:line="360" w:lineRule="auto"/>
              <w:rPr>
                <w:rFonts w:ascii="Garamond" w:hAnsi="Garamond" w:cstheme="minorHAnsi"/>
                <w:sz w:val="21"/>
                <w:szCs w:val="21"/>
              </w:rPr>
            </w:pPr>
            <w:proofErr w:type="spellStart"/>
            <w:r w:rsidRPr="003037D2">
              <w:rPr>
                <w:rFonts w:ascii="Garamond" w:hAnsi="Garamond" w:cstheme="minorHAnsi"/>
                <w:sz w:val="21"/>
                <w:szCs w:val="21"/>
              </w:rPr>
              <w:t>Danforth</w:t>
            </w:r>
            <w:proofErr w:type="spellEnd"/>
            <w:r w:rsidRPr="003037D2">
              <w:rPr>
                <w:rFonts w:ascii="Garamond" w:hAnsi="Garamond" w:cstheme="minorHAnsi"/>
                <w:sz w:val="21"/>
                <w:szCs w:val="21"/>
              </w:rPr>
              <w:t xml:space="preserve">, Samuel (of Harvard College) </w:t>
            </w:r>
          </w:p>
        </w:tc>
        <w:tc>
          <w:tcPr>
            <w:tcW w:w="1781" w:type="dxa"/>
            <w:noWrap/>
            <w:hideMark/>
          </w:tcPr>
          <w:p w14:paraId="2212D4B0"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ESTC (RLIN), W004928.</w:t>
            </w:r>
          </w:p>
        </w:tc>
        <w:tc>
          <w:tcPr>
            <w:tcW w:w="1237" w:type="dxa"/>
            <w:noWrap/>
            <w:hideMark/>
          </w:tcPr>
          <w:p w14:paraId="477636CF"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1D2178FF"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06" w:type="dxa"/>
            <w:noWrap/>
            <w:hideMark/>
          </w:tcPr>
          <w:p w14:paraId="282B814A"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947" w:type="dxa"/>
            <w:noWrap/>
            <w:hideMark/>
          </w:tcPr>
          <w:p w14:paraId="280BC5A2"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66A991D8"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1061" w:type="dxa"/>
            <w:noWrap/>
            <w:hideMark/>
          </w:tcPr>
          <w:p w14:paraId="124CFBF0" w14:textId="77777777" w:rsidR="00A721D6" w:rsidRPr="003037D2" w:rsidRDefault="00A721D6" w:rsidP="00A721D6">
            <w:pPr>
              <w:spacing w:line="360" w:lineRule="auto"/>
              <w:rPr>
                <w:rFonts w:ascii="Garamond" w:hAnsi="Garamond" w:cstheme="minorHAnsi"/>
                <w:sz w:val="21"/>
                <w:szCs w:val="21"/>
              </w:rPr>
            </w:pPr>
          </w:p>
        </w:tc>
      </w:tr>
      <w:tr w:rsidR="00A721D6" w:rsidRPr="003037D2" w14:paraId="62945881" w14:textId="77777777" w:rsidTr="00A721D6">
        <w:trPr>
          <w:trHeight w:val="300"/>
        </w:trPr>
        <w:tc>
          <w:tcPr>
            <w:tcW w:w="969" w:type="dxa"/>
            <w:noWrap/>
            <w:hideMark/>
          </w:tcPr>
          <w:p w14:paraId="3181D5E2"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1647</w:t>
            </w:r>
          </w:p>
        </w:tc>
        <w:tc>
          <w:tcPr>
            <w:tcW w:w="3471" w:type="dxa"/>
            <w:gridSpan w:val="2"/>
            <w:noWrap/>
            <w:hideMark/>
          </w:tcPr>
          <w:p w14:paraId="5CF70B61"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An Almanack for the year of our Lord 1647 </w:t>
            </w:r>
          </w:p>
        </w:tc>
        <w:tc>
          <w:tcPr>
            <w:tcW w:w="1448" w:type="dxa"/>
            <w:noWrap/>
            <w:hideMark/>
          </w:tcPr>
          <w:p w14:paraId="0C7C5EA2" w14:textId="77777777" w:rsidR="00A721D6" w:rsidRPr="003037D2" w:rsidRDefault="00A721D6" w:rsidP="00A721D6">
            <w:pPr>
              <w:spacing w:line="360" w:lineRule="auto"/>
              <w:rPr>
                <w:rFonts w:ascii="Garamond" w:hAnsi="Garamond" w:cstheme="minorHAnsi"/>
                <w:sz w:val="21"/>
                <w:szCs w:val="21"/>
              </w:rPr>
            </w:pPr>
            <w:proofErr w:type="spellStart"/>
            <w:r w:rsidRPr="003037D2">
              <w:rPr>
                <w:rFonts w:ascii="Garamond" w:hAnsi="Garamond" w:cstheme="minorHAnsi"/>
                <w:sz w:val="21"/>
                <w:szCs w:val="21"/>
              </w:rPr>
              <w:t>Danforth</w:t>
            </w:r>
            <w:proofErr w:type="spellEnd"/>
            <w:r w:rsidRPr="003037D2">
              <w:rPr>
                <w:rFonts w:ascii="Garamond" w:hAnsi="Garamond" w:cstheme="minorHAnsi"/>
                <w:sz w:val="21"/>
                <w:szCs w:val="21"/>
              </w:rPr>
              <w:t xml:space="preserve">, Samuel (of Harvard College) </w:t>
            </w:r>
          </w:p>
        </w:tc>
        <w:tc>
          <w:tcPr>
            <w:tcW w:w="1781" w:type="dxa"/>
            <w:noWrap/>
            <w:hideMark/>
          </w:tcPr>
          <w:p w14:paraId="1A4730E4"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ESTC (RLIN), W004929.</w:t>
            </w:r>
          </w:p>
        </w:tc>
        <w:tc>
          <w:tcPr>
            <w:tcW w:w="1237" w:type="dxa"/>
            <w:noWrap/>
            <w:hideMark/>
          </w:tcPr>
          <w:p w14:paraId="382B4B9B"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70005CA9"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06" w:type="dxa"/>
            <w:noWrap/>
            <w:hideMark/>
          </w:tcPr>
          <w:p w14:paraId="58EFBA0D"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947" w:type="dxa"/>
            <w:noWrap/>
            <w:hideMark/>
          </w:tcPr>
          <w:p w14:paraId="7FC16BE5"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980" w:type="dxa"/>
            <w:noWrap/>
            <w:hideMark/>
          </w:tcPr>
          <w:p w14:paraId="3A5534F7"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1061" w:type="dxa"/>
            <w:noWrap/>
            <w:hideMark/>
          </w:tcPr>
          <w:p w14:paraId="71DDBC79" w14:textId="77777777" w:rsidR="00A721D6" w:rsidRPr="003037D2" w:rsidRDefault="00A721D6" w:rsidP="00A721D6">
            <w:pPr>
              <w:spacing w:line="360" w:lineRule="auto"/>
              <w:rPr>
                <w:rFonts w:ascii="Garamond" w:hAnsi="Garamond" w:cstheme="minorHAnsi"/>
                <w:sz w:val="21"/>
                <w:szCs w:val="21"/>
              </w:rPr>
            </w:pPr>
          </w:p>
        </w:tc>
      </w:tr>
      <w:tr w:rsidR="00A721D6" w:rsidRPr="003037D2" w14:paraId="1706FB66" w14:textId="77777777" w:rsidTr="00A721D6">
        <w:trPr>
          <w:trHeight w:val="300"/>
        </w:trPr>
        <w:tc>
          <w:tcPr>
            <w:tcW w:w="969" w:type="dxa"/>
            <w:noWrap/>
            <w:hideMark/>
          </w:tcPr>
          <w:p w14:paraId="70143217"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1648</w:t>
            </w:r>
          </w:p>
        </w:tc>
        <w:tc>
          <w:tcPr>
            <w:tcW w:w="3471" w:type="dxa"/>
            <w:gridSpan w:val="2"/>
            <w:noWrap/>
            <w:hideMark/>
          </w:tcPr>
          <w:p w14:paraId="51D28567"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A new almanack for the said year</w:t>
            </w:r>
          </w:p>
        </w:tc>
        <w:tc>
          <w:tcPr>
            <w:tcW w:w="1448" w:type="dxa"/>
            <w:noWrap/>
            <w:hideMark/>
          </w:tcPr>
          <w:p w14:paraId="1454B3BC"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Gallen, Thomas </w:t>
            </w:r>
          </w:p>
        </w:tc>
        <w:tc>
          <w:tcPr>
            <w:tcW w:w="1781" w:type="dxa"/>
            <w:noWrap/>
            <w:hideMark/>
          </w:tcPr>
          <w:p w14:paraId="107FFBAE"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Wing (2nd ed., 1994), A1788bA. ESTC (RLIN), R020808. </w:t>
            </w:r>
          </w:p>
        </w:tc>
        <w:tc>
          <w:tcPr>
            <w:tcW w:w="1237" w:type="dxa"/>
            <w:noWrap/>
            <w:hideMark/>
          </w:tcPr>
          <w:p w14:paraId="18E70786"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721853D4"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06" w:type="dxa"/>
            <w:noWrap/>
            <w:hideMark/>
          </w:tcPr>
          <w:p w14:paraId="2A54D60A"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minor </w:t>
            </w:r>
          </w:p>
        </w:tc>
        <w:tc>
          <w:tcPr>
            <w:tcW w:w="947" w:type="dxa"/>
            <w:noWrap/>
            <w:hideMark/>
          </w:tcPr>
          <w:p w14:paraId="13A41860"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1947CD14"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72934690" w14:textId="77777777" w:rsidR="00A721D6" w:rsidRPr="003037D2" w:rsidRDefault="00A721D6" w:rsidP="00A721D6">
            <w:pPr>
              <w:spacing w:line="360" w:lineRule="auto"/>
              <w:rPr>
                <w:rFonts w:ascii="Garamond" w:hAnsi="Garamond" w:cstheme="minorHAnsi"/>
                <w:sz w:val="21"/>
                <w:szCs w:val="21"/>
              </w:rPr>
            </w:pPr>
          </w:p>
        </w:tc>
      </w:tr>
      <w:tr w:rsidR="00A721D6" w:rsidRPr="003037D2" w14:paraId="4DE12EC1" w14:textId="77777777" w:rsidTr="00A721D6">
        <w:trPr>
          <w:trHeight w:val="300"/>
        </w:trPr>
        <w:tc>
          <w:tcPr>
            <w:tcW w:w="969" w:type="dxa"/>
            <w:noWrap/>
            <w:hideMark/>
          </w:tcPr>
          <w:p w14:paraId="01E73FEA"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1648</w:t>
            </w:r>
          </w:p>
        </w:tc>
        <w:tc>
          <w:tcPr>
            <w:tcW w:w="3471" w:type="dxa"/>
            <w:gridSpan w:val="2"/>
            <w:noWrap/>
            <w:hideMark/>
          </w:tcPr>
          <w:p w14:paraId="1F8BAEE7"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An Almanack for the year of our Lord 1648 </w:t>
            </w:r>
          </w:p>
        </w:tc>
        <w:tc>
          <w:tcPr>
            <w:tcW w:w="1448" w:type="dxa"/>
            <w:noWrap/>
            <w:hideMark/>
          </w:tcPr>
          <w:p w14:paraId="4CC1A4EB" w14:textId="77777777" w:rsidR="00A721D6" w:rsidRPr="003037D2" w:rsidRDefault="00A721D6" w:rsidP="00A721D6">
            <w:pPr>
              <w:spacing w:line="360" w:lineRule="auto"/>
              <w:rPr>
                <w:rFonts w:ascii="Garamond" w:hAnsi="Garamond" w:cstheme="minorHAnsi"/>
                <w:sz w:val="21"/>
                <w:szCs w:val="21"/>
              </w:rPr>
            </w:pPr>
            <w:proofErr w:type="spellStart"/>
            <w:r w:rsidRPr="003037D2">
              <w:rPr>
                <w:rFonts w:ascii="Garamond" w:hAnsi="Garamond" w:cstheme="minorHAnsi"/>
                <w:sz w:val="21"/>
                <w:szCs w:val="21"/>
              </w:rPr>
              <w:t>Danforth</w:t>
            </w:r>
            <w:proofErr w:type="spellEnd"/>
            <w:r w:rsidRPr="003037D2">
              <w:rPr>
                <w:rFonts w:ascii="Garamond" w:hAnsi="Garamond" w:cstheme="minorHAnsi"/>
                <w:sz w:val="21"/>
                <w:szCs w:val="21"/>
              </w:rPr>
              <w:t xml:space="preserve">, Samuel (of Harvard College) </w:t>
            </w:r>
          </w:p>
        </w:tc>
        <w:tc>
          <w:tcPr>
            <w:tcW w:w="1781" w:type="dxa"/>
            <w:noWrap/>
            <w:hideMark/>
          </w:tcPr>
          <w:p w14:paraId="3BE0A36A"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ESTC (RLIN), W004930</w:t>
            </w:r>
          </w:p>
        </w:tc>
        <w:tc>
          <w:tcPr>
            <w:tcW w:w="1237" w:type="dxa"/>
            <w:noWrap/>
            <w:hideMark/>
          </w:tcPr>
          <w:p w14:paraId="33E9DD65"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2DDF34E6"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06" w:type="dxa"/>
            <w:noWrap/>
            <w:hideMark/>
          </w:tcPr>
          <w:p w14:paraId="66FD20C9"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947" w:type="dxa"/>
            <w:noWrap/>
            <w:hideMark/>
          </w:tcPr>
          <w:p w14:paraId="17DFB8EE"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7CC64A3D"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1061" w:type="dxa"/>
            <w:noWrap/>
            <w:hideMark/>
          </w:tcPr>
          <w:p w14:paraId="5E1B06CF" w14:textId="77777777" w:rsidR="00A721D6" w:rsidRPr="003037D2" w:rsidRDefault="00A721D6" w:rsidP="00A721D6">
            <w:pPr>
              <w:spacing w:line="360" w:lineRule="auto"/>
              <w:rPr>
                <w:rFonts w:ascii="Garamond" w:hAnsi="Garamond" w:cstheme="minorHAnsi"/>
                <w:sz w:val="21"/>
                <w:szCs w:val="21"/>
              </w:rPr>
            </w:pPr>
          </w:p>
        </w:tc>
      </w:tr>
      <w:tr w:rsidR="00A721D6" w:rsidRPr="003037D2" w14:paraId="2E9644A5" w14:textId="77777777" w:rsidTr="00A721D6">
        <w:trPr>
          <w:trHeight w:val="300"/>
        </w:trPr>
        <w:tc>
          <w:tcPr>
            <w:tcW w:w="969" w:type="dxa"/>
            <w:noWrap/>
            <w:hideMark/>
          </w:tcPr>
          <w:p w14:paraId="52CB901B"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1650</w:t>
            </w:r>
          </w:p>
        </w:tc>
        <w:tc>
          <w:tcPr>
            <w:tcW w:w="3471" w:type="dxa"/>
            <w:gridSpan w:val="2"/>
            <w:noWrap/>
            <w:hideMark/>
          </w:tcPr>
          <w:p w14:paraId="66644E86"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An almanack for the year of our Lord 1650 </w:t>
            </w:r>
          </w:p>
        </w:tc>
        <w:tc>
          <w:tcPr>
            <w:tcW w:w="1448" w:type="dxa"/>
            <w:noWrap/>
            <w:hideMark/>
          </w:tcPr>
          <w:p w14:paraId="3125480B"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Oakes, </w:t>
            </w:r>
            <w:proofErr w:type="spellStart"/>
            <w:r w:rsidRPr="003037D2">
              <w:rPr>
                <w:rFonts w:ascii="Garamond" w:hAnsi="Garamond" w:cstheme="minorHAnsi"/>
                <w:sz w:val="21"/>
                <w:szCs w:val="21"/>
              </w:rPr>
              <w:t>Urian</w:t>
            </w:r>
            <w:proofErr w:type="spellEnd"/>
            <w:r w:rsidRPr="003037D2">
              <w:rPr>
                <w:rFonts w:ascii="Garamond" w:hAnsi="Garamond" w:cstheme="minorHAnsi"/>
                <w:sz w:val="21"/>
                <w:szCs w:val="21"/>
              </w:rPr>
              <w:t xml:space="preserve"> </w:t>
            </w:r>
          </w:p>
        </w:tc>
        <w:tc>
          <w:tcPr>
            <w:tcW w:w="1781" w:type="dxa"/>
            <w:noWrap/>
            <w:hideMark/>
          </w:tcPr>
          <w:p w14:paraId="7E498DE8"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Wing (2nd ed.), A2002. ESTC (RLIN), W035762.</w:t>
            </w:r>
          </w:p>
        </w:tc>
        <w:tc>
          <w:tcPr>
            <w:tcW w:w="1237" w:type="dxa"/>
            <w:noWrap/>
            <w:hideMark/>
          </w:tcPr>
          <w:p w14:paraId="66D5FB29"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3A1133BA"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06" w:type="dxa"/>
            <w:noWrap/>
            <w:hideMark/>
          </w:tcPr>
          <w:p w14:paraId="40FA4C9F"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 Yes </w:t>
            </w:r>
          </w:p>
        </w:tc>
        <w:tc>
          <w:tcPr>
            <w:tcW w:w="947" w:type="dxa"/>
            <w:noWrap/>
            <w:hideMark/>
          </w:tcPr>
          <w:p w14:paraId="5D5A58BC"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6E0B107E"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398496B4" w14:textId="77777777" w:rsidR="00A721D6" w:rsidRPr="003037D2" w:rsidRDefault="00A721D6" w:rsidP="00A721D6">
            <w:pPr>
              <w:spacing w:line="360" w:lineRule="auto"/>
              <w:rPr>
                <w:rFonts w:ascii="Garamond" w:hAnsi="Garamond" w:cstheme="minorHAnsi"/>
                <w:sz w:val="21"/>
                <w:szCs w:val="21"/>
              </w:rPr>
            </w:pPr>
          </w:p>
        </w:tc>
      </w:tr>
      <w:tr w:rsidR="00A721D6" w:rsidRPr="003037D2" w14:paraId="09CCA452" w14:textId="77777777" w:rsidTr="00A721D6">
        <w:trPr>
          <w:trHeight w:val="300"/>
        </w:trPr>
        <w:tc>
          <w:tcPr>
            <w:tcW w:w="969" w:type="dxa"/>
            <w:noWrap/>
            <w:hideMark/>
          </w:tcPr>
          <w:p w14:paraId="55D42BD5"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1650</w:t>
            </w:r>
          </w:p>
        </w:tc>
        <w:tc>
          <w:tcPr>
            <w:tcW w:w="3471" w:type="dxa"/>
            <w:gridSpan w:val="2"/>
            <w:noWrap/>
            <w:hideMark/>
          </w:tcPr>
          <w:p w14:paraId="47A26591"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Pond's almanack for the </w:t>
            </w:r>
            <w:proofErr w:type="spellStart"/>
            <w:r w:rsidRPr="003037D2">
              <w:rPr>
                <w:rFonts w:ascii="Garamond" w:hAnsi="Garamond" w:cstheme="minorHAnsi"/>
                <w:sz w:val="21"/>
                <w:szCs w:val="21"/>
              </w:rPr>
              <w:t>yeare</w:t>
            </w:r>
            <w:proofErr w:type="spellEnd"/>
            <w:r w:rsidRPr="003037D2">
              <w:rPr>
                <w:rFonts w:ascii="Garamond" w:hAnsi="Garamond" w:cstheme="minorHAnsi"/>
                <w:sz w:val="21"/>
                <w:szCs w:val="21"/>
              </w:rPr>
              <w:t xml:space="preserve"> of our Lord Christ 1650</w:t>
            </w:r>
          </w:p>
        </w:tc>
        <w:tc>
          <w:tcPr>
            <w:tcW w:w="1448" w:type="dxa"/>
            <w:noWrap/>
            <w:hideMark/>
          </w:tcPr>
          <w:p w14:paraId="3C1F47B0"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Pond, Edward </w:t>
            </w:r>
          </w:p>
        </w:tc>
        <w:tc>
          <w:tcPr>
            <w:tcW w:w="1781" w:type="dxa"/>
            <w:noWrap/>
            <w:hideMark/>
          </w:tcPr>
          <w:p w14:paraId="170E06E1"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Wing (CD-ROM, 1996), A2133A. ESTC (RLIN), R015833</w:t>
            </w:r>
          </w:p>
        </w:tc>
        <w:tc>
          <w:tcPr>
            <w:tcW w:w="1237" w:type="dxa"/>
            <w:noWrap/>
            <w:hideMark/>
          </w:tcPr>
          <w:p w14:paraId="102A9459"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4C89CD0F"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06" w:type="dxa"/>
            <w:noWrap/>
            <w:hideMark/>
          </w:tcPr>
          <w:p w14:paraId="5D8C912A" w14:textId="77777777" w:rsidR="00A721D6" w:rsidRPr="003037D2" w:rsidRDefault="00A721D6" w:rsidP="00A721D6">
            <w:pPr>
              <w:spacing w:line="360" w:lineRule="auto"/>
              <w:rPr>
                <w:rFonts w:ascii="Garamond" w:hAnsi="Garamond" w:cstheme="minorHAnsi"/>
                <w:sz w:val="21"/>
                <w:szCs w:val="21"/>
              </w:rPr>
            </w:pPr>
          </w:p>
        </w:tc>
        <w:tc>
          <w:tcPr>
            <w:tcW w:w="947" w:type="dxa"/>
            <w:noWrap/>
            <w:hideMark/>
          </w:tcPr>
          <w:p w14:paraId="74A9D47E"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3249D69E"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55BB3427" w14:textId="77777777" w:rsidR="00A721D6" w:rsidRPr="003037D2" w:rsidRDefault="00A721D6" w:rsidP="00A721D6">
            <w:pPr>
              <w:spacing w:line="360" w:lineRule="auto"/>
              <w:rPr>
                <w:rFonts w:ascii="Garamond" w:hAnsi="Garamond" w:cstheme="minorHAnsi"/>
                <w:sz w:val="21"/>
                <w:szCs w:val="21"/>
              </w:rPr>
            </w:pPr>
          </w:p>
        </w:tc>
      </w:tr>
      <w:tr w:rsidR="00A721D6" w:rsidRPr="003037D2" w14:paraId="3281F33D" w14:textId="77777777" w:rsidTr="00A721D6">
        <w:trPr>
          <w:trHeight w:val="300"/>
        </w:trPr>
        <w:tc>
          <w:tcPr>
            <w:tcW w:w="969" w:type="dxa"/>
            <w:noWrap/>
            <w:hideMark/>
          </w:tcPr>
          <w:p w14:paraId="0AC8A3B3"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lastRenderedPageBreak/>
              <w:t>1654</w:t>
            </w:r>
          </w:p>
        </w:tc>
        <w:tc>
          <w:tcPr>
            <w:tcW w:w="3471" w:type="dxa"/>
            <w:gridSpan w:val="2"/>
            <w:noWrap/>
            <w:hideMark/>
          </w:tcPr>
          <w:p w14:paraId="4E3CCF8F" w14:textId="77777777" w:rsidR="00A721D6" w:rsidRPr="003037D2" w:rsidRDefault="00A721D6" w:rsidP="00A721D6">
            <w:pPr>
              <w:spacing w:line="360" w:lineRule="auto"/>
              <w:rPr>
                <w:rFonts w:ascii="Garamond" w:hAnsi="Garamond" w:cstheme="minorHAnsi"/>
                <w:sz w:val="21"/>
                <w:szCs w:val="21"/>
              </w:rPr>
            </w:pPr>
            <w:proofErr w:type="spellStart"/>
            <w:r w:rsidRPr="003037D2">
              <w:rPr>
                <w:rFonts w:ascii="Garamond" w:hAnsi="Garamond" w:cstheme="minorHAnsi"/>
                <w:sz w:val="21"/>
                <w:szCs w:val="21"/>
              </w:rPr>
              <w:t>Hemeroscopeion</w:t>
            </w:r>
            <w:proofErr w:type="spellEnd"/>
            <w:r w:rsidRPr="003037D2">
              <w:rPr>
                <w:rFonts w:ascii="Garamond" w:hAnsi="Garamond" w:cstheme="minorHAnsi"/>
                <w:sz w:val="21"/>
                <w:szCs w:val="21"/>
              </w:rPr>
              <w:t xml:space="preserve"> Anni </w:t>
            </w:r>
            <w:proofErr w:type="spellStart"/>
            <w:r w:rsidRPr="003037D2">
              <w:rPr>
                <w:rFonts w:ascii="Garamond" w:hAnsi="Garamond" w:cstheme="minorHAnsi"/>
                <w:sz w:val="21"/>
                <w:szCs w:val="21"/>
              </w:rPr>
              <w:t>Aerae</w:t>
            </w:r>
            <w:proofErr w:type="spellEnd"/>
            <w:r w:rsidRPr="003037D2">
              <w:rPr>
                <w:rFonts w:ascii="Garamond" w:hAnsi="Garamond" w:cstheme="minorHAnsi"/>
                <w:sz w:val="21"/>
                <w:szCs w:val="21"/>
              </w:rPr>
              <w:t xml:space="preserve"> </w:t>
            </w:r>
            <w:proofErr w:type="spellStart"/>
            <w:r w:rsidRPr="003037D2">
              <w:rPr>
                <w:rFonts w:ascii="Garamond" w:hAnsi="Garamond" w:cstheme="minorHAnsi"/>
                <w:sz w:val="21"/>
                <w:szCs w:val="21"/>
              </w:rPr>
              <w:t>Christinanae</w:t>
            </w:r>
            <w:proofErr w:type="spellEnd"/>
            <w:r w:rsidRPr="003037D2">
              <w:rPr>
                <w:rFonts w:ascii="Garamond" w:hAnsi="Garamond" w:cstheme="minorHAnsi"/>
                <w:sz w:val="21"/>
                <w:szCs w:val="21"/>
              </w:rPr>
              <w:t xml:space="preserve"> </w:t>
            </w:r>
          </w:p>
        </w:tc>
        <w:tc>
          <w:tcPr>
            <w:tcW w:w="1448" w:type="dxa"/>
            <w:noWrap/>
            <w:hideMark/>
          </w:tcPr>
          <w:p w14:paraId="0DF3905F"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Wharton, George </w:t>
            </w:r>
          </w:p>
        </w:tc>
        <w:tc>
          <w:tcPr>
            <w:tcW w:w="1781" w:type="dxa"/>
            <w:noWrap/>
            <w:hideMark/>
          </w:tcPr>
          <w:p w14:paraId="53F643CF"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ESTC (RLIN), R207511.</w:t>
            </w:r>
          </w:p>
        </w:tc>
        <w:tc>
          <w:tcPr>
            <w:tcW w:w="1237" w:type="dxa"/>
            <w:noWrap/>
            <w:hideMark/>
          </w:tcPr>
          <w:p w14:paraId="299437FD"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3634ABF1"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06" w:type="dxa"/>
            <w:noWrap/>
            <w:hideMark/>
          </w:tcPr>
          <w:p w14:paraId="1DB51DE3" w14:textId="77777777" w:rsidR="00A721D6" w:rsidRPr="003037D2" w:rsidRDefault="00A721D6" w:rsidP="00A721D6">
            <w:pPr>
              <w:spacing w:line="360" w:lineRule="auto"/>
              <w:rPr>
                <w:rFonts w:ascii="Garamond" w:hAnsi="Garamond" w:cstheme="minorHAnsi"/>
                <w:sz w:val="21"/>
                <w:szCs w:val="21"/>
              </w:rPr>
            </w:pPr>
          </w:p>
        </w:tc>
        <w:tc>
          <w:tcPr>
            <w:tcW w:w="947" w:type="dxa"/>
            <w:noWrap/>
            <w:hideMark/>
          </w:tcPr>
          <w:p w14:paraId="48483F11"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16A85275"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52701FD4" w14:textId="77777777" w:rsidR="00A721D6" w:rsidRPr="003037D2" w:rsidRDefault="00A721D6" w:rsidP="00A721D6">
            <w:pPr>
              <w:spacing w:line="360" w:lineRule="auto"/>
              <w:rPr>
                <w:rFonts w:ascii="Garamond" w:hAnsi="Garamond" w:cstheme="minorHAnsi"/>
                <w:sz w:val="21"/>
                <w:szCs w:val="21"/>
              </w:rPr>
            </w:pPr>
          </w:p>
        </w:tc>
      </w:tr>
      <w:tr w:rsidR="00A721D6" w:rsidRPr="003037D2" w14:paraId="46F7BA9C" w14:textId="77777777" w:rsidTr="00A721D6">
        <w:trPr>
          <w:trHeight w:val="300"/>
        </w:trPr>
        <w:tc>
          <w:tcPr>
            <w:tcW w:w="969" w:type="dxa"/>
            <w:noWrap/>
            <w:hideMark/>
          </w:tcPr>
          <w:p w14:paraId="3E5D423A"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1655</w:t>
            </w:r>
          </w:p>
        </w:tc>
        <w:tc>
          <w:tcPr>
            <w:tcW w:w="3471" w:type="dxa"/>
            <w:gridSpan w:val="2"/>
            <w:noWrap/>
            <w:hideMark/>
          </w:tcPr>
          <w:p w14:paraId="1AC28776" w14:textId="77777777" w:rsidR="00A721D6" w:rsidRPr="003037D2" w:rsidRDefault="00A721D6" w:rsidP="00A721D6">
            <w:pPr>
              <w:spacing w:line="360" w:lineRule="auto"/>
              <w:rPr>
                <w:rFonts w:ascii="Garamond" w:hAnsi="Garamond" w:cstheme="minorHAnsi"/>
                <w:sz w:val="21"/>
                <w:szCs w:val="21"/>
              </w:rPr>
            </w:pPr>
            <w:proofErr w:type="spellStart"/>
            <w:r w:rsidRPr="003037D2">
              <w:rPr>
                <w:rFonts w:ascii="Garamond" w:hAnsi="Garamond" w:cstheme="minorHAnsi"/>
                <w:sz w:val="21"/>
                <w:szCs w:val="21"/>
              </w:rPr>
              <w:t>Merlini</w:t>
            </w:r>
            <w:proofErr w:type="spellEnd"/>
            <w:r w:rsidRPr="003037D2">
              <w:rPr>
                <w:rFonts w:ascii="Garamond" w:hAnsi="Garamond" w:cstheme="minorHAnsi"/>
                <w:sz w:val="21"/>
                <w:szCs w:val="21"/>
              </w:rPr>
              <w:t xml:space="preserve"> </w:t>
            </w:r>
            <w:proofErr w:type="spellStart"/>
            <w:r w:rsidRPr="003037D2">
              <w:rPr>
                <w:rFonts w:ascii="Garamond" w:hAnsi="Garamond" w:cstheme="minorHAnsi"/>
                <w:sz w:val="21"/>
                <w:szCs w:val="21"/>
              </w:rPr>
              <w:t>Anglici</w:t>
            </w:r>
            <w:proofErr w:type="spellEnd"/>
            <w:r w:rsidRPr="003037D2">
              <w:rPr>
                <w:rFonts w:ascii="Garamond" w:hAnsi="Garamond" w:cstheme="minorHAnsi"/>
                <w:sz w:val="21"/>
                <w:szCs w:val="21"/>
              </w:rPr>
              <w:t xml:space="preserve"> ephemeris</w:t>
            </w:r>
          </w:p>
        </w:tc>
        <w:tc>
          <w:tcPr>
            <w:tcW w:w="1448" w:type="dxa"/>
            <w:noWrap/>
            <w:hideMark/>
          </w:tcPr>
          <w:p w14:paraId="33D36BEC"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Lilly, William </w:t>
            </w:r>
          </w:p>
        </w:tc>
        <w:tc>
          <w:tcPr>
            <w:tcW w:w="1781" w:type="dxa"/>
            <w:noWrap/>
            <w:hideMark/>
          </w:tcPr>
          <w:p w14:paraId="50DFFD19"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ESTC (RLIN), R008286</w:t>
            </w:r>
          </w:p>
        </w:tc>
        <w:tc>
          <w:tcPr>
            <w:tcW w:w="1237" w:type="dxa"/>
            <w:noWrap/>
            <w:hideMark/>
          </w:tcPr>
          <w:p w14:paraId="3BFD830C" w14:textId="77777777" w:rsidR="00A721D6" w:rsidRPr="003037D2" w:rsidRDefault="00A721D6" w:rsidP="00A721D6">
            <w:pPr>
              <w:spacing w:line="360" w:lineRule="auto"/>
              <w:rPr>
                <w:rFonts w:ascii="Garamond" w:hAnsi="Garamond" w:cstheme="minorHAnsi"/>
                <w:sz w:val="21"/>
                <w:szCs w:val="21"/>
              </w:rPr>
            </w:pPr>
            <w:proofErr w:type="gramStart"/>
            <w:r w:rsidRPr="003037D2">
              <w:rPr>
                <w:rFonts w:ascii="Garamond" w:hAnsi="Garamond" w:cstheme="minorHAnsi"/>
                <w:sz w:val="21"/>
                <w:szCs w:val="21"/>
              </w:rPr>
              <w:t>yes</w:t>
            </w:r>
            <w:proofErr w:type="gramEnd"/>
            <w:r w:rsidRPr="003037D2">
              <w:rPr>
                <w:rFonts w:ascii="Garamond" w:hAnsi="Garamond" w:cstheme="minorHAnsi"/>
                <w:sz w:val="21"/>
                <w:szCs w:val="21"/>
              </w:rPr>
              <w:t xml:space="preserve"> sort of </w:t>
            </w:r>
          </w:p>
        </w:tc>
        <w:tc>
          <w:tcPr>
            <w:tcW w:w="1048" w:type="dxa"/>
            <w:gridSpan w:val="2"/>
            <w:noWrap/>
            <w:hideMark/>
          </w:tcPr>
          <w:p w14:paraId="07992A78" w14:textId="77777777" w:rsidR="00A721D6" w:rsidRPr="003037D2" w:rsidRDefault="00A721D6" w:rsidP="00A721D6">
            <w:pPr>
              <w:spacing w:line="360" w:lineRule="auto"/>
              <w:rPr>
                <w:rFonts w:ascii="Garamond" w:hAnsi="Garamond" w:cstheme="minorHAnsi"/>
                <w:sz w:val="21"/>
                <w:szCs w:val="21"/>
              </w:rPr>
            </w:pPr>
          </w:p>
        </w:tc>
        <w:tc>
          <w:tcPr>
            <w:tcW w:w="1006" w:type="dxa"/>
            <w:noWrap/>
            <w:hideMark/>
          </w:tcPr>
          <w:p w14:paraId="19FEFF89" w14:textId="77777777" w:rsidR="00A721D6" w:rsidRPr="003037D2" w:rsidRDefault="00A721D6" w:rsidP="00A721D6">
            <w:pPr>
              <w:spacing w:line="360" w:lineRule="auto"/>
              <w:rPr>
                <w:rFonts w:ascii="Garamond" w:hAnsi="Garamond" w:cstheme="minorHAnsi"/>
                <w:sz w:val="21"/>
                <w:szCs w:val="21"/>
              </w:rPr>
            </w:pPr>
          </w:p>
        </w:tc>
        <w:tc>
          <w:tcPr>
            <w:tcW w:w="947" w:type="dxa"/>
            <w:noWrap/>
            <w:hideMark/>
          </w:tcPr>
          <w:p w14:paraId="669DD840"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507DF2E7"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0ADC7817" w14:textId="77777777" w:rsidR="00A721D6" w:rsidRPr="003037D2" w:rsidRDefault="00A721D6" w:rsidP="00A721D6">
            <w:pPr>
              <w:spacing w:line="360" w:lineRule="auto"/>
              <w:rPr>
                <w:rFonts w:ascii="Garamond" w:hAnsi="Garamond" w:cstheme="minorHAnsi"/>
                <w:sz w:val="21"/>
                <w:szCs w:val="21"/>
              </w:rPr>
            </w:pPr>
          </w:p>
        </w:tc>
      </w:tr>
      <w:tr w:rsidR="00A721D6" w:rsidRPr="003037D2" w14:paraId="78A7083A" w14:textId="77777777" w:rsidTr="00A721D6">
        <w:trPr>
          <w:trHeight w:val="300"/>
        </w:trPr>
        <w:tc>
          <w:tcPr>
            <w:tcW w:w="969" w:type="dxa"/>
            <w:noWrap/>
            <w:hideMark/>
          </w:tcPr>
          <w:p w14:paraId="28BECB9D"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1656</w:t>
            </w:r>
          </w:p>
        </w:tc>
        <w:tc>
          <w:tcPr>
            <w:tcW w:w="3471" w:type="dxa"/>
            <w:gridSpan w:val="2"/>
            <w:noWrap/>
            <w:hideMark/>
          </w:tcPr>
          <w:p w14:paraId="3A9610D0"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 constant </w:t>
            </w:r>
            <w:proofErr w:type="spellStart"/>
            <w:r w:rsidRPr="003037D2">
              <w:rPr>
                <w:rFonts w:ascii="Garamond" w:hAnsi="Garamond" w:cstheme="minorHAnsi"/>
                <w:sz w:val="21"/>
                <w:szCs w:val="21"/>
              </w:rPr>
              <w:t>kalender</w:t>
            </w:r>
            <w:proofErr w:type="spellEnd"/>
            <w:r w:rsidRPr="003037D2">
              <w:rPr>
                <w:rFonts w:ascii="Garamond" w:hAnsi="Garamond" w:cstheme="minorHAnsi"/>
                <w:sz w:val="21"/>
                <w:szCs w:val="21"/>
              </w:rPr>
              <w:t xml:space="preserve"> or, An almanack for 300 years</w:t>
            </w:r>
          </w:p>
        </w:tc>
        <w:tc>
          <w:tcPr>
            <w:tcW w:w="1448" w:type="dxa"/>
            <w:noWrap/>
            <w:hideMark/>
          </w:tcPr>
          <w:p w14:paraId="2A0FE00B" w14:textId="77777777" w:rsidR="00A721D6" w:rsidRPr="003037D2" w:rsidRDefault="00A721D6" w:rsidP="00A721D6">
            <w:pPr>
              <w:spacing w:line="360" w:lineRule="auto"/>
              <w:rPr>
                <w:rFonts w:ascii="Garamond" w:hAnsi="Garamond" w:cstheme="minorHAnsi"/>
                <w:sz w:val="21"/>
                <w:szCs w:val="21"/>
              </w:rPr>
            </w:pPr>
            <w:proofErr w:type="spellStart"/>
            <w:r w:rsidRPr="003037D2">
              <w:rPr>
                <w:rFonts w:ascii="Garamond" w:hAnsi="Garamond" w:cstheme="minorHAnsi"/>
                <w:sz w:val="21"/>
                <w:szCs w:val="21"/>
              </w:rPr>
              <w:t>Phillippes</w:t>
            </w:r>
            <w:proofErr w:type="spellEnd"/>
            <w:r w:rsidRPr="003037D2">
              <w:rPr>
                <w:rFonts w:ascii="Garamond" w:hAnsi="Garamond" w:cstheme="minorHAnsi"/>
                <w:sz w:val="21"/>
                <w:szCs w:val="21"/>
              </w:rPr>
              <w:t xml:space="preserve">, Henry </w:t>
            </w:r>
          </w:p>
        </w:tc>
        <w:tc>
          <w:tcPr>
            <w:tcW w:w="1781" w:type="dxa"/>
            <w:noWrap/>
            <w:hideMark/>
          </w:tcPr>
          <w:p w14:paraId="3E12CFBA"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Wing (</w:t>
            </w:r>
            <w:proofErr w:type="spellStart"/>
            <w:r w:rsidRPr="003037D2">
              <w:rPr>
                <w:rFonts w:ascii="Garamond" w:hAnsi="Garamond" w:cstheme="minorHAnsi"/>
                <w:sz w:val="21"/>
                <w:szCs w:val="21"/>
              </w:rPr>
              <w:t>CD-Rom</w:t>
            </w:r>
            <w:proofErr w:type="spellEnd"/>
            <w:r w:rsidRPr="003037D2">
              <w:rPr>
                <w:rFonts w:ascii="Garamond" w:hAnsi="Garamond" w:cstheme="minorHAnsi"/>
                <w:sz w:val="21"/>
                <w:szCs w:val="21"/>
              </w:rPr>
              <w:t>, 1996), A2108.  ESTC (RLIN), R029106.</w:t>
            </w:r>
          </w:p>
        </w:tc>
        <w:tc>
          <w:tcPr>
            <w:tcW w:w="1237" w:type="dxa"/>
            <w:noWrap/>
            <w:hideMark/>
          </w:tcPr>
          <w:p w14:paraId="72B7E237"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136E5B68"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06" w:type="dxa"/>
            <w:noWrap/>
            <w:hideMark/>
          </w:tcPr>
          <w:p w14:paraId="0BB56F57" w14:textId="77777777" w:rsidR="00A721D6" w:rsidRPr="003037D2" w:rsidRDefault="00A721D6" w:rsidP="00A721D6">
            <w:pPr>
              <w:spacing w:line="360" w:lineRule="auto"/>
              <w:rPr>
                <w:rFonts w:ascii="Garamond" w:hAnsi="Garamond" w:cstheme="minorHAnsi"/>
                <w:sz w:val="21"/>
                <w:szCs w:val="21"/>
              </w:rPr>
            </w:pPr>
          </w:p>
        </w:tc>
        <w:tc>
          <w:tcPr>
            <w:tcW w:w="947" w:type="dxa"/>
            <w:noWrap/>
            <w:hideMark/>
          </w:tcPr>
          <w:p w14:paraId="4A7D05D1"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3954F905"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0BE20358" w14:textId="77777777" w:rsidR="00A721D6" w:rsidRPr="003037D2" w:rsidRDefault="00A721D6" w:rsidP="00A721D6">
            <w:pPr>
              <w:spacing w:line="360" w:lineRule="auto"/>
              <w:rPr>
                <w:rFonts w:ascii="Garamond" w:hAnsi="Garamond" w:cstheme="minorHAnsi"/>
                <w:sz w:val="21"/>
                <w:szCs w:val="21"/>
              </w:rPr>
            </w:pPr>
          </w:p>
        </w:tc>
      </w:tr>
      <w:tr w:rsidR="00A721D6" w:rsidRPr="003037D2" w14:paraId="01693E88" w14:textId="77777777" w:rsidTr="00A721D6">
        <w:trPr>
          <w:trHeight w:val="300"/>
        </w:trPr>
        <w:tc>
          <w:tcPr>
            <w:tcW w:w="969" w:type="dxa"/>
            <w:noWrap/>
            <w:hideMark/>
          </w:tcPr>
          <w:p w14:paraId="3AF3A14A"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1658</w:t>
            </w:r>
          </w:p>
        </w:tc>
        <w:tc>
          <w:tcPr>
            <w:tcW w:w="3471" w:type="dxa"/>
            <w:gridSpan w:val="2"/>
            <w:noWrap/>
            <w:hideMark/>
          </w:tcPr>
          <w:p w14:paraId="2F7F766A"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 new almanack after a new fashion: </w:t>
            </w:r>
            <w:r w:rsidRPr="003037D2">
              <w:rPr>
                <w:rFonts w:ascii="Garamond" w:hAnsi="Garamond" w:cstheme="minorHAnsi"/>
                <w:i/>
                <w:iCs/>
                <w:sz w:val="21"/>
                <w:szCs w:val="21"/>
              </w:rPr>
              <w:t xml:space="preserve">Celestial </w:t>
            </w:r>
            <w:proofErr w:type="spellStart"/>
            <w:r w:rsidRPr="003037D2">
              <w:rPr>
                <w:rFonts w:ascii="Garamond" w:hAnsi="Garamond" w:cstheme="minorHAnsi"/>
                <w:i/>
                <w:iCs/>
                <w:sz w:val="21"/>
                <w:szCs w:val="21"/>
              </w:rPr>
              <w:t>Calcualtions</w:t>
            </w:r>
            <w:proofErr w:type="spellEnd"/>
            <w:r w:rsidRPr="003037D2">
              <w:rPr>
                <w:rFonts w:ascii="Garamond" w:hAnsi="Garamond" w:cstheme="minorHAnsi"/>
                <w:i/>
                <w:iCs/>
                <w:sz w:val="21"/>
                <w:szCs w:val="21"/>
              </w:rPr>
              <w:t xml:space="preserve"> </w:t>
            </w:r>
            <w:r w:rsidRPr="003037D2">
              <w:rPr>
                <w:rFonts w:ascii="Garamond" w:hAnsi="Garamond" w:cstheme="minorHAnsi"/>
                <w:sz w:val="21"/>
                <w:szCs w:val="21"/>
              </w:rPr>
              <w:t xml:space="preserve">or an Ephemeris </w:t>
            </w:r>
          </w:p>
        </w:tc>
        <w:tc>
          <w:tcPr>
            <w:tcW w:w="1448" w:type="dxa"/>
            <w:noWrap/>
            <w:hideMark/>
          </w:tcPr>
          <w:p w14:paraId="47EE94E0"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Booker, John ‘Johannes </w:t>
            </w:r>
            <w:proofErr w:type="spellStart"/>
            <w:r w:rsidRPr="003037D2">
              <w:rPr>
                <w:rFonts w:ascii="Garamond" w:hAnsi="Garamond" w:cstheme="minorHAnsi"/>
                <w:sz w:val="21"/>
                <w:szCs w:val="21"/>
              </w:rPr>
              <w:t>Bookero</w:t>
            </w:r>
            <w:proofErr w:type="spellEnd"/>
            <w:r w:rsidRPr="003037D2">
              <w:rPr>
                <w:rFonts w:ascii="Garamond" w:hAnsi="Garamond" w:cstheme="minorHAnsi"/>
                <w:sz w:val="21"/>
                <w:szCs w:val="21"/>
              </w:rPr>
              <w:t xml:space="preserve">’ </w:t>
            </w:r>
          </w:p>
        </w:tc>
        <w:tc>
          <w:tcPr>
            <w:tcW w:w="1781" w:type="dxa"/>
            <w:noWrap/>
            <w:hideMark/>
          </w:tcPr>
          <w:p w14:paraId="26D24372"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Wing (2nd ed., 1994), A1340. ESTC (RLIN), R008541.</w:t>
            </w:r>
          </w:p>
        </w:tc>
        <w:tc>
          <w:tcPr>
            <w:tcW w:w="1237" w:type="dxa"/>
            <w:noWrap/>
            <w:hideMark/>
          </w:tcPr>
          <w:p w14:paraId="6B723FBB"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1903E88A" w14:textId="77777777" w:rsidR="00A721D6" w:rsidRPr="003037D2" w:rsidRDefault="00A721D6" w:rsidP="00A721D6">
            <w:pPr>
              <w:spacing w:line="360" w:lineRule="auto"/>
              <w:rPr>
                <w:rFonts w:ascii="Garamond" w:hAnsi="Garamond" w:cstheme="minorHAnsi"/>
                <w:sz w:val="21"/>
                <w:szCs w:val="21"/>
              </w:rPr>
            </w:pPr>
          </w:p>
        </w:tc>
        <w:tc>
          <w:tcPr>
            <w:tcW w:w="1006" w:type="dxa"/>
            <w:noWrap/>
            <w:hideMark/>
          </w:tcPr>
          <w:p w14:paraId="45FCB67F"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947" w:type="dxa"/>
            <w:noWrap/>
            <w:hideMark/>
          </w:tcPr>
          <w:p w14:paraId="0AF2011A"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980" w:type="dxa"/>
            <w:noWrap/>
            <w:hideMark/>
          </w:tcPr>
          <w:p w14:paraId="0121098E"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6B784E85" w14:textId="77777777" w:rsidR="00A721D6" w:rsidRPr="003037D2" w:rsidRDefault="00A721D6" w:rsidP="00A721D6">
            <w:pPr>
              <w:spacing w:line="360" w:lineRule="auto"/>
              <w:rPr>
                <w:rFonts w:ascii="Garamond" w:hAnsi="Garamond" w:cstheme="minorHAnsi"/>
                <w:sz w:val="21"/>
                <w:szCs w:val="21"/>
              </w:rPr>
            </w:pPr>
          </w:p>
        </w:tc>
      </w:tr>
      <w:tr w:rsidR="00A721D6" w:rsidRPr="003037D2" w14:paraId="58581B49" w14:textId="77777777" w:rsidTr="00A721D6">
        <w:trPr>
          <w:trHeight w:val="300"/>
        </w:trPr>
        <w:tc>
          <w:tcPr>
            <w:tcW w:w="969" w:type="dxa"/>
            <w:noWrap/>
            <w:hideMark/>
          </w:tcPr>
          <w:p w14:paraId="3D9089F3"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1658</w:t>
            </w:r>
          </w:p>
        </w:tc>
        <w:tc>
          <w:tcPr>
            <w:tcW w:w="3471" w:type="dxa"/>
            <w:gridSpan w:val="2"/>
            <w:noWrap/>
            <w:hideMark/>
          </w:tcPr>
          <w:p w14:paraId="6D08FF00"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An </w:t>
            </w:r>
            <w:proofErr w:type="gramStart"/>
            <w:r w:rsidRPr="003037D2">
              <w:rPr>
                <w:rFonts w:ascii="Garamond" w:hAnsi="Garamond" w:cstheme="minorHAnsi"/>
                <w:sz w:val="21"/>
                <w:szCs w:val="21"/>
              </w:rPr>
              <w:t>ephemerides</w:t>
            </w:r>
            <w:proofErr w:type="gramEnd"/>
            <w:r w:rsidRPr="003037D2">
              <w:rPr>
                <w:rFonts w:ascii="Garamond" w:hAnsi="Garamond" w:cstheme="minorHAnsi"/>
                <w:sz w:val="21"/>
                <w:szCs w:val="21"/>
              </w:rPr>
              <w:t xml:space="preserve"> of the </w:t>
            </w:r>
            <w:proofErr w:type="spellStart"/>
            <w:r w:rsidRPr="003037D2">
              <w:rPr>
                <w:rFonts w:ascii="Garamond" w:hAnsi="Garamond" w:cstheme="minorHAnsi"/>
                <w:sz w:val="21"/>
                <w:szCs w:val="21"/>
              </w:rPr>
              <w:t>coelestiall</w:t>
            </w:r>
            <w:proofErr w:type="spellEnd"/>
            <w:r w:rsidRPr="003037D2">
              <w:rPr>
                <w:rFonts w:ascii="Garamond" w:hAnsi="Garamond" w:cstheme="minorHAnsi"/>
                <w:sz w:val="21"/>
                <w:szCs w:val="21"/>
              </w:rPr>
              <w:t xml:space="preserve"> motions for XIII years</w:t>
            </w:r>
          </w:p>
        </w:tc>
        <w:tc>
          <w:tcPr>
            <w:tcW w:w="1448" w:type="dxa"/>
            <w:noWrap/>
            <w:hideMark/>
          </w:tcPr>
          <w:p w14:paraId="0D2B927F"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Vincent, Wing </w:t>
            </w:r>
          </w:p>
        </w:tc>
        <w:tc>
          <w:tcPr>
            <w:tcW w:w="1781" w:type="dxa"/>
            <w:noWrap/>
            <w:hideMark/>
          </w:tcPr>
          <w:p w14:paraId="5B9FD067"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ESTC (RLIN), R207359</w:t>
            </w:r>
          </w:p>
        </w:tc>
        <w:tc>
          <w:tcPr>
            <w:tcW w:w="1237" w:type="dxa"/>
            <w:noWrap/>
            <w:hideMark/>
          </w:tcPr>
          <w:p w14:paraId="1D0AD716"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43EA2E66" w14:textId="77777777" w:rsidR="00A721D6" w:rsidRPr="003037D2" w:rsidRDefault="00A721D6" w:rsidP="00A721D6">
            <w:pPr>
              <w:spacing w:line="360" w:lineRule="auto"/>
              <w:rPr>
                <w:rFonts w:ascii="Garamond" w:hAnsi="Garamond" w:cstheme="minorHAnsi"/>
                <w:sz w:val="21"/>
                <w:szCs w:val="21"/>
              </w:rPr>
            </w:pPr>
          </w:p>
        </w:tc>
        <w:tc>
          <w:tcPr>
            <w:tcW w:w="1006" w:type="dxa"/>
            <w:noWrap/>
            <w:hideMark/>
          </w:tcPr>
          <w:p w14:paraId="0A02DCDE" w14:textId="77777777" w:rsidR="00A721D6" w:rsidRPr="003037D2" w:rsidRDefault="00A721D6" w:rsidP="00A721D6">
            <w:pPr>
              <w:spacing w:line="360" w:lineRule="auto"/>
              <w:rPr>
                <w:rFonts w:ascii="Garamond" w:hAnsi="Garamond" w:cstheme="minorHAnsi"/>
                <w:sz w:val="21"/>
                <w:szCs w:val="21"/>
              </w:rPr>
            </w:pPr>
          </w:p>
        </w:tc>
        <w:tc>
          <w:tcPr>
            <w:tcW w:w="947" w:type="dxa"/>
            <w:noWrap/>
            <w:hideMark/>
          </w:tcPr>
          <w:p w14:paraId="2ADFF403"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6CA0D5E1"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7139FAD1" w14:textId="77777777" w:rsidR="00A721D6" w:rsidRPr="003037D2" w:rsidRDefault="00A721D6" w:rsidP="00A721D6">
            <w:pPr>
              <w:spacing w:line="360" w:lineRule="auto"/>
              <w:rPr>
                <w:rFonts w:ascii="Garamond" w:hAnsi="Garamond" w:cstheme="minorHAnsi"/>
                <w:sz w:val="21"/>
                <w:szCs w:val="21"/>
              </w:rPr>
            </w:pPr>
          </w:p>
        </w:tc>
      </w:tr>
      <w:tr w:rsidR="00A721D6" w:rsidRPr="003037D2" w14:paraId="6AABAC8F" w14:textId="77777777" w:rsidTr="00A721D6">
        <w:trPr>
          <w:trHeight w:val="300"/>
        </w:trPr>
        <w:tc>
          <w:tcPr>
            <w:tcW w:w="969" w:type="dxa"/>
            <w:noWrap/>
            <w:hideMark/>
          </w:tcPr>
          <w:p w14:paraId="471BA6FF"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1659</w:t>
            </w:r>
          </w:p>
        </w:tc>
        <w:tc>
          <w:tcPr>
            <w:tcW w:w="3471" w:type="dxa"/>
            <w:gridSpan w:val="2"/>
            <w:noWrap/>
            <w:hideMark/>
          </w:tcPr>
          <w:p w14:paraId="0AE2588F"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A new </w:t>
            </w:r>
            <w:proofErr w:type="spellStart"/>
            <w:r w:rsidRPr="003037D2">
              <w:rPr>
                <w:rFonts w:ascii="Garamond" w:hAnsi="Garamond" w:cstheme="minorHAnsi"/>
                <w:sz w:val="21"/>
                <w:szCs w:val="21"/>
              </w:rPr>
              <w:t>almanacke</w:t>
            </w:r>
            <w:proofErr w:type="spellEnd"/>
            <w:r w:rsidRPr="003037D2">
              <w:rPr>
                <w:rFonts w:ascii="Garamond" w:hAnsi="Garamond" w:cstheme="minorHAnsi"/>
                <w:sz w:val="21"/>
                <w:szCs w:val="21"/>
              </w:rPr>
              <w:t xml:space="preserve"> and prognostication, collected for the </w:t>
            </w:r>
            <w:proofErr w:type="spellStart"/>
            <w:r w:rsidRPr="003037D2">
              <w:rPr>
                <w:rFonts w:ascii="Garamond" w:hAnsi="Garamond" w:cstheme="minorHAnsi"/>
                <w:sz w:val="21"/>
                <w:szCs w:val="21"/>
              </w:rPr>
              <w:t>yeare</w:t>
            </w:r>
            <w:proofErr w:type="spellEnd"/>
            <w:r w:rsidRPr="003037D2">
              <w:rPr>
                <w:rFonts w:ascii="Garamond" w:hAnsi="Garamond" w:cstheme="minorHAnsi"/>
                <w:sz w:val="21"/>
                <w:szCs w:val="21"/>
              </w:rPr>
              <w:t xml:space="preserve"> of our Lorde God </w:t>
            </w:r>
          </w:p>
        </w:tc>
        <w:tc>
          <w:tcPr>
            <w:tcW w:w="1448" w:type="dxa"/>
            <w:noWrap/>
            <w:hideMark/>
          </w:tcPr>
          <w:p w14:paraId="286C2A36"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Vaughan, Lewes </w:t>
            </w:r>
          </w:p>
        </w:tc>
        <w:tc>
          <w:tcPr>
            <w:tcW w:w="1781" w:type="dxa"/>
            <w:noWrap/>
            <w:hideMark/>
          </w:tcPr>
          <w:p w14:paraId="589C1F4D" w14:textId="77777777" w:rsidR="00A721D6" w:rsidRPr="003037D2" w:rsidRDefault="00A721D6" w:rsidP="00A721D6">
            <w:pPr>
              <w:spacing w:line="360" w:lineRule="auto"/>
              <w:rPr>
                <w:rFonts w:ascii="Garamond" w:hAnsi="Garamond" w:cstheme="minorHAnsi"/>
                <w:sz w:val="21"/>
                <w:szCs w:val="21"/>
                <w:lang w:val="it-IT"/>
              </w:rPr>
            </w:pPr>
            <w:r w:rsidRPr="003037D2">
              <w:rPr>
                <w:rFonts w:ascii="Garamond" w:hAnsi="Garamond" w:cstheme="minorHAnsi"/>
                <w:sz w:val="21"/>
                <w:szCs w:val="21"/>
                <w:lang w:val="it-IT"/>
              </w:rPr>
              <w:t>STC (2nd ed.), 520. ESTC (RLIN), S104389</w:t>
            </w:r>
          </w:p>
        </w:tc>
        <w:tc>
          <w:tcPr>
            <w:tcW w:w="1237" w:type="dxa"/>
            <w:noWrap/>
            <w:hideMark/>
          </w:tcPr>
          <w:p w14:paraId="7869A3F6"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07C41027" w14:textId="77777777" w:rsidR="00A721D6" w:rsidRPr="003037D2" w:rsidRDefault="00A721D6" w:rsidP="00A721D6">
            <w:pPr>
              <w:spacing w:line="360" w:lineRule="auto"/>
              <w:rPr>
                <w:rFonts w:ascii="Garamond" w:hAnsi="Garamond" w:cstheme="minorHAnsi"/>
                <w:sz w:val="21"/>
                <w:szCs w:val="21"/>
              </w:rPr>
            </w:pPr>
          </w:p>
        </w:tc>
        <w:tc>
          <w:tcPr>
            <w:tcW w:w="1006" w:type="dxa"/>
            <w:noWrap/>
            <w:hideMark/>
          </w:tcPr>
          <w:p w14:paraId="07AC5E58" w14:textId="77777777" w:rsidR="00A721D6" w:rsidRPr="003037D2" w:rsidRDefault="00A721D6" w:rsidP="00A721D6">
            <w:pPr>
              <w:spacing w:line="360" w:lineRule="auto"/>
              <w:rPr>
                <w:rFonts w:ascii="Garamond" w:hAnsi="Garamond" w:cstheme="minorHAnsi"/>
                <w:sz w:val="21"/>
                <w:szCs w:val="21"/>
              </w:rPr>
            </w:pPr>
          </w:p>
        </w:tc>
        <w:tc>
          <w:tcPr>
            <w:tcW w:w="947" w:type="dxa"/>
            <w:noWrap/>
            <w:hideMark/>
          </w:tcPr>
          <w:p w14:paraId="7AAC15F4"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36D3367D"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5FDE3532" w14:textId="77777777" w:rsidR="00A721D6" w:rsidRPr="003037D2" w:rsidRDefault="00A721D6" w:rsidP="00A721D6">
            <w:pPr>
              <w:spacing w:line="360" w:lineRule="auto"/>
              <w:rPr>
                <w:rFonts w:ascii="Garamond" w:hAnsi="Garamond" w:cstheme="minorHAnsi"/>
                <w:sz w:val="21"/>
                <w:szCs w:val="21"/>
              </w:rPr>
            </w:pPr>
          </w:p>
        </w:tc>
      </w:tr>
      <w:tr w:rsidR="00A721D6" w:rsidRPr="003037D2" w14:paraId="63ACFB2C" w14:textId="77777777" w:rsidTr="00A721D6">
        <w:trPr>
          <w:trHeight w:val="300"/>
        </w:trPr>
        <w:tc>
          <w:tcPr>
            <w:tcW w:w="969" w:type="dxa"/>
            <w:noWrap/>
            <w:hideMark/>
          </w:tcPr>
          <w:p w14:paraId="5707CB48"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1659</w:t>
            </w:r>
          </w:p>
        </w:tc>
        <w:tc>
          <w:tcPr>
            <w:tcW w:w="3471" w:type="dxa"/>
            <w:gridSpan w:val="2"/>
            <w:noWrap/>
            <w:hideMark/>
          </w:tcPr>
          <w:p w14:paraId="610E611F" w14:textId="77777777" w:rsidR="00A721D6" w:rsidRPr="003037D2" w:rsidRDefault="00A721D6" w:rsidP="00A721D6">
            <w:pPr>
              <w:spacing w:line="360" w:lineRule="auto"/>
              <w:rPr>
                <w:rFonts w:ascii="Garamond" w:hAnsi="Garamond" w:cstheme="minorHAnsi"/>
                <w:sz w:val="21"/>
                <w:szCs w:val="21"/>
              </w:rPr>
            </w:pPr>
            <w:proofErr w:type="spellStart"/>
            <w:r w:rsidRPr="003037D2">
              <w:rPr>
                <w:rFonts w:ascii="Garamond" w:hAnsi="Garamond" w:cstheme="minorHAnsi"/>
                <w:sz w:val="21"/>
                <w:szCs w:val="21"/>
              </w:rPr>
              <w:t>Calendarium</w:t>
            </w:r>
            <w:proofErr w:type="spellEnd"/>
            <w:r w:rsidRPr="003037D2">
              <w:rPr>
                <w:rFonts w:ascii="Garamond" w:hAnsi="Garamond" w:cstheme="minorHAnsi"/>
                <w:sz w:val="21"/>
                <w:szCs w:val="21"/>
              </w:rPr>
              <w:t xml:space="preserve"> </w:t>
            </w:r>
            <w:proofErr w:type="spellStart"/>
            <w:r w:rsidRPr="003037D2">
              <w:rPr>
                <w:rFonts w:ascii="Garamond" w:hAnsi="Garamond" w:cstheme="minorHAnsi"/>
                <w:sz w:val="21"/>
                <w:szCs w:val="21"/>
              </w:rPr>
              <w:t>ecclesiasticum</w:t>
            </w:r>
            <w:proofErr w:type="spellEnd"/>
            <w:r w:rsidRPr="003037D2">
              <w:rPr>
                <w:rFonts w:ascii="Garamond" w:hAnsi="Garamond" w:cstheme="minorHAnsi"/>
                <w:sz w:val="21"/>
                <w:szCs w:val="21"/>
              </w:rPr>
              <w:t xml:space="preserve">: or, A new almanack after the old fashion </w:t>
            </w:r>
          </w:p>
        </w:tc>
        <w:tc>
          <w:tcPr>
            <w:tcW w:w="1448" w:type="dxa"/>
            <w:noWrap/>
            <w:hideMark/>
          </w:tcPr>
          <w:p w14:paraId="7FB0C58A"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Wharton, George (Sir) </w:t>
            </w:r>
          </w:p>
        </w:tc>
        <w:tc>
          <w:tcPr>
            <w:tcW w:w="1781" w:type="dxa"/>
            <w:noWrap/>
            <w:hideMark/>
          </w:tcPr>
          <w:p w14:paraId="3B9732D3"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Wing (2nd ed., 1994), A2659. ESTC (RLIN), R034356</w:t>
            </w:r>
          </w:p>
        </w:tc>
        <w:tc>
          <w:tcPr>
            <w:tcW w:w="1237" w:type="dxa"/>
            <w:noWrap/>
            <w:hideMark/>
          </w:tcPr>
          <w:p w14:paraId="32858D83"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4892B1A8" w14:textId="77777777" w:rsidR="00A721D6" w:rsidRPr="003037D2" w:rsidRDefault="00A721D6" w:rsidP="00A721D6">
            <w:pPr>
              <w:spacing w:line="360" w:lineRule="auto"/>
              <w:rPr>
                <w:rFonts w:ascii="Garamond" w:hAnsi="Garamond" w:cstheme="minorHAnsi"/>
                <w:sz w:val="21"/>
                <w:szCs w:val="21"/>
              </w:rPr>
            </w:pPr>
          </w:p>
        </w:tc>
        <w:tc>
          <w:tcPr>
            <w:tcW w:w="1006" w:type="dxa"/>
            <w:noWrap/>
            <w:hideMark/>
          </w:tcPr>
          <w:p w14:paraId="3EB6566B"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947" w:type="dxa"/>
            <w:noWrap/>
            <w:hideMark/>
          </w:tcPr>
          <w:p w14:paraId="741E1F49"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yes</w:t>
            </w:r>
          </w:p>
        </w:tc>
        <w:tc>
          <w:tcPr>
            <w:tcW w:w="980" w:type="dxa"/>
            <w:noWrap/>
            <w:hideMark/>
          </w:tcPr>
          <w:p w14:paraId="42A31A3F"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0632BDEE" w14:textId="77777777" w:rsidR="00A721D6" w:rsidRPr="003037D2" w:rsidRDefault="00A721D6" w:rsidP="00A721D6">
            <w:pPr>
              <w:spacing w:line="360" w:lineRule="auto"/>
              <w:rPr>
                <w:rFonts w:ascii="Garamond" w:hAnsi="Garamond" w:cstheme="minorHAnsi"/>
                <w:sz w:val="21"/>
                <w:szCs w:val="21"/>
              </w:rPr>
            </w:pPr>
          </w:p>
        </w:tc>
      </w:tr>
      <w:tr w:rsidR="00A721D6" w:rsidRPr="003037D2" w14:paraId="6D8F8539" w14:textId="77777777" w:rsidTr="00A721D6">
        <w:trPr>
          <w:trHeight w:val="300"/>
        </w:trPr>
        <w:tc>
          <w:tcPr>
            <w:tcW w:w="969" w:type="dxa"/>
            <w:noWrap/>
            <w:hideMark/>
          </w:tcPr>
          <w:p w14:paraId="7E2CAB29"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1664</w:t>
            </w:r>
          </w:p>
        </w:tc>
        <w:tc>
          <w:tcPr>
            <w:tcW w:w="3471" w:type="dxa"/>
            <w:gridSpan w:val="2"/>
            <w:noWrap/>
            <w:hideMark/>
          </w:tcPr>
          <w:p w14:paraId="12AF3E7B"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A new almanack for the said year</w:t>
            </w:r>
          </w:p>
        </w:tc>
        <w:tc>
          <w:tcPr>
            <w:tcW w:w="1448" w:type="dxa"/>
            <w:noWrap/>
            <w:hideMark/>
          </w:tcPr>
          <w:p w14:paraId="67FCAE74"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Gallen, Thomas </w:t>
            </w:r>
          </w:p>
        </w:tc>
        <w:tc>
          <w:tcPr>
            <w:tcW w:w="1781" w:type="dxa"/>
            <w:noWrap/>
            <w:hideMark/>
          </w:tcPr>
          <w:p w14:paraId="63BD73B3"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ESTC (RLIN), R013390 Wing </w:t>
            </w:r>
            <w:r w:rsidRPr="003037D2">
              <w:rPr>
                <w:rFonts w:ascii="Garamond" w:hAnsi="Garamond" w:cstheme="minorHAnsi"/>
                <w:sz w:val="21"/>
                <w:szCs w:val="21"/>
              </w:rPr>
              <w:lastRenderedPageBreak/>
              <w:t>(CD-ROM, 1996), A1789eA</w:t>
            </w:r>
          </w:p>
        </w:tc>
        <w:tc>
          <w:tcPr>
            <w:tcW w:w="1237" w:type="dxa"/>
            <w:noWrap/>
            <w:hideMark/>
          </w:tcPr>
          <w:p w14:paraId="760C98E1"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lastRenderedPageBreak/>
              <w:t xml:space="preserve">No </w:t>
            </w:r>
          </w:p>
        </w:tc>
        <w:tc>
          <w:tcPr>
            <w:tcW w:w="1048" w:type="dxa"/>
            <w:gridSpan w:val="2"/>
            <w:noWrap/>
            <w:hideMark/>
          </w:tcPr>
          <w:p w14:paraId="5C51DD6F" w14:textId="77777777" w:rsidR="00A721D6" w:rsidRPr="003037D2" w:rsidRDefault="00A721D6" w:rsidP="00A721D6">
            <w:pPr>
              <w:spacing w:line="360" w:lineRule="auto"/>
              <w:rPr>
                <w:rFonts w:ascii="Garamond" w:hAnsi="Garamond" w:cstheme="minorHAnsi"/>
                <w:sz w:val="21"/>
                <w:szCs w:val="21"/>
              </w:rPr>
            </w:pPr>
          </w:p>
        </w:tc>
        <w:tc>
          <w:tcPr>
            <w:tcW w:w="1006" w:type="dxa"/>
            <w:noWrap/>
            <w:hideMark/>
          </w:tcPr>
          <w:p w14:paraId="4BA8C22A" w14:textId="77777777" w:rsidR="00A721D6" w:rsidRPr="003037D2" w:rsidRDefault="00A721D6" w:rsidP="00A721D6">
            <w:pPr>
              <w:spacing w:line="360" w:lineRule="auto"/>
              <w:rPr>
                <w:rFonts w:ascii="Garamond" w:hAnsi="Garamond" w:cstheme="minorHAnsi"/>
                <w:sz w:val="21"/>
                <w:szCs w:val="21"/>
              </w:rPr>
            </w:pPr>
          </w:p>
        </w:tc>
        <w:tc>
          <w:tcPr>
            <w:tcW w:w="947" w:type="dxa"/>
            <w:noWrap/>
            <w:hideMark/>
          </w:tcPr>
          <w:p w14:paraId="242DB31B"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083CD13A"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20335D50" w14:textId="77777777" w:rsidR="00A721D6" w:rsidRPr="003037D2" w:rsidRDefault="00A721D6" w:rsidP="00A721D6">
            <w:pPr>
              <w:spacing w:line="360" w:lineRule="auto"/>
              <w:rPr>
                <w:rFonts w:ascii="Garamond" w:hAnsi="Garamond" w:cstheme="minorHAnsi"/>
                <w:sz w:val="21"/>
                <w:szCs w:val="21"/>
              </w:rPr>
            </w:pPr>
          </w:p>
        </w:tc>
      </w:tr>
      <w:tr w:rsidR="00A721D6" w:rsidRPr="003037D2" w14:paraId="66F5001C" w14:textId="77777777" w:rsidTr="00A721D6">
        <w:trPr>
          <w:trHeight w:val="300"/>
        </w:trPr>
        <w:tc>
          <w:tcPr>
            <w:tcW w:w="969" w:type="dxa"/>
            <w:noWrap/>
            <w:hideMark/>
          </w:tcPr>
          <w:p w14:paraId="35F6E0A1"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1666</w:t>
            </w:r>
          </w:p>
        </w:tc>
        <w:tc>
          <w:tcPr>
            <w:tcW w:w="3471" w:type="dxa"/>
            <w:gridSpan w:val="2"/>
            <w:noWrap/>
            <w:hideMark/>
          </w:tcPr>
          <w:p w14:paraId="5B146351"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A new almanack for the said year</w:t>
            </w:r>
          </w:p>
        </w:tc>
        <w:tc>
          <w:tcPr>
            <w:tcW w:w="1448" w:type="dxa"/>
            <w:noWrap/>
            <w:hideMark/>
          </w:tcPr>
          <w:p w14:paraId="38330AAB"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Gallen, Thomas </w:t>
            </w:r>
          </w:p>
        </w:tc>
        <w:tc>
          <w:tcPr>
            <w:tcW w:w="1781" w:type="dxa"/>
            <w:noWrap/>
            <w:hideMark/>
          </w:tcPr>
          <w:p w14:paraId="192D1FB6"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ESTC (RLIN), R003725</w:t>
            </w:r>
          </w:p>
        </w:tc>
        <w:tc>
          <w:tcPr>
            <w:tcW w:w="1237" w:type="dxa"/>
            <w:noWrap/>
            <w:hideMark/>
          </w:tcPr>
          <w:p w14:paraId="73263792"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48" w:type="dxa"/>
            <w:gridSpan w:val="2"/>
            <w:noWrap/>
            <w:hideMark/>
          </w:tcPr>
          <w:p w14:paraId="1C2ECD8F"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yes </w:t>
            </w:r>
          </w:p>
        </w:tc>
        <w:tc>
          <w:tcPr>
            <w:tcW w:w="1006" w:type="dxa"/>
            <w:noWrap/>
            <w:hideMark/>
          </w:tcPr>
          <w:p w14:paraId="4A90A19E" w14:textId="77777777" w:rsidR="00A721D6" w:rsidRPr="003037D2" w:rsidRDefault="00A721D6" w:rsidP="00A721D6">
            <w:pPr>
              <w:spacing w:line="360" w:lineRule="auto"/>
              <w:rPr>
                <w:rFonts w:ascii="Garamond" w:hAnsi="Garamond" w:cstheme="minorHAnsi"/>
                <w:sz w:val="21"/>
                <w:szCs w:val="21"/>
              </w:rPr>
            </w:pPr>
            <w:r w:rsidRPr="003037D2">
              <w:rPr>
                <w:rFonts w:ascii="Garamond" w:hAnsi="Garamond" w:cstheme="minorHAnsi"/>
                <w:sz w:val="21"/>
                <w:szCs w:val="21"/>
              </w:rPr>
              <w:t xml:space="preserve">minor </w:t>
            </w:r>
          </w:p>
        </w:tc>
        <w:tc>
          <w:tcPr>
            <w:tcW w:w="947" w:type="dxa"/>
            <w:noWrap/>
            <w:hideMark/>
          </w:tcPr>
          <w:p w14:paraId="29950CDB" w14:textId="77777777" w:rsidR="00A721D6" w:rsidRPr="003037D2" w:rsidRDefault="00A721D6" w:rsidP="00A721D6">
            <w:pPr>
              <w:spacing w:line="360" w:lineRule="auto"/>
              <w:rPr>
                <w:rFonts w:ascii="Garamond" w:hAnsi="Garamond" w:cstheme="minorHAnsi"/>
                <w:sz w:val="21"/>
                <w:szCs w:val="21"/>
              </w:rPr>
            </w:pPr>
          </w:p>
        </w:tc>
        <w:tc>
          <w:tcPr>
            <w:tcW w:w="980" w:type="dxa"/>
            <w:noWrap/>
            <w:hideMark/>
          </w:tcPr>
          <w:p w14:paraId="561AFAF5" w14:textId="77777777" w:rsidR="00A721D6" w:rsidRPr="003037D2" w:rsidRDefault="00A721D6" w:rsidP="00A721D6">
            <w:pPr>
              <w:spacing w:line="360" w:lineRule="auto"/>
              <w:rPr>
                <w:rFonts w:ascii="Garamond" w:hAnsi="Garamond" w:cstheme="minorHAnsi"/>
                <w:sz w:val="21"/>
                <w:szCs w:val="21"/>
              </w:rPr>
            </w:pPr>
          </w:p>
        </w:tc>
        <w:tc>
          <w:tcPr>
            <w:tcW w:w="1061" w:type="dxa"/>
            <w:noWrap/>
            <w:hideMark/>
          </w:tcPr>
          <w:p w14:paraId="641A7B31" w14:textId="77777777" w:rsidR="00A721D6" w:rsidRPr="003037D2" w:rsidRDefault="00A721D6" w:rsidP="00A721D6">
            <w:pPr>
              <w:spacing w:line="360" w:lineRule="auto"/>
              <w:rPr>
                <w:rFonts w:ascii="Garamond" w:hAnsi="Garamond" w:cstheme="minorHAnsi"/>
                <w:sz w:val="21"/>
                <w:szCs w:val="21"/>
              </w:rPr>
            </w:pPr>
          </w:p>
        </w:tc>
      </w:tr>
    </w:tbl>
    <w:p w14:paraId="60120EEE" w14:textId="77777777" w:rsidR="00A721D6" w:rsidRPr="003037D2" w:rsidRDefault="00A721D6" w:rsidP="00A721D6">
      <w:pPr>
        <w:spacing w:line="360" w:lineRule="auto"/>
        <w:rPr>
          <w:rFonts w:ascii="Garamond" w:hAnsi="Garamond"/>
          <w:lang w:eastAsia="zh-CN"/>
        </w:rPr>
      </w:pPr>
    </w:p>
    <w:p w14:paraId="2FD3BBB8" w14:textId="77777777" w:rsidR="00A721D6" w:rsidRPr="003037D2" w:rsidRDefault="00A721D6" w:rsidP="00A721D6">
      <w:pPr>
        <w:spacing w:line="360" w:lineRule="auto"/>
        <w:rPr>
          <w:rFonts w:ascii="Garamond" w:hAnsi="Garamond"/>
          <w:lang w:eastAsia="zh-CN"/>
        </w:rPr>
      </w:pPr>
    </w:p>
    <w:p w14:paraId="68D553F7" w14:textId="77777777" w:rsidR="00A721D6" w:rsidRPr="003037D2" w:rsidRDefault="00A721D6" w:rsidP="00A721D6">
      <w:pPr>
        <w:spacing w:line="360" w:lineRule="auto"/>
        <w:rPr>
          <w:rFonts w:ascii="Garamond" w:hAnsi="Garamond"/>
          <w:lang w:eastAsia="zh-CN"/>
        </w:rPr>
      </w:pPr>
    </w:p>
    <w:p w14:paraId="5B030791" w14:textId="18FA3415" w:rsidR="00A721D6" w:rsidRDefault="00A721D6" w:rsidP="00A721D6">
      <w:pPr>
        <w:spacing w:line="360" w:lineRule="auto"/>
        <w:rPr>
          <w:rFonts w:ascii="Garamond" w:hAnsi="Garamond"/>
          <w:lang w:eastAsia="zh-CN"/>
        </w:rPr>
      </w:pPr>
    </w:p>
    <w:p w14:paraId="51ACBC0E" w14:textId="766696BF" w:rsidR="00A3344F" w:rsidRDefault="00A3344F" w:rsidP="00A721D6">
      <w:pPr>
        <w:spacing w:line="360" w:lineRule="auto"/>
        <w:rPr>
          <w:rFonts w:ascii="Garamond" w:hAnsi="Garamond"/>
          <w:lang w:eastAsia="zh-CN"/>
        </w:rPr>
      </w:pPr>
    </w:p>
    <w:p w14:paraId="58B21E90" w14:textId="36C4068F" w:rsidR="00A3344F" w:rsidRDefault="00A3344F" w:rsidP="00A721D6">
      <w:pPr>
        <w:spacing w:line="360" w:lineRule="auto"/>
        <w:rPr>
          <w:rFonts w:ascii="Garamond" w:hAnsi="Garamond"/>
          <w:lang w:eastAsia="zh-CN"/>
        </w:rPr>
      </w:pPr>
    </w:p>
    <w:p w14:paraId="193C7B56" w14:textId="06EF7A5C" w:rsidR="00A3344F" w:rsidRDefault="00A3344F" w:rsidP="00A721D6">
      <w:pPr>
        <w:spacing w:line="360" w:lineRule="auto"/>
        <w:rPr>
          <w:rFonts w:ascii="Garamond" w:hAnsi="Garamond"/>
          <w:lang w:eastAsia="zh-CN"/>
        </w:rPr>
      </w:pPr>
    </w:p>
    <w:p w14:paraId="2C35DA5D" w14:textId="68738E9D" w:rsidR="00A3344F" w:rsidRDefault="00A3344F" w:rsidP="00A721D6">
      <w:pPr>
        <w:spacing w:line="360" w:lineRule="auto"/>
        <w:rPr>
          <w:rFonts w:ascii="Garamond" w:hAnsi="Garamond"/>
          <w:lang w:eastAsia="zh-CN"/>
        </w:rPr>
      </w:pPr>
    </w:p>
    <w:p w14:paraId="3432FAD9" w14:textId="553C579F" w:rsidR="00A3344F" w:rsidRDefault="00A3344F" w:rsidP="00A721D6">
      <w:pPr>
        <w:spacing w:line="360" w:lineRule="auto"/>
        <w:rPr>
          <w:rFonts w:ascii="Garamond" w:hAnsi="Garamond"/>
          <w:lang w:eastAsia="zh-CN"/>
        </w:rPr>
      </w:pPr>
    </w:p>
    <w:p w14:paraId="06FA539E" w14:textId="5A95DAE7" w:rsidR="00A3344F" w:rsidRDefault="00A3344F" w:rsidP="00A721D6">
      <w:pPr>
        <w:spacing w:line="360" w:lineRule="auto"/>
        <w:rPr>
          <w:rFonts w:ascii="Garamond" w:hAnsi="Garamond"/>
          <w:lang w:eastAsia="zh-CN"/>
        </w:rPr>
      </w:pPr>
    </w:p>
    <w:p w14:paraId="41FBA7E2" w14:textId="77777777" w:rsidR="00A3344F" w:rsidRPr="003037D2" w:rsidRDefault="00A3344F" w:rsidP="00A721D6">
      <w:pPr>
        <w:spacing w:line="360" w:lineRule="auto"/>
        <w:rPr>
          <w:rFonts w:ascii="Garamond" w:hAnsi="Garamond"/>
          <w:lang w:eastAsia="zh-CN"/>
        </w:rPr>
      </w:pPr>
    </w:p>
    <w:p w14:paraId="1E46218A" w14:textId="77777777" w:rsidR="00A721D6" w:rsidRPr="003037D2" w:rsidRDefault="00A721D6" w:rsidP="00A721D6">
      <w:pPr>
        <w:spacing w:line="360" w:lineRule="auto"/>
        <w:rPr>
          <w:rFonts w:ascii="Garamond" w:hAnsi="Garamond"/>
          <w:lang w:eastAsia="zh-CN"/>
        </w:rPr>
      </w:pPr>
    </w:p>
    <w:p w14:paraId="03817923" w14:textId="77777777" w:rsidR="00A721D6" w:rsidRPr="003037D2" w:rsidRDefault="00A721D6" w:rsidP="00A721D6">
      <w:pPr>
        <w:spacing w:line="360" w:lineRule="auto"/>
        <w:rPr>
          <w:rFonts w:ascii="Garamond" w:hAnsi="Garamond"/>
          <w:lang w:eastAsia="zh-CN"/>
        </w:rPr>
      </w:pPr>
    </w:p>
    <w:p w14:paraId="1910EA91" w14:textId="77777777" w:rsidR="00A721D6" w:rsidRPr="003037D2" w:rsidRDefault="00A721D6" w:rsidP="00A721D6">
      <w:pPr>
        <w:spacing w:line="360" w:lineRule="auto"/>
        <w:rPr>
          <w:rFonts w:ascii="Garamond" w:hAnsi="Garamond"/>
          <w:lang w:eastAsia="zh-CN"/>
        </w:rPr>
      </w:pPr>
    </w:p>
    <w:p w14:paraId="39036EA7" w14:textId="77777777" w:rsidR="00A721D6" w:rsidRPr="003037D2" w:rsidRDefault="00A721D6" w:rsidP="00A721D6">
      <w:pPr>
        <w:spacing w:line="360" w:lineRule="auto"/>
        <w:rPr>
          <w:rFonts w:ascii="Garamond" w:hAnsi="Garamond"/>
          <w:lang w:eastAsia="zh-CN"/>
        </w:rPr>
      </w:pPr>
    </w:p>
    <w:p w14:paraId="53B8DC6D" w14:textId="77777777" w:rsidR="00A721D6" w:rsidRPr="003037D2" w:rsidRDefault="00A721D6" w:rsidP="00A721D6">
      <w:pPr>
        <w:pStyle w:val="Heading1"/>
        <w:spacing w:line="360" w:lineRule="auto"/>
        <w:rPr>
          <w:rFonts w:ascii="Garamond" w:hAnsi="Garamond"/>
          <w:sz w:val="22"/>
          <w:szCs w:val="22"/>
          <w:lang w:val="fr-FR" w:eastAsia="zh-CN"/>
        </w:rPr>
      </w:pPr>
      <w:bookmarkStart w:id="276" w:name="_Toc3967207"/>
      <w:r w:rsidRPr="003037D2">
        <w:rPr>
          <w:rFonts w:ascii="Garamond" w:hAnsi="Garamond"/>
          <w:sz w:val="22"/>
          <w:szCs w:val="22"/>
          <w:lang w:eastAsia="zh-CN"/>
        </w:rPr>
        <w:lastRenderedPageBreak/>
        <w:t>Appendix</w:t>
      </w:r>
      <w:r w:rsidRPr="003037D2">
        <w:rPr>
          <w:rFonts w:ascii="Garamond" w:hAnsi="Garamond"/>
          <w:sz w:val="22"/>
          <w:szCs w:val="22"/>
          <w:lang w:val="fr-FR" w:eastAsia="zh-CN"/>
        </w:rPr>
        <w:t xml:space="preserve"> II. Sermon </w:t>
      </w:r>
      <w:proofErr w:type="spellStart"/>
      <w:r w:rsidRPr="003037D2">
        <w:rPr>
          <w:rFonts w:ascii="Garamond" w:hAnsi="Garamond"/>
          <w:sz w:val="22"/>
          <w:szCs w:val="22"/>
          <w:lang w:val="fr-FR" w:eastAsia="zh-CN"/>
        </w:rPr>
        <w:t>Title</w:t>
      </w:r>
      <w:proofErr w:type="spellEnd"/>
      <w:r w:rsidRPr="003037D2">
        <w:rPr>
          <w:rFonts w:ascii="Garamond" w:hAnsi="Garamond"/>
          <w:sz w:val="22"/>
          <w:szCs w:val="22"/>
          <w:lang w:val="fr-FR" w:eastAsia="zh-CN"/>
        </w:rPr>
        <w:t xml:space="preserve"> Page Data</w:t>
      </w:r>
      <w:bookmarkEnd w:id="276"/>
      <w:r w:rsidRPr="003037D2">
        <w:rPr>
          <w:rFonts w:ascii="Garamond" w:hAnsi="Garamond"/>
          <w:sz w:val="22"/>
          <w:szCs w:val="22"/>
          <w:lang w:val="fr-FR" w:eastAsia="zh-CN"/>
        </w:rPr>
        <w:t xml:space="preserve">  </w:t>
      </w:r>
    </w:p>
    <w:p w14:paraId="75ED20AE" w14:textId="77777777" w:rsidR="00A721D6" w:rsidRPr="003037D2" w:rsidRDefault="00A721D6" w:rsidP="00A721D6">
      <w:pPr>
        <w:spacing w:line="360" w:lineRule="auto"/>
        <w:rPr>
          <w:rFonts w:ascii="Garamond" w:hAnsi="Garamond"/>
          <w:sz w:val="20"/>
          <w:szCs w:val="20"/>
          <w:lang w:val="fr-FR" w:eastAsia="zh-CN"/>
        </w:rPr>
      </w:pPr>
    </w:p>
    <w:tbl>
      <w:tblPr>
        <w:tblStyle w:val="GridTable1Light"/>
        <w:tblW w:w="0" w:type="auto"/>
        <w:tblLook w:val="0480" w:firstRow="0" w:lastRow="0" w:firstColumn="1" w:lastColumn="0" w:noHBand="0" w:noVBand="1"/>
      </w:tblPr>
      <w:tblGrid>
        <w:gridCol w:w="1285"/>
        <w:gridCol w:w="1185"/>
        <w:gridCol w:w="891"/>
        <w:gridCol w:w="904"/>
        <w:gridCol w:w="1088"/>
        <w:gridCol w:w="814"/>
        <w:gridCol w:w="1201"/>
        <w:gridCol w:w="1154"/>
        <w:gridCol w:w="1016"/>
        <w:gridCol w:w="663"/>
        <w:gridCol w:w="915"/>
        <w:gridCol w:w="1029"/>
        <w:gridCol w:w="1156"/>
        <w:gridCol w:w="935"/>
      </w:tblGrid>
      <w:tr w:rsidR="00A721D6" w:rsidRPr="003037D2" w14:paraId="43E11A96" w14:textId="77777777" w:rsidTr="00A721D6">
        <w:trPr>
          <w:cantSplit/>
          <w:trHeight w:val="1266"/>
        </w:trPr>
        <w:tc>
          <w:tcPr>
            <w:cnfStyle w:val="001000000000" w:firstRow="0" w:lastRow="0" w:firstColumn="1" w:lastColumn="0" w:oddVBand="0" w:evenVBand="0" w:oddHBand="0" w:evenHBand="0" w:firstRowFirstColumn="0" w:firstRowLastColumn="0" w:lastRowFirstColumn="0" w:lastRowLastColumn="0"/>
            <w:tcW w:w="1244"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noWrap/>
            <w:textDirection w:val="btLr"/>
            <w:hideMark/>
          </w:tcPr>
          <w:p w14:paraId="250BA04F" w14:textId="77777777" w:rsidR="00A721D6" w:rsidRPr="003037D2" w:rsidRDefault="00A721D6" w:rsidP="00A721D6">
            <w:pPr>
              <w:spacing w:line="360" w:lineRule="auto"/>
              <w:ind w:left="113" w:right="113"/>
              <w:rPr>
                <w:rFonts w:ascii="Garamond" w:hAnsi="Garamond"/>
                <w:sz w:val="20"/>
                <w:szCs w:val="20"/>
              </w:rPr>
            </w:pPr>
            <w:r w:rsidRPr="003037D2">
              <w:rPr>
                <w:rFonts w:ascii="Garamond" w:hAnsi="Garamond"/>
                <w:sz w:val="20"/>
                <w:szCs w:val="20"/>
              </w:rPr>
              <w:t>Preacher</w:t>
            </w:r>
          </w:p>
        </w:tc>
        <w:tc>
          <w:tcPr>
            <w:tcW w:w="1125"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noWrap/>
            <w:textDirection w:val="btLr"/>
            <w:hideMark/>
          </w:tcPr>
          <w:p w14:paraId="4A11BC28" w14:textId="77777777" w:rsidR="00A721D6" w:rsidRPr="003037D2" w:rsidRDefault="00A721D6" w:rsidP="00A721D6">
            <w:pPr>
              <w:spacing w:line="360" w:lineRule="auto"/>
              <w:ind w:left="113" w:right="113"/>
              <w:cnfStyle w:val="000000000000" w:firstRow="0" w:lastRow="0" w:firstColumn="0" w:lastColumn="0" w:oddVBand="0" w:evenVBand="0" w:oddHBand="0" w:evenHBand="0" w:firstRowFirstColumn="0" w:firstRowLastColumn="0" w:lastRowFirstColumn="0" w:lastRowLastColumn="0"/>
              <w:rPr>
                <w:rFonts w:ascii="Garamond" w:hAnsi="Garamond"/>
                <w:b/>
                <w:bCs/>
                <w:sz w:val="20"/>
                <w:szCs w:val="20"/>
              </w:rPr>
            </w:pPr>
            <w:r w:rsidRPr="003037D2">
              <w:rPr>
                <w:rFonts w:ascii="Garamond" w:hAnsi="Garamond"/>
                <w:b/>
                <w:bCs/>
                <w:sz w:val="20"/>
                <w:szCs w:val="20"/>
              </w:rPr>
              <w:t xml:space="preserve">Book Seller </w:t>
            </w:r>
          </w:p>
        </w:tc>
        <w:tc>
          <w:tcPr>
            <w:tcW w:w="918"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noWrap/>
            <w:textDirection w:val="btLr"/>
            <w:hideMark/>
          </w:tcPr>
          <w:p w14:paraId="256C32FC" w14:textId="77777777" w:rsidR="00A721D6" w:rsidRPr="003037D2" w:rsidRDefault="00A721D6" w:rsidP="00A721D6">
            <w:pPr>
              <w:spacing w:line="360" w:lineRule="auto"/>
              <w:ind w:left="113" w:right="113"/>
              <w:cnfStyle w:val="000000000000" w:firstRow="0" w:lastRow="0" w:firstColumn="0" w:lastColumn="0" w:oddVBand="0" w:evenVBand="0" w:oddHBand="0" w:evenHBand="0" w:firstRowFirstColumn="0" w:firstRowLastColumn="0" w:lastRowFirstColumn="0" w:lastRowLastColumn="0"/>
              <w:rPr>
                <w:rFonts w:ascii="Garamond" w:hAnsi="Garamond"/>
                <w:b/>
                <w:bCs/>
                <w:sz w:val="20"/>
                <w:szCs w:val="20"/>
              </w:rPr>
            </w:pPr>
            <w:r w:rsidRPr="003037D2">
              <w:rPr>
                <w:rFonts w:ascii="Garamond" w:hAnsi="Garamond"/>
                <w:b/>
                <w:bCs/>
                <w:sz w:val="20"/>
                <w:szCs w:val="20"/>
              </w:rPr>
              <w:t xml:space="preserve">Date Published </w:t>
            </w:r>
          </w:p>
        </w:tc>
        <w:tc>
          <w:tcPr>
            <w:tcW w:w="931"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noWrap/>
            <w:textDirection w:val="btLr"/>
            <w:hideMark/>
          </w:tcPr>
          <w:p w14:paraId="42ECA8F7" w14:textId="77777777" w:rsidR="00A721D6" w:rsidRPr="003037D2" w:rsidRDefault="00A721D6" w:rsidP="00A721D6">
            <w:pPr>
              <w:spacing w:line="360" w:lineRule="auto"/>
              <w:ind w:left="113" w:right="113"/>
              <w:cnfStyle w:val="000000000000" w:firstRow="0" w:lastRow="0" w:firstColumn="0" w:lastColumn="0" w:oddVBand="0" w:evenVBand="0" w:oddHBand="0" w:evenHBand="0" w:firstRowFirstColumn="0" w:firstRowLastColumn="0" w:lastRowFirstColumn="0" w:lastRowLastColumn="0"/>
              <w:rPr>
                <w:rFonts w:ascii="Garamond" w:hAnsi="Garamond"/>
                <w:b/>
                <w:bCs/>
                <w:sz w:val="20"/>
                <w:szCs w:val="20"/>
              </w:rPr>
            </w:pPr>
            <w:r w:rsidRPr="003037D2">
              <w:rPr>
                <w:rFonts w:ascii="Garamond" w:hAnsi="Garamond"/>
                <w:b/>
                <w:bCs/>
                <w:sz w:val="20"/>
                <w:szCs w:val="20"/>
              </w:rPr>
              <w:t xml:space="preserve">Collection </w:t>
            </w:r>
          </w:p>
        </w:tc>
        <w:tc>
          <w:tcPr>
            <w:tcW w:w="1035"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noWrap/>
            <w:textDirection w:val="btLr"/>
            <w:hideMark/>
          </w:tcPr>
          <w:p w14:paraId="0C1AE725" w14:textId="77777777" w:rsidR="00A721D6" w:rsidRPr="003037D2" w:rsidRDefault="00A721D6" w:rsidP="00A721D6">
            <w:pPr>
              <w:spacing w:line="360" w:lineRule="auto"/>
              <w:ind w:left="113" w:right="113"/>
              <w:cnfStyle w:val="000000000000" w:firstRow="0" w:lastRow="0" w:firstColumn="0" w:lastColumn="0" w:oddVBand="0" w:evenVBand="0" w:oddHBand="0" w:evenHBand="0" w:firstRowFirstColumn="0" w:firstRowLastColumn="0" w:lastRowFirstColumn="0" w:lastRowLastColumn="0"/>
              <w:rPr>
                <w:rFonts w:ascii="Garamond" w:hAnsi="Garamond"/>
                <w:b/>
                <w:bCs/>
                <w:sz w:val="20"/>
                <w:szCs w:val="20"/>
              </w:rPr>
            </w:pPr>
            <w:r w:rsidRPr="003037D2">
              <w:rPr>
                <w:rFonts w:ascii="Garamond" w:hAnsi="Garamond"/>
                <w:b/>
                <w:bCs/>
                <w:sz w:val="20"/>
                <w:szCs w:val="20"/>
              </w:rPr>
              <w:t xml:space="preserve">Location of Publication </w:t>
            </w:r>
          </w:p>
        </w:tc>
        <w:tc>
          <w:tcPr>
            <w:tcW w:w="838"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noWrap/>
            <w:textDirection w:val="btLr"/>
            <w:hideMark/>
          </w:tcPr>
          <w:p w14:paraId="7F2240FE" w14:textId="77777777" w:rsidR="00A721D6" w:rsidRPr="003037D2" w:rsidRDefault="00A721D6" w:rsidP="00A721D6">
            <w:pPr>
              <w:spacing w:line="360" w:lineRule="auto"/>
              <w:ind w:left="113" w:right="113"/>
              <w:cnfStyle w:val="000000000000" w:firstRow="0" w:lastRow="0" w:firstColumn="0" w:lastColumn="0" w:oddVBand="0" w:evenVBand="0" w:oddHBand="0" w:evenHBand="0" w:firstRowFirstColumn="0" w:firstRowLastColumn="0" w:lastRowFirstColumn="0" w:lastRowLastColumn="0"/>
              <w:rPr>
                <w:rFonts w:ascii="Garamond" w:hAnsi="Garamond"/>
                <w:b/>
                <w:bCs/>
                <w:sz w:val="20"/>
                <w:szCs w:val="20"/>
              </w:rPr>
            </w:pPr>
            <w:r w:rsidRPr="003037D2">
              <w:rPr>
                <w:rFonts w:ascii="Garamond" w:hAnsi="Garamond"/>
                <w:b/>
                <w:bCs/>
                <w:sz w:val="20"/>
                <w:szCs w:val="20"/>
              </w:rPr>
              <w:t xml:space="preserve">Place of preaching? </w:t>
            </w:r>
          </w:p>
        </w:tc>
        <w:tc>
          <w:tcPr>
            <w:tcW w:w="1203"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noWrap/>
            <w:textDirection w:val="btLr"/>
            <w:hideMark/>
          </w:tcPr>
          <w:p w14:paraId="60244635" w14:textId="77777777" w:rsidR="00A721D6" w:rsidRPr="003037D2" w:rsidRDefault="00A721D6" w:rsidP="00A721D6">
            <w:pPr>
              <w:spacing w:line="360" w:lineRule="auto"/>
              <w:ind w:left="113" w:right="113"/>
              <w:cnfStyle w:val="000000000000" w:firstRow="0" w:lastRow="0" w:firstColumn="0" w:lastColumn="0" w:oddVBand="0" w:evenVBand="0" w:oddHBand="0" w:evenHBand="0" w:firstRowFirstColumn="0" w:firstRowLastColumn="0" w:lastRowFirstColumn="0" w:lastRowLastColumn="0"/>
              <w:rPr>
                <w:rFonts w:ascii="Garamond" w:hAnsi="Garamond"/>
                <w:b/>
                <w:bCs/>
                <w:sz w:val="20"/>
                <w:szCs w:val="20"/>
              </w:rPr>
            </w:pPr>
            <w:r w:rsidRPr="003037D2">
              <w:rPr>
                <w:rFonts w:ascii="Garamond" w:hAnsi="Garamond"/>
                <w:b/>
                <w:bCs/>
                <w:sz w:val="20"/>
                <w:szCs w:val="20"/>
              </w:rPr>
              <w:t xml:space="preserve">Place type </w:t>
            </w:r>
          </w:p>
        </w:tc>
        <w:tc>
          <w:tcPr>
            <w:tcW w:w="1118"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noWrap/>
            <w:textDirection w:val="btLr"/>
            <w:hideMark/>
          </w:tcPr>
          <w:p w14:paraId="6AA65BDB" w14:textId="77777777" w:rsidR="00A721D6" w:rsidRPr="003037D2" w:rsidRDefault="00A721D6" w:rsidP="00A721D6">
            <w:pPr>
              <w:spacing w:line="360" w:lineRule="auto"/>
              <w:ind w:left="113" w:right="113"/>
              <w:cnfStyle w:val="000000000000" w:firstRow="0" w:lastRow="0" w:firstColumn="0" w:lastColumn="0" w:oddVBand="0" w:evenVBand="0" w:oddHBand="0" w:evenHBand="0" w:firstRowFirstColumn="0" w:firstRowLastColumn="0" w:lastRowFirstColumn="0" w:lastRowLastColumn="0"/>
              <w:rPr>
                <w:rFonts w:ascii="Garamond" w:hAnsi="Garamond"/>
                <w:b/>
                <w:bCs/>
                <w:sz w:val="20"/>
                <w:szCs w:val="20"/>
              </w:rPr>
            </w:pPr>
            <w:r w:rsidRPr="003037D2">
              <w:rPr>
                <w:rFonts w:ascii="Garamond" w:hAnsi="Garamond"/>
                <w:b/>
                <w:bCs/>
                <w:sz w:val="20"/>
                <w:szCs w:val="20"/>
              </w:rPr>
              <w:t>Place type 2</w:t>
            </w:r>
          </w:p>
        </w:tc>
        <w:tc>
          <w:tcPr>
            <w:tcW w:w="981"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noWrap/>
            <w:textDirection w:val="btLr"/>
            <w:hideMark/>
          </w:tcPr>
          <w:p w14:paraId="0B1EE363" w14:textId="77777777" w:rsidR="00A721D6" w:rsidRPr="003037D2" w:rsidRDefault="00A721D6" w:rsidP="00A721D6">
            <w:pPr>
              <w:spacing w:line="360" w:lineRule="auto"/>
              <w:ind w:left="113" w:right="113"/>
              <w:cnfStyle w:val="000000000000" w:firstRow="0" w:lastRow="0" w:firstColumn="0" w:lastColumn="0" w:oddVBand="0" w:evenVBand="0" w:oddHBand="0" w:evenHBand="0" w:firstRowFirstColumn="0" w:firstRowLastColumn="0" w:lastRowFirstColumn="0" w:lastRowLastColumn="0"/>
              <w:rPr>
                <w:rFonts w:ascii="Garamond" w:hAnsi="Garamond"/>
                <w:b/>
                <w:bCs/>
                <w:sz w:val="20"/>
                <w:szCs w:val="20"/>
              </w:rPr>
            </w:pPr>
            <w:r w:rsidRPr="003037D2">
              <w:rPr>
                <w:rFonts w:ascii="Garamond" w:hAnsi="Garamond"/>
                <w:b/>
                <w:bCs/>
                <w:sz w:val="20"/>
                <w:szCs w:val="20"/>
              </w:rPr>
              <w:t>Place type 3</w:t>
            </w:r>
          </w:p>
        </w:tc>
        <w:tc>
          <w:tcPr>
            <w:tcW w:w="681"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noWrap/>
            <w:textDirection w:val="btLr"/>
            <w:hideMark/>
          </w:tcPr>
          <w:p w14:paraId="3B0605FC" w14:textId="77777777" w:rsidR="00A721D6" w:rsidRPr="003037D2" w:rsidRDefault="00A721D6" w:rsidP="00A721D6">
            <w:pPr>
              <w:spacing w:line="360" w:lineRule="auto"/>
              <w:ind w:left="113" w:right="113"/>
              <w:cnfStyle w:val="000000000000" w:firstRow="0" w:lastRow="0" w:firstColumn="0" w:lastColumn="0" w:oddVBand="0" w:evenVBand="0" w:oddHBand="0" w:evenHBand="0" w:firstRowFirstColumn="0" w:firstRowLastColumn="0" w:lastRowFirstColumn="0" w:lastRowLastColumn="0"/>
              <w:rPr>
                <w:rFonts w:ascii="Garamond" w:hAnsi="Garamond"/>
                <w:b/>
                <w:bCs/>
                <w:sz w:val="20"/>
                <w:szCs w:val="20"/>
              </w:rPr>
            </w:pPr>
            <w:r w:rsidRPr="003037D2">
              <w:rPr>
                <w:rFonts w:ascii="Garamond" w:hAnsi="Garamond"/>
                <w:b/>
                <w:bCs/>
                <w:sz w:val="20"/>
                <w:szCs w:val="20"/>
              </w:rPr>
              <w:t xml:space="preserve">Date given? </w:t>
            </w:r>
          </w:p>
        </w:tc>
        <w:tc>
          <w:tcPr>
            <w:tcW w:w="853"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noWrap/>
            <w:textDirection w:val="btLr"/>
            <w:hideMark/>
          </w:tcPr>
          <w:p w14:paraId="71207726" w14:textId="77777777" w:rsidR="00A721D6" w:rsidRPr="003037D2" w:rsidRDefault="00A721D6" w:rsidP="00A721D6">
            <w:pPr>
              <w:spacing w:line="360" w:lineRule="auto"/>
              <w:ind w:left="113" w:right="113"/>
              <w:cnfStyle w:val="000000000000" w:firstRow="0" w:lastRow="0" w:firstColumn="0" w:lastColumn="0" w:oddVBand="0" w:evenVBand="0" w:oddHBand="0" w:evenHBand="0" w:firstRowFirstColumn="0" w:firstRowLastColumn="0" w:lastRowFirstColumn="0" w:lastRowLastColumn="0"/>
              <w:rPr>
                <w:rFonts w:ascii="Garamond" w:hAnsi="Garamond"/>
                <w:b/>
                <w:bCs/>
                <w:sz w:val="20"/>
                <w:szCs w:val="20"/>
              </w:rPr>
            </w:pPr>
            <w:r w:rsidRPr="003037D2">
              <w:rPr>
                <w:rFonts w:ascii="Garamond" w:hAnsi="Garamond"/>
                <w:b/>
                <w:bCs/>
                <w:sz w:val="20"/>
                <w:szCs w:val="20"/>
              </w:rPr>
              <w:t xml:space="preserve">Date style </w:t>
            </w:r>
          </w:p>
        </w:tc>
        <w:tc>
          <w:tcPr>
            <w:tcW w:w="965"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noWrap/>
            <w:textDirection w:val="btLr"/>
            <w:hideMark/>
          </w:tcPr>
          <w:p w14:paraId="0587EE82" w14:textId="77777777" w:rsidR="00A721D6" w:rsidRPr="003037D2" w:rsidRDefault="00A721D6" w:rsidP="00A721D6">
            <w:pPr>
              <w:spacing w:line="360" w:lineRule="auto"/>
              <w:ind w:left="113" w:right="113"/>
              <w:cnfStyle w:val="000000000000" w:firstRow="0" w:lastRow="0" w:firstColumn="0" w:lastColumn="0" w:oddVBand="0" w:evenVBand="0" w:oddHBand="0" w:evenHBand="0" w:firstRowFirstColumn="0" w:firstRowLastColumn="0" w:lastRowFirstColumn="0" w:lastRowLastColumn="0"/>
              <w:rPr>
                <w:rFonts w:ascii="Garamond" w:hAnsi="Garamond"/>
                <w:b/>
                <w:bCs/>
                <w:sz w:val="20"/>
                <w:szCs w:val="20"/>
              </w:rPr>
            </w:pPr>
            <w:r w:rsidRPr="003037D2">
              <w:rPr>
                <w:rFonts w:ascii="Garamond" w:hAnsi="Garamond"/>
                <w:b/>
                <w:bCs/>
                <w:sz w:val="20"/>
                <w:szCs w:val="20"/>
              </w:rPr>
              <w:t xml:space="preserve">Date style 2 </w:t>
            </w:r>
          </w:p>
        </w:tc>
        <w:tc>
          <w:tcPr>
            <w:tcW w:w="1093"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noWrap/>
            <w:textDirection w:val="btLr"/>
            <w:hideMark/>
          </w:tcPr>
          <w:p w14:paraId="4AD5B4E3" w14:textId="77777777" w:rsidR="00A721D6" w:rsidRPr="003037D2" w:rsidRDefault="00A721D6" w:rsidP="00A721D6">
            <w:pPr>
              <w:spacing w:line="360" w:lineRule="auto"/>
              <w:ind w:left="113" w:right="113"/>
              <w:cnfStyle w:val="000000000000" w:firstRow="0" w:lastRow="0" w:firstColumn="0" w:lastColumn="0" w:oddVBand="0" w:evenVBand="0" w:oddHBand="0" w:evenHBand="0" w:firstRowFirstColumn="0" w:firstRowLastColumn="0" w:lastRowFirstColumn="0" w:lastRowLastColumn="0"/>
              <w:rPr>
                <w:rFonts w:ascii="Garamond" w:hAnsi="Garamond"/>
                <w:b/>
                <w:bCs/>
                <w:sz w:val="20"/>
                <w:szCs w:val="20"/>
              </w:rPr>
            </w:pPr>
            <w:r w:rsidRPr="003037D2">
              <w:rPr>
                <w:rFonts w:ascii="Garamond" w:hAnsi="Garamond"/>
                <w:b/>
                <w:bCs/>
                <w:sz w:val="20"/>
                <w:szCs w:val="20"/>
              </w:rPr>
              <w:t>Date style 3</w:t>
            </w:r>
          </w:p>
        </w:tc>
        <w:tc>
          <w:tcPr>
            <w:tcW w:w="963"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noWrap/>
            <w:textDirection w:val="btLr"/>
            <w:hideMark/>
          </w:tcPr>
          <w:p w14:paraId="03894322" w14:textId="77777777" w:rsidR="00A721D6" w:rsidRPr="003037D2" w:rsidRDefault="00A721D6" w:rsidP="00A721D6">
            <w:pPr>
              <w:spacing w:line="360" w:lineRule="auto"/>
              <w:ind w:left="113" w:right="113"/>
              <w:cnfStyle w:val="000000000000" w:firstRow="0" w:lastRow="0" w:firstColumn="0" w:lastColumn="0" w:oddVBand="0" w:evenVBand="0" w:oddHBand="0" w:evenHBand="0" w:firstRowFirstColumn="0" w:firstRowLastColumn="0" w:lastRowFirstColumn="0" w:lastRowLastColumn="0"/>
              <w:rPr>
                <w:rFonts w:ascii="Garamond" w:hAnsi="Garamond"/>
                <w:b/>
                <w:bCs/>
                <w:sz w:val="20"/>
                <w:szCs w:val="20"/>
              </w:rPr>
            </w:pPr>
            <w:r w:rsidRPr="003037D2">
              <w:rPr>
                <w:rFonts w:ascii="Garamond" w:hAnsi="Garamond"/>
                <w:b/>
                <w:bCs/>
                <w:sz w:val="20"/>
                <w:szCs w:val="20"/>
              </w:rPr>
              <w:t>Location of preacher's living?</w:t>
            </w:r>
          </w:p>
        </w:tc>
      </w:tr>
      <w:tr w:rsidR="00A721D6" w:rsidRPr="003037D2" w14:paraId="579AD09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tcBorders>
              <w:top w:val="single" w:sz="12" w:space="0" w:color="auto"/>
            </w:tcBorders>
            <w:noWrap/>
            <w:hideMark/>
          </w:tcPr>
          <w:p w14:paraId="2DC5BEEA"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Abbott, Robert </w:t>
            </w:r>
          </w:p>
        </w:tc>
        <w:tc>
          <w:tcPr>
            <w:tcW w:w="1125" w:type="dxa"/>
            <w:tcBorders>
              <w:top w:val="single" w:sz="12" w:space="0" w:color="auto"/>
            </w:tcBorders>
            <w:noWrap/>
            <w:hideMark/>
          </w:tcPr>
          <w:p w14:paraId="1639E9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spellStart"/>
            <w:r w:rsidRPr="003037D2">
              <w:rPr>
                <w:rFonts w:ascii="Garamond" w:hAnsi="Garamond"/>
                <w:sz w:val="20"/>
                <w:szCs w:val="20"/>
              </w:rPr>
              <w:t>Philomen</w:t>
            </w:r>
            <w:proofErr w:type="spellEnd"/>
            <w:r w:rsidRPr="003037D2">
              <w:rPr>
                <w:rFonts w:ascii="Garamond" w:hAnsi="Garamond"/>
                <w:sz w:val="20"/>
                <w:szCs w:val="20"/>
              </w:rPr>
              <w:t xml:space="preserve"> Stephens and Christopher Meredith</w:t>
            </w:r>
          </w:p>
        </w:tc>
        <w:tc>
          <w:tcPr>
            <w:tcW w:w="918" w:type="dxa"/>
            <w:tcBorders>
              <w:top w:val="single" w:sz="12" w:space="0" w:color="auto"/>
            </w:tcBorders>
            <w:noWrap/>
            <w:hideMark/>
          </w:tcPr>
          <w:p w14:paraId="46BA137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tcBorders>
              <w:top w:val="single" w:sz="12" w:space="0" w:color="auto"/>
            </w:tcBorders>
            <w:noWrap/>
            <w:hideMark/>
          </w:tcPr>
          <w:p w14:paraId="6B887F2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tcBorders>
              <w:top w:val="single" w:sz="12" w:space="0" w:color="auto"/>
            </w:tcBorders>
            <w:noWrap/>
            <w:hideMark/>
          </w:tcPr>
          <w:p w14:paraId="6E8423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tcBorders>
              <w:top w:val="single" w:sz="12" w:space="0" w:color="auto"/>
            </w:tcBorders>
            <w:noWrap/>
            <w:hideMark/>
          </w:tcPr>
          <w:p w14:paraId="5E551D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tcBorders>
              <w:top w:val="single" w:sz="12" w:space="0" w:color="auto"/>
            </w:tcBorders>
            <w:noWrap/>
            <w:hideMark/>
          </w:tcPr>
          <w:p w14:paraId="026B27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tcBorders>
              <w:top w:val="single" w:sz="12" w:space="0" w:color="auto"/>
            </w:tcBorders>
            <w:noWrap/>
            <w:hideMark/>
          </w:tcPr>
          <w:p w14:paraId="63D0AD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tcBorders>
              <w:top w:val="single" w:sz="12" w:space="0" w:color="auto"/>
            </w:tcBorders>
            <w:noWrap/>
            <w:hideMark/>
          </w:tcPr>
          <w:p w14:paraId="57AAC3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tcBorders>
              <w:top w:val="single" w:sz="12" w:space="0" w:color="auto"/>
            </w:tcBorders>
            <w:noWrap/>
            <w:hideMark/>
          </w:tcPr>
          <w:p w14:paraId="4D25F8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tcBorders>
              <w:top w:val="single" w:sz="12" w:space="0" w:color="auto"/>
            </w:tcBorders>
            <w:noWrap/>
            <w:hideMark/>
          </w:tcPr>
          <w:p w14:paraId="44B436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visitation </w:t>
            </w:r>
          </w:p>
        </w:tc>
        <w:tc>
          <w:tcPr>
            <w:tcW w:w="1093" w:type="dxa"/>
            <w:tcBorders>
              <w:top w:val="single" w:sz="12" w:space="0" w:color="auto"/>
            </w:tcBorders>
            <w:noWrap/>
            <w:hideMark/>
          </w:tcPr>
          <w:p w14:paraId="50A589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tcBorders>
              <w:top w:val="single" w:sz="12" w:space="0" w:color="auto"/>
            </w:tcBorders>
            <w:noWrap/>
            <w:hideMark/>
          </w:tcPr>
          <w:p w14:paraId="799B58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45CC7C0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940153A"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Abbott, Robert </w:t>
            </w:r>
          </w:p>
        </w:tc>
        <w:tc>
          <w:tcPr>
            <w:tcW w:w="1125" w:type="dxa"/>
            <w:noWrap/>
            <w:hideMark/>
          </w:tcPr>
          <w:p w14:paraId="5A7B48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spellStart"/>
            <w:r w:rsidRPr="003037D2">
              <w:rPr>
                <w:rFonts w:ascii="Garamond" w:hAnsi="Garamond"/>
                <w:sz w:val="20"/>
                <w:szCs w:val="20"/>
              </w:rPr>
              <w:t>Philomen</w:t>
            </w:r>
            <w:proofErr w:type="spellEnd"/>
            <w:r w:rsidRPr="003037D2">
              <w:rPr>
                <w:rFonts w:ascii="Garamond" w:hAnsi="Garamond"/>
                <w:sz w:val="20"/>
                <w:szCs w:val="20"/>
              </w:rPr>
              <w:t xml:space="preserve"> Stephens and Christopher Meredith</w:t>
            </w:r>
          </w:p>
        </w:tc>
        <w:tc>
          <w:tcPr>
            <w:tcW w:w="918" w:type="dxa"/>
            <w:noWrap/>
            <w:hideMark/>
          </w:tcPr>
          <w:p w14:paraId="46864A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1638</w:t>
            </w:r>
          </w:p>
        </w:tc>
        <w:tc>
          <w:tcPr>
            <w:tcW w:w="931" w:type="dxa"/>
            <w:noWrap/>
            <w:hideMark/>
          </w:tcPr>
          <w:p w14:paraId="28F128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46B79B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0CC962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4CCB9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5CFA1B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20DFC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DA398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3810A3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consecration </w:t>
            </w:r>
          </w:p>
        </w:tc>
        <w:tc>
          <w:tcPr>
            <w:tcW w:w="1093" w:type="dxa"/>
            <w:noWrap/>
            <w:hideMark/>
          </w:tcPr>
          <w:p w14:paraId="7165F0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ED03D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2BDB39B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0BEF647"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Adams, Thomas </w:t>
            </w:r>
          </w:p>
        </w:tc>
        <w:tc>
          <w:tcPr>
            <w:tcW w:w="1125" w:type="dxa"/>
            <w:noWrap/>
            <w:hideMark/>
          </w:tcPr>
          <w:p w14:paraId="48FAE4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Grismand</w:t>
            </w:r>
            <w:proofErr w:type="spellEnd"/>
          </w:p>
        </w:tc>
        <w:tc>
          <w:tcPr>
            <w:tcW w:w="918" w:type="dxa"/>
            <w:noWrap/>
            <w:hideMark/>
          </w:tcPr>
          <w:p w14:paraId="5C1EB8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218AD2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5A95D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2D83E8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8895B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08956D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794918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9A067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29A5CF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591086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9F204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4A43D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2049E51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4432C3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Adams, Thomas </w:t>
            </w:r>
          </w:p>
        </w:tc>
        <w:tc>
          <w:tcPr>
            <w:tcW w:w="1125" w:type="dxa"/>
            <w:noWrap/>
            <w:hideMark/>
          </w:tcPr>
          <w:p w14:paraId="70039C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Grismand</w:t>
            </w:r>
            <w:proofErr w:type="spellEnd"/>
          </w:p>
        </w:tc>
        <w:tc>
          <w:tcPr>
            <w:tcW w:w="918" w:type="dxa"/>
            <w:noWrap/>
            <w:hideMark/>
          </w:tcPr>
          <w:p w14:paraId="558D7F5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305BFD6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035" w:type="dxa"/>
            <w:noWrap/>
            <w:hideMark/>
          </w:tcPr>
          <w:p w14:paraId="54156AD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54B01E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37C08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48514FF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981" w:type="dxa"/>
            <w:noWrap/>
            <w:hideMark/>
          </w:tcPr>
          <w:p w14:paraId="727610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65746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D3745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5C6D87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visitation </w:t>
            </w:r>
          </w:p>
        </w:tc>
        <w:tc>
          <w:tcPr>
            <w:tcW w:w="1093" w:type="dxa"/>
            <w:noWrap/>
            <w:hideMark/>
          </w:tcPr>
          <w:p w14:paraId="70F9332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election </w:t>
            </w:r>
          </w:p>
        </w:tc>
        <w:tc>
          <w:tcPr>
            <w:tcW w:w="963" w:type="dxa"/>
            <w:noWrap/>
            <w:hideMark/>
          </w:tcPr>
          <w:p w14:paraId="232D6A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02E8694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DE57213"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Adams, Thomas </w:t>
            </w:r>
          </w:p>
        </w:tc>
        <w:tc>
          <w:tcPr>
            <w:tcW w:w="1125" w:type="dxa"/>
            <w:noWrap/>
            <w:hideMark/>
          </w:tcPr>
          <w:p w14:paraId="765625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Grismand</w:t>
            </w:r>
            <w:proofErr w:type="spellEnd"/>
          </w:p>
        </w:tc>
        <w:tc>
          <w:tcPr>
            <w:tcW w:w="918" w:type="dxa"/>
            <w:noWrap/>
            <w:hideMark/>
          </w:tcPr>
          <w:p w14:paraId="61F826E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07F9DA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74874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198DA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00FFB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302FC9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45793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EC98B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4EB09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37D229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4974C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B6D80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04D485D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91B7F0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Adams, Thomas </w:t>
            </w:r>
          </w:p>
        </w:tc>
        <w:tc>
          <w:tcPr>
            <w:tcW w:w="1125" w:type="dxa"/>
            <w:noWrap/>
            <w:hideMark/>
          </w:tcPr>
          <w:p w14:paraId="1EE58F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Augustine </w:t>
            </w:r>
            <w:proofErr w:type="spellStart"/>
            <w:r w:rsidRPr="003037D2">
              <w:rPr>
                <w:rFonts w:ascii="Garamond" w:hAnsi="Garamond"/>
                <w:sz w:val="20"/>
                <w:szCs w:val="20"/>
              </w:rPr>
              <w:t>Matthewes</w:t>
            </w:r>
            <w:proofErr w:type="spellEnd"/>
          </w:p>
        </w:tc>
        <w:tc>
          <w:tcPr>
            <w:tcW w:w="918" w:type="dxa"/>
            <w:noWrap/>
            <w:hideMark/>
          </w:tcPr>
          <w:p w14:paraId="67D075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4325A0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035" w:type="dxa"/>
            <w:noWrap/>
            <w:hideMark/>
          </w:tcPr>
          <w:p w14:paraId="1594A3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024286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D3546F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0FF0E4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77AE0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00D5F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C1B2F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0A02FD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visitation </w:t>
            </w:r>
          </w:p>
        </w:tc>
        <w:tc>
          <w:tcPr>
            <w:tcW w:w="1093" w:type="dxa"/>
            <w:noWrap/>
            <w:hideMark/>
          </w:tcPr>
          <w:p w14:paraId="2FBAD5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election </w:t>
            </w:r>
          </w:p>
        </w:tc>
        <w:tc>
          <w:tcPr>
            <w:tcW w:w="963" w:type="dxa"/>
            <w:noWrap/>
            <w:hideMark/>
          </w:tcPr>
          <w:p w14:paraId="2D9D41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472A805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81FF401"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lastRenderedPageBreak/>
              <w:t>Ailesbury</w:t>
            </w:r>
            <w:proofErr w:type="spellEnd"/>
            <w:r w:rsidRPr="003037D2">
              <w:rPr>
                <w:rFonts w:ascii="Garamond" w:hAnsi="Garamond"/>
                <w:b w:val="0"/>
                <w:bCs w:val="0"/>
                <w:sz w:val="20"/>
                <w:szCs w:val="20"/>
              </w:rPr>
              <w:t>, Thomas</w:t>
            </w:r>
          </w:p>
        </w:tc>
        <w:tc>
          <w:tcPr>
            <w:tcW w:w="1125" w:type="dxa"/>
            <w:noWrap/>
            <w:hideMark/>
          </w:tcPr>
          <w:p w14:paraId="2CE0B5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Leonard Becket </w:t>
            </w:r>
          </w:p>
        </w:tc>
        <w:tc>
          <w:tcPr>
            <w:tcW w:w="918" w:type="dxa"/>
            <w:noWrap/>
            <w:hideMark/>
          </w:tcPr>
          <w:p w14:paraId="4394B33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3AABC2E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A602EA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06EA41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3EF7CE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7597B4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7F0073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E51AD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E7291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Term </w:t>
            </w:r>
          </w:p>
        </w:tc>
        <w:tc>
          <w:tcPr>
            <w:tcW w:w="965" w:type="dxa"/>
            <w:noWrap/>
            <w:hideMark/>
          </w:tcPr>
          <w:p w14:paraId="5C5256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DCB56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CB281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5A7BF77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489A461"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Ailesbury</w:t>
            </w:r>
            <w:proofErr w:type="spellEnd"/>
            <w:r w:rsidRPr="003037D2">
              <w:rPr>
                <w:rFonts w:ascii="Garamond" w:hAnsi="Garamond"/>
                <w:b w:val="0"/>
                <w:bCs w:val="0"/>
                <w:sz w:val="20"/>
                <w:szCs w:val="20"/>
              </w:rPr>
              <w:t>, Thomas</w:t>
            </w:r>
          </w:p>
        </w:tc>
        <w:tc>
          <w:tcPr>
            <w:tcW w:w="1125" w:type="dxa"/>
            <w:noWrap/>
            <w:hideMark/>
          </w:tcPr>
          <w:p w14:paraId="6F73E7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Leonard Becket </w:t>
            </w:r>
          </w:p>
        </w:tc>
        <w:tc>
          <w:tcPr>
            <w:tcW w:w="918" w:type="dxa"/>
            <w:noWrap/>
            <w:hideMark/>
          </w:tcPr>
          <w:p w14:paraId="4C9306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3F6157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473F5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3FA5B4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2F7A4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0176E1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8AAC1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9D08F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31126D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All-saints </w:t>
            </w:r>
          </w:p>
        </w:tc>
        <w:tc>
          <w:tcPr>
            <w:tcW w:w="1093" w:type="dxa"/>
            <w:noWrap/>
            <w:hideMark/>
          </w:tcPr>
          <w:p w14:paraId="2AF8BB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3499F9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4445675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0D24083"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Ailesbury</w:t>
            </w:r>
            <w:proofErr w:type="spellEnd"/>
            <w:r w:rsidRPr="003037D2">
              <w:rPr>
                <w:rFonts w:ascii="Garamond" w:hAnsi="Garamond"/>
                <w:b w:val="0"/>
                <w:bCs w:val="0"/>
                <w:sz w:val="20"/>
                <w:szCs w:val="20"/>
              </w:rPr>
              <w:t>, Thomas</w:t>
            </w:r>
          </w:p>
        </w:tc>
        <w:tc>
          <w:tcPr>
            <w:tcW w:w="1125" w:type="dxa"/>
            <w:noWrap/>
            <w:hideMark/>
          </w:tcPr>
          <w:p w14:paraId="7D01D4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Richard Moore</w:t>
            </w:r>
          </w:p>
        </w:tc>
        <w:tc>
          <w:tcPr>
            <w:tcW w:w="918" w:type="dxa"/>
            <w:noWrap/>
            <w:hideMark/>
          </w:tcPr>
          <w:p w14:paraId="4A31F2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792102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0263C7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8E2C7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F1D4E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62466A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28216B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3AF336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35452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Good-Friday </w:t>
            </w:r>
          </w:p>
        </w:tc>
        <w:tc>
          <w:tcPr>
            <w:tcW w:w="965" w:type="dxa"/>
            <w:noWrap/>
            <w:hideMark/>
          </w:tcPr>
          <w:p w14:paraId="14F8A4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1093" w:type="dxa"/>
            <w:noWrap/>
            <w:hideMark/>
          </w:tcPr>
          <w:p w14:paraId="21C658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1339E1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4CFB59D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59B8120"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Ailesbury</w:t>
            </w:r>
            <w:proofErr w:type="spellEnd"/>
            <w:r w:rsidRPr="003037D2">
              <w:rPr>
                <w:rFonts w:ascii="Garamond" w:hAnsi="Garamond"/>
                <w:b w:val="0"/>
                <w:bCs w:val="0"/>
                <w:sz w:val="20"/>
                <w:szCs w:val="20"/>
              </w:rPr>
              <w:t>, Thomas</w:t>
            </w:r>
          </w:p>
        </w:tc>
        <w:tc>
          <w:tcPr>
            <w:tcW w:w="1125" w:type="dxa"/>
            <w:noWrap/>
            <w:hideMark/>
          </w:tcPr>
          <w:p w14:paraId="29B58B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Leonard Becket and Robert Wilson </w:t>
            </w:r>
          </w:p>
        </w:tc>
        <w:tc>
          <w:tcPr>
            <w:tcW w:w="918" w:type="dxa"/>
            <w:noWrap/>
            <w:hideMark/>
          </w:tcPr>
          <w:p w14:paraId="34BF50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2A8E21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a</w:t>
            </w:r>
          </w:p>
        </w:tc>
        <w:tc>
          <w:tcPr>
            <w:tcW w:w="1035" w:type="dxa"/>
            <w:noWrap/>
            <w:hideMark/>
          </w:tcPr>
          <w:p w14:paraId="29B199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1D4A049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B9F89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726D89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F2E5C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0A488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309BB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4776BF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Term </w:t>
            </w:r>
          </w:p>
        </w:tc>
        <w:tc>
          <w:tcPr>
            <w:tcW w:w="1093" w:type="dxa"/>
            <w:noWrap/>
            <w:hideMark/>
          </w:tcPr>
          <w:p w14:paraId="3194E0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78038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6C96F30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1B2CF2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Andrewes, John </w:t>
            </w:r>
          </w:p>
        </w:tc>
        <w:tc>
          <w:tcPr>
            <w:tcW w:w="1125" w:type="dxa"/>
            <w:noWrap/>
            <w:hideMark/>
          </w:tcPr>
          <w:p w14:paraId="23C28F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Thomas Thorp</w:t>
            </w:r>
          </w:p>
        </w:tc>
        <w:tc>
          <w:tcPr>
            <w:tcW w:w="918" w:type="dxa"/>
            <w:noWrap/>
            <w:hideMark/>
          </w:tcPr>
          <w:p w14:paraId="7A0F68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1621</w:t>
            </w:r>
          </w:p>
        </w:tc>
        <w:tc>
          <w:tcPr>
            <w:tcW w:w="931" w:type="dxa"/>
            <w:noWrap/>
            <w:hideMark/>
          </w:tcPr>
          <w:p w14:paraId="3C3418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3597F2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14365C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1A436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03D035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5A12AC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2F295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F4C99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18B4CF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B8ED1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0F6869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A93806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5F52927"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Andrewes, Lancelot </w:t>
            </w:r>
          </w:p>
        </w:tc>
        <w:tc>
          <w:tcPr>
            <w:tcW w:w="1125" w:type="dxa"/>
            <w:noWrap/>
            <w:hideMark/>
          </w:tcPr>
          <w:p w14:paraId="5938BB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Richard Badger</w:t>
            </w:r>
          </w:p>
        </w:tc>
        <w:tc>
          <w:tcPr>
            <w:tcW w:w="918" w:type="dxa"/>
            <w:noWrap/>
            <w:hideMark/>
          </w:tcPr>
          <w:p w14:paraId="7080BA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1636</w:t>
            </w:r>
          </w:p>
        </w:tc>
        <w:tc>
          <w:tcPr>
            <w:tcW w:w="931" w:type="dxa"/>
            <w:noWrap/>
            <w:hideMark/>
          </w:tcPr>
          <w:p w14:paraId="157A51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0A70B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37601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11E6F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57A296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3691F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2F616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5CFBE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 year </w:t>
            </w:r>
          </w:p>
        </w:tc>
        <w:tc>
          <w:tcPr>
            <w:tcW w:w="965" w:type="dxa"/>
            <w:noWrap/>
            <w:hideMark/>
          </w:tcPr>
          <w:p w14:paraId="3DDDC9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08217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9BB1E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77B0C6E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7B0BF73"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Andrewes, Lancelot </w:t>
            </w:r>
          </w:p>
        </w:tc>
        <w:tc>
          <w:tcPr>
            <w:tcW w:w="1125" w:type="dxa"/>
            <w:noWrap/>
            <w:hideMark/>
          </w:tcPr>
          <w:p w14:paraId="62AD75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Baker </w:t>
            </w:r>
          </w:p>
        </w:tc>
        <w:tc>
          <w:tcPr>
            <w:tcW w:w="918" w:type="dxa"/>
            <w:noWrap/>
            <w:hideMark/>
          </w:tcPr>
          <w:p w14:paraId="337D7C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70231D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0E348D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1372C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CC24A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 Whitehall </w:t>
            </w:r>
          </w:p>
        </w:tc>
        <w:tc>
          <w:tcPr>
            <w:tcW w:w="1118" w:type="dxa"/>
            <w:noWrap/>
            <w:hideMark/>
          </w:tcPr>
          <w:p w14:paraId="14A452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F0E18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ADD2D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234F4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 calendar - Easter</w:t>
            </w:r>
          </w:p>
        </w:tc>
        <w:tc>
          <w:tcPr>
            <w:tcW w:w="965" w:type="dxa"/>
            <w:noWrap/>
            <w:hideMark/>
          </w:tcPr>
          <w:p w14:paraId="748F6A6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1093" w:type="dxa"/>
            <w:noWrap/>
            <w:hideMark/>
          </w:tcPr>
          <w:p w14:paraId="3CF1CA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2ECF6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0FB436C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3CA6B5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Palmer, Thomas </w:t>
            </w:r>
          </w:p>
        </w:tc>
        <w:tc>
          <w:tcPr>
            <w:tcW w:w="1125" w:type="dxa"/>
            <w:noWrap/>
            <w:hideMark/>
          </w:tcPr>
          <w:p w14:paraId="178505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Felix </w:t>
            </w:r>
            <w:proofErr w:type="spellStart"/>
            <w:r w:rsidRPr="003037D2">
              <w:rPr>
                <w:rFonts w:ascii="Garamond" w:hAnsi="Garamond"/>
                <w:sz w:val="20"/>
                <w:szCs w:val="20"/>
              </w:rPr>
              <w:t>Kyngston</w:t>
            </w:r>
            <w:proofErr w:type="spellEnd"/>
            <w:r w:rsidRPr="003037D2">
              <w:rPr>
                <w:rFonts w:ascii="Garamond" w:hAnsi="Garamond"/>
                <w:sz w:val="20"/>
                <w:szCs w:val="20"/>
              </w:rPr>
              <w:t xml:space="preserve"> </w:t>
            </w:r>
          </w:p>
        </w:tc>
        <w:tc>
          <w:tcPr>
            <w:tcW w:w="918" w:type="dxa"/>
            <w:noWrap/>
            <w:hideMark/>
          </w:tcPr>
          <w:p w14:paraId="652E2D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1635</w:t>
            </w:r>
          </w:p>
        </w:tc>
        <w:tc>
          <w:tcPr>
            <w:tcW w:w="931" w:type="dxa"/>
            <w:noWrap/>
            <w:hideMark/>
          </w:tcPr>
          <w:p w14:paraId="37932CA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4242D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1AE307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2A956E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gramStart"/>
            <w:r w:rsidRPr="003037D2">
              <w:rPr>
                <w:rFonts w:ascii="Garamond" w:hAnsi="Garamond"/>
                <w:sz w:val="20"/>
                <w:szCs w:val="20"/>
              </w:rPr>
              <w:t>Town  -</w:t>
            </w:r>
            <w:proofErr w:type="gramEnd"/>
            <w:r w:rsidRPr="003037D2">
              <w:rPr>
                <w:rFonts w:ascii="Garamond" w:hAnsi="Garamond"/>
                <w:sz w:val="20"/>
                <w:szCs w:val="20"/>
              </w:rPr>
              <w:t xml:space="preserve"> military garden </w:t>
            </w:r>
          </w:p>
        </w:tc>
        <w:tc>
          <w:tcPr>
            <w:tcW w:w="1118" w:type="dxa"/>
            <w:noWrap/>
            <w:hideMark/>
          </w:tcPr>
          <w:p w14:paraId="0577AF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B9330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8A5BD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495F07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5DAA15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0F7BD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B2C5B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4F5A7DD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FA65C6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Anon </w:t>
            </w:r>
          </w:p>
        </w:tc>
        <w:tc>
          <w:tcPr>
            <w:tcW w:w="1125" w:type="dxa"/>
            <w:noWrap/>
            <w:hideMark/>
          </w:tcPr>
          <w:p w14:paraId="7C342C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Harper </w:t>
            </w:r>
          </w:p>
        </w:tc>
        <w:tc>
          <w:tcPr>
            <w:tcW w:w="918" w:type="dxa"/>
            <w:noWrap/>
            <w:hideMark/>
          </w:tcPr>
          <w:p w14:paraId="789AC8E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6519AF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57AA87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6D9C9D6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2C4FC5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House </w:t>
            </w:r>
          </w:p>
        </w:tc>
        <w:tc>
          <w:tcPr>
            <w:tcW w:w="1118" w:type="dxa"/>
            <w:noWrap/>
            <w:hideMark/>
          </w:tcPr>
          <w:p w14:paraId="0B52B9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F9314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88B08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18C78BA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3A44BBA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9DF4A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642E5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1C5880C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D9A7194"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Anon </w:t>
            </w:r>
          </w:p>
        </w:tc>
        <w:tc>
          <w:tcPr>
            <w:tcW w:w="1125" w:type="dxa"/>
            <w:noWrap/>
            <w:hideMark/>
          </w:tcPr>
          <w:p w14:paraId="090417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H. Overton and John Rothwell</w:t>
            </w:r>
          </w:p>
        </w:tc>
        <w:tc>
          <w:tcPr>
            <w:tcW w:w="918" w:type="dxa"/>
            <w:noWrap/>
            <w:hideMark/>
          </w:tcPr>
          <w:p w14:paraId="7D100A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1638</w:t>
            </w:r>
          </w:p>
        </w:tc>
        <w:tc>
          <w:tcPr>
            <w:tcW w:w="931" w:type="dxa"/>
            <w:noWrap/>
            <w:hideMark/>
          </w:tcPr>
          <w:p w14:paraId="6B7188F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7DA0E33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2039B3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0AF20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397B1B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2E7A3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B729F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076CD2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74DE29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9F0C8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55A18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4C0AD7A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A517A5C"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Anon </w:t>
            </w:r>
          </w:p>
        </w:tc>
        <w:tc>
          <w:tcPr>
            <w:tcW w:w="1125" w:type="dxa"/>
            <w:noWrap/>
            <w:hideMark/>
          </w:tcPr>
          <w:p w14:paraId="72CFDF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William Bowden </w:t>
            </w:r>
          </w:p>
        </w:tc>
        <w:tc>
          <w:tcPr>
            <w:tcW w:w="918" w:type="dxa"/>
            <w:noWrap/>
            <w:hideMark/>
          </w:tcPr>
          <w:p w14:paraId="2BAB236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5F7ABC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028C31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7560C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B31E9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64C56C4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4D815F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0CEAE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43FD80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6F3265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B72606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DEA2E9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01C2D69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6FF4E46"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Parsons, </w:t>
            </w:r>
            <w:proofErr w:type="spellStart"/>
            <w:r w:rsidRPr="003037D2">
              <w:rPr>
                <w:rFonts w:ascii="Garamond" w:hAnsi="Garamond"/>
                <w:b w:val="0"/>
                <w:bCs w:val="0"/>
                <w:sz w:val="20"/>
                <w:szCs w:val="20"/>
              </w:rPr>
              <w:t>Bartholemew</w:t>
            </w:r>
            <w:proofErr w:type="spellEnd"/>
            <w:r w:rsidRPr="003037D2">
              <w:rPr>
                <w:rFonts w:ascii="Garamond" w:hAnsi="Garamond"/>
                <w:b w:val="0"/>
                <w:bCs w:val="0"/>
                <w:sz w:val="20"/>
                <w:szCs w:val="20"/>
              </w:rPr>
              <w:t xml:space="preserve"> </w:t>
            </w:r>
          </w:p>
        </w:tc>
        <w:tc>
          <w:tcPr>
            <w:tcW w:w="1125" w:type="dxa"/>
            <w:noWrap/>
            <w:hideMark/>
          </w:tcPr>
          <w:p w14:paraId="1B6AA6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William </w:t>
            </w:r>
            <w:proofErr w:type="spellStart"/>
            <w:r w:rsidRPr="003037D2">
              <w:rPr>
                <w:rFonts w:ascii="Garamond" w:hAnsi="Garamond"/>
                <w:sz w:val="20"/>
                <w:szCs w:val="20"/>
              </w:rPr>
              <w:t>Wheen</w:t>
            </w:r>
            <w:proofErr w:type="spellEnd"/>
            <w:r w:rsidRPr="003037D2">
              <w:rPr>
                <w:rFonts w:ascii="Garamond" w:hAnsi="Garamond"/>
                <w:sz w:val="20"/>
                <w:szCs w:val="20"/>
              </w:rPr>
              <w:t xml:space="preserve"> </w:t>
            </w:r>
          </w:p>
        </w:tc>
        <w:tc>
          <w:tcPr>
            <w:tcW w:w="918" w:type="dxa"/>
            <w:noWrap/>
            <w:hideMark/>
          </w:tcPr>
          <w:p w14:paraId="6591AC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1636</w:t>
            </w:r>
          </w:p>
        </w:tc>
        <w:tc>
          <w:tcPr>
            <w:tcW w:w="931" w:type="dxa"/>
            <w:noWrap/>
            <w:hideMark/>
          </w:tcPr>
          <w:p w14:paraId="209C60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A28E4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Oxford </w:t>
            </w:r>
          </w:p>
        </w:tc>
        <w:tc>
          <w:tcPr>
            <w:tcW w:w="838" w:type="dxa"/>
            <w:noWrap/>
            <w:hideMark/>
          </w:tcPr>
          <w:p w14:paraId="7DDB04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564ED2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28FB36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87724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DBF11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461E53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146924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20BCB0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04ADF7A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AAEB63F"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Anon - </w:t>
            </w:r>
            <w:proofErr w:type="spellStart"/>
            <w:r w:rsidRPr="003037D2">
              <w:rPr>
                <w:rFonts w:ascii="Garamond" w:hAnsi="Garamond"/>
                <w:b w:val="0"/>
                <w:bCs w:val="0"/>
                <w:sz w:val="20"/>
                <w:szCs w:val="20"/>
              </w:rPr>
              <w:t>cobler</w:t>
            </w:r>
            <w:proofErr w:type="spellEnd"/>
            <w:r w:rsidRPr="003037D2">
              <w:rPr>
                <w:rFonts w:ascii="Garamond" w:hAnsi="Garamond"/>
                <w:b w:val="0"/>
                <w:bCs w:val="0"/>
                <w:sz w:val="20"/>
                <w:szCs w:val="20"/>
              </w:rPr>
              <w:t xml:space="preserve">  </w:t>
            </w:r>
          </w:p>
        </w:tc>
        <w:tc>
          <w:tcPr>
            <w:tcW w:w="1125" w:type="dxa"/>
            <w:noWrap/>
            <w:hideMark/>
          </w:tcPr>
          <w:p w14:paraId="0B9257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John Wright</w:t>
            </w:r>
          </w:p>
        </w:tc>
        <w:tc>
          <w:tcPr>
            <w:tcW w:w="918" w:type="dxa"/>
            <w:noWrap/>
            <w:hideMark/>
          </w:tcPr>
          <w:p w14:paraId="08336D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1640</w:t>
            </w:r>
          </w:p>
        </w:tc>
        <w:tc>
          <w:tcPr>
            <w:tcW w:w="931" w:type="dxa"/>
            <w:noWrap/>
            <w:hideMark/>
          </w:tcPr>
          <w:p w14:paraId="380F6E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30985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5F4153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83DAB0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Tavern </w:t>
            </w:r>
          </w:p>
        </w:tc>
        <w:tc>
          <w:tcPr>
            <w:tcW w:w="1118" w:type="dxa"/>
            <w:noWrap/>
            <w:hideMark/>
          </w:tcPr>
          <w:p w14:paraId="20D5FB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C113DC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C7B7B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3835C6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01FD0B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3B552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E1D4A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7B24890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102F7AC"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Archibold</w:t>
            </w:r>
            <w:proofErr w:type="spellEnd"/>
            <w:r w:rsidRPr="003037D2">
              <w:rPr>
                <w:rFonts w:ascii="Garamond" w:hAnsi="Garamond"/>
                <w:b w:val="0"/>
                <w:bCs w:val="0"/>
                <w:sz w:val="20"/>
                <w:szCs w:val="20"/>
              </w:rPr>
              <w:t xml:space="preserve">, John </w:t>
            </w:r>
          </w:p>
        </w:tc>
        <w:tc>
          <w:tcPr>
            <w:tcW w:w="1125" w:type="dxa"/>
            <w:noWrap/>
            <w:hideMark/>
          </w:tcPr>
          <w:p w14:paraId="09E43C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Nathaniel Butter</w:t>
            </w:r>
          </w:p>
        </w:tc>
        <w:tc>
          <w:tcPr>
            <w:tcW w:w="918" w:type="dxa"/>
            <w:noWrap/>
            <w:hideMark/>
          </w:tcPr>
          <w:p w14:paraId="13FE65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1621</w:t>
            </w:r>
          </w:p>
        </w:tc>
        <w:tc>
          <w:tcPr>
            <w:tcW w:w="931" w:type="dxa"/>
            <w:noWrap/>
            <w:hideMark/>
          </w:tcPr>
          <w:p w14:paraId="21872E8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A1159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66AADB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43AB15E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w:t>
            </w:r>
          </w:p>
        </w:tc>
        <w:tc>
          <w:tcPr>
            <w:tcW w:w="1118" w:type="dxa"/>
            <w:noWrap/>
            <w:hideMark/>
          </w:tcPr>
          <w:p w14:paraId="1574E4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06E5C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4DFE3E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7C371E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69A207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801F7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E7BB6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5AA7219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3A95B2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Ashe, Simeon </w:t>
            </w:r>
          </w:p>
        </w:tc>
        <w:tc>
          <w:tcPr>
            <w:tcW w:w="1125" w:type="dxa"/>
            <w:noWrap/>
            <w:hideMark/>
          </w:tcPr>
          <w:p w14:paraId="531A0A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Edward Brewster and John Burroughs</w:t>
            </w:r>
          </w:p>
        </w:tc>
        <w:tc>
          <w:tcPr>
            <w:tcW w:w="918" w:type="dxa"/>
            <w:noWrap/>
            <w:hideMark/>
          </w:tcPr>
          <w:p w14:paraId="291C75E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43E49B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428A3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1615AD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58BE7F6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House of Commons</w:t>
            </w:r>
          </w:p>
        </w:tc>
        <w:tc>
          <w:tcPr>
            <w:tcW w:w="1118" w:type="dxa"/>
            <w:noWrap/>
            <w:hideMark/>
          </w:tcPr>
          <w:p w14:paraId="1F2A09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AC6DB9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9E2C25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B473E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7733CB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Fast </w:t>
            </w:r>
          </w:p>
        </w:tc>
        <w:tc>
          <w:tcPr>
            <w:tcW w:w="1093" w:type="dxa"/>
            <w:noWrap/>
            <w:hideMark/>
          </w:tcPr>
          <w:p w14:paraId="191B3B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4B7CF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283B9CA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8C1C1AD"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Ashe, Simeon </w:t>
            </w:r>
          </w:p>
        </w:tc>
        <w:tc>
          <w:tcPr>
            <w:tcW w:w="1125" w:type="dxa"/>
            <w:noWrap/>
            <w:hideMark/>
          </w:tcPr>
          <w:p w14:paraId="1C2FFF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Laurence Chapman </w:t>
            </w:r>
          </w:p>
        </w:tc>
        <w:tc>
          <w:tcPr>
            <w:tcW w:w="918" w:type="dxa"/>
            <w:noWrap/>
            <w:hideMark/>
          </w:tcPr>
          <w:p w14:paraId="7874981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2BFC5F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0BD7AA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BA47C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05300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2099" w:type="dxa"/>
            <w:gridSpan w:val="2"/>
            <w:noWrap/>
            <w:hideMark/>
          </w:tcPr>
          <w:p w14:paraId="2B54BE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before the commanders of the military forces </w:t>
            </w:r>
          </w:p>
        </w:tc>
        <w:tc>
          <w:tcPr>
            <w:tcW w:w="681" w:type="dxa"/>
            <w:noWrap/>
            <w:hideMark/>
          </w:tcPr>
          <w:p w14:paraId="6D1A58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26D07E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2785D8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4C2D6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1AE56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1741128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1F5209D"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Ashe, Simeon </w:t>
            </w:r>
          </w:p>
        </w:tc>
        <w:tc>
          <w:tcPr>
            <w:tcW w:w="1125" w:type="dxa"/>
            <w:noWrap/>
            <w:hideMark/>
          </w:tcPr>
          <w:p w14:paraId="03F0E3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Thomas Underhill</w:t>
            </w:r>
          </w:p>
        </w:tc>
        <w:tc>
          <w:tcPr>
            <w:tcW w:w="918" w:type="dxa"/>
            <w:noWrap/>
            <w:hideMark/>
          </w:tcPr>
          <w:p w14:paraId="4B46366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5FA1662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DD8DF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140228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1C882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gramStart"/>
            <w:r w:rsidRPr="003037D2">
              <w:rPr>
                <w:rFonts w:ascii="Garamond" w:hAnsi="Garamond"/>
                <w:sz w:val="20"/>
                <w:szCs w:val="20"/>
              </w:rPr>
              <w:t>Town  -</w:t>
            </w:r>
            <w:proofErr w:type="gramEnd"/>
            <w:r w:rsidRPr="003037D2">
              <w:rPr>
                <w:rFonts w:ascii="Garamond" w:hAnsi="Garamond"/>
                <w:sz w:val="20"/>
                <w:szCs w:val="20"/>
              </w:rPr>
              <w:t xml:space="preserve"> military garden </w:t>
            </w:r>
          </w:p>
        </w:tc>
        <w:tc>
          <w:tcPr>
            <w:tcW w:w="1118" w:type="dxa"/>
            <w:noWrap/>
            <w:hideMark/>
          </w:tcPr>
          <w:p w14:paraId="744420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4AB354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728F3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91789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06F989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E0AF2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513E4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1012704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6700607"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Ashton, Walter </w:t>
            </w:r>
          </w:p>
        </w:tc>
        <w:tc>
          <w:tcPr>
            <w:tcW w:w="1125" w:type="dxa"/>
            <w:noWrap/>
            <w:hideMark/>
          </w:tcPr>
          <w:p w14:paraId="02A41D9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Augustine Matthews</w:t>
            </w:r>
          </w:p>
        </w:tc>
        <w:tc>
          <w:tcPr>
            <w:tcW w:w="918" w:type="dxa"/>
            <w:noWrap/>
            <w:hideMark/>
          </w:tcPr>
          <w:p w14:paraId="6D10555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26A7C8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0DBED18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C7933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0B0578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Prison - the King's Bench </w:t>
            </w:r>
          </w:p>
        </w:tc>
        <w:tc>
          <w:tcPr>
            <w:tcW w:w="1118" w:type="dxa"/>
            <w:noWrap/>
            <w:hideMark/>
          </w:tcPr>
          <w:p w14:paraId="081B77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0BE2A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A71A3C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4A472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23D9D2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673215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9D3DE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188F233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E6A6767"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Atkins, John </w:t>
            </w:r>
          </w:p>
        </w:tc>
        <w:tc>
          <w:tcPr>
            <w:tcW w:w="1125" w:type="dxa"/>
            <w:noWrap/>
            <w:hideMark/>
          </w:tcPr>
          <w:p w14:paraId="430DAD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George Hodges </w:t>
            </w:r>
          </w:p>
        </w:tc>
        <w:tc>
          <w:tcPr>
            <w:tcW w:w="918" w:type="dxa"/>
            <w:noWrap/>
            <w:hideMark/>
          </w:tcPr>
          <w:p w14:paraId="7ED1E4C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55423C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9085F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1458C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4343E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433D059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70D20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D9BAE7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087FE1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2CF895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78B32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2210A2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6A13A62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6475697"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James, Baillie </w:t>
            </w:r>
          </w:p>
        </w:tc>
        <w:tc>
          <w:tcPr>
            <w:tcW w:w="1125" w:type="dxa"/>
            <w:noWrap/>
            <w:hideMark/>
          </w:tcPr>
          <w:p w14:paraId="39D1B5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Allot </w:t>
            </w:r>
          </w:p>
        </w:tc>
        <w:tc>
          <w:tcPr>
            <w:tcW w:w="918" w:type="dxa"/>
            <w:noWrap/>
            <w:hideMark/>
          </w:tcPr>
          <w:p w14:paraId="3D317BA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1627</w:t>
            </w:r>
          </w:p>
        </w:tc>
        <w:tc>
          <w:tcPr>
            <w:tcW w:w="931" w:type="dxa"/>
            <w:noWrap/>
            <w:hideMark/>
          </w:tcPr>
          <w:p w14:paraId="2E61051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B0E0E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55937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AC1F2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 Westminster </w:t>
            </w:r>
          </w:p>
        </w:tc>
        <w:tc>
          <w:tcPr>
            <w:tcW w:w="1118" w:type="dxa"/>
            <w:noWrap/>
            <w:hideMark/>
          </w:tcPr>
          <w:p w14:paraId="4D85EB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5A090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BC74E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82174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466FC0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83C55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D9862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557A0F9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ED9B874"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Balcanquhall</w:t>
            </w:r>
            <w:proofErr w:type="spellEnd"/>
            <w:r w:rsidRPr="003037D2">
              <w:rPr>
                <w:rFonts w:ascii="Garamond" w:hAnsi="Garamond"/>
                <w:b w:val="0"/>
                <w:bCs w:val="0"/>
                <w:sz w:val="20"/>
                <w:szCs w:val="20"/>
              </w:rPr>
              <w:t xml:space="preserve">, Walter </w:t>
            </w:r>
          </w:p>
        </w:tc>
        <w:tc>
          <w:tcPr>
            <w:tcW w:w="1125" w:type="dxa"/>
            <w:noWrap/>
            <w:hideMark/>
          </w:tcPr>
          <w:p w14:paraId="5185F9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Allot </w:t>
            </w:r>
          </w:p>
        </w:tc>
        <w:tc>
          <w:tcPr>
            <w:tcW w:w="918" w:type="dxa"/>
            <w:noWrap/>
            <w:hideMark/>
          </w:tcPr>
          <w:p w14:paraId="1BD102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1633</w:t>
            </w:r>
          </w:p>
        </w:tc>
        <w:tc>
          <w:tcPr>
            <w:tcW w:w="931" w:type="dxa"/>
            <w:noWrap/>
            <w:hideMark/>
          </w:tcPr>
          <w:p w14:paraId="3C6799F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D8BB0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30FD73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1BFD5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 Whitehall </w:t>
            </w:r>
          </w:p>
        </w:tc>
        <w:tc>
          <w:tcPr>
            <w:tcW w:w="1118" w:type="dxa"/>
            <w:noWrap/>
            <w:hideMark/>
          </w:tcPr>
          <w:p w14:paraId="275B95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F919E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0800B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1B5300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5A3A028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E80DD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0B972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15AE825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6B5D200"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Balcanquhall</w:t>
            </w:r>
            <w:proofErr w:type="spellEnd"/>
            <w:r w:rsidRPr="003037D2">
              <w:rPr>
                <w:rFonts w:ascii="Garamond" w:hAnsi="Garamond"/>
                <w:b w:val="0"/>
                <w:bCs w:val="0"/>
                <w:sz w:val="20"/>
                <w:szCs w:val="20"/>
              </w:rPr>
              <w:t xml:space="preserve">, Walter </w:t>
            </w:r>
          </w:p>
        </w:tc>
        <w:tc>
          <w:tcPr>
            <w:tcW w:w="1125" w:type="dxa"/>
            <w:noWrap/>
            <w:hideMark/>
          </w:tcPr>
          <w:p w14:paraId="48462D4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Allot </w:t>
            </w:r>
          </w:p>
        </w:tc>
        <w:tc>
          <w:tcPr>
            <w:tcW w:w="918" w:type="dxa"/>
            <w:noWrap/>
            <w:hideMark/>
          </w:tcPr>
          <w:p w14:paraId="4743F07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1634</w:t>
            </w:r>
          </w:p>
        </w:tc>
        <w:tc>
          <w:tcPr>
            <w:tcW w:w="931" w:type="dxa"/>
            <w:noWrap/>
            <w:hideMark/>
          </w:tcPr>
          <w:p w14:paraId="146D89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95060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B8D12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5E13F5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Whitehall </w:t>
            </w:r>
          </w:p>
        </w:tc>
        <w:tc>
          <w:tcPr>
            <w:tcW w:w="1118" w:type="dxa"/>
            <w:noWrap/>
            <w:hideMark/>
          </w:tcPr>
          <w:p w14:paraId="3EB4CB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8F793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CDCD1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0E5120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595AE1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E950C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70995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1F14FFF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2CA8317"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Balcanquhall</w:t>
            </w:r>
            <w:proofErr w:type="spellEnd"/>
            <w:r w:rsidRPr="003037D2">
              <w:rPr>
                <w:rFonts w:ascii="Garamond" w:hAnsi="Garamond"/>
                <w:b w:val="0"/>
                <w:bCs w:val="0"/>
                <w:sz w:val="20"/>
                <w:szCs w:val="20"/>
              </w:rPr>
              <w:t xml:space="preserve">, Walter </w:t>
            </w:r>
          </w:p>
        </w:tc>
        <w:tc>
          <w:tcPr>
            <w:tcW w:w="1125" w:type="dxa"/>
            <w:noWrap/>
            <w:hideMark/>
          </w:tcPr>
          <w:p w14:paraId="0E13FA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Budge </w:t>
            </w:r>
          </w:p>
        </w:tc>
        <w:tc>
          <w:tcPr>
            <w:tcW w:w="918" w:type="dxa"/>
            <w:noWrap/>
            <w:hideMark/>
          </w:tcPr>
          <w:p w14:paraId="2F7DBE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06067D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1FB2AA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B9F8C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2D54A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1B8C48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FB9519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37C01F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37655C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468AD0F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Easter Week </w:t>
            </w:r>
          </w:p>
        </w:tc>
        <w:tc>
          <w:tcPr>
            <w:tcW w:w="963" w:type="dxa"/>
            <w:noWrap/>
            <w:hideMark/>
          </w:tcPr>
          <w:p w14:paraId="56809D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64B3D73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3AB97B2"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Balcanquhall</w:t>
            </w:r>
            <w:proofErr w:type="spellEnd"/>
            <w:r w:rsidRPr="003037D2">
              <w:rPr>
                <w:rFonts w:ascii="Garamond" w:hAnsi="Garamond"/>
                <w:b w:val="0"/>
                <w:bCs w:val="0"/>
                <w:sz w:val="20"/>
                <w:szCs w:val="20"/>
              </w:rPr>
              <w:t xml:space="preserve">, Walter </w:t>
            </w:r>
          </w:p>
        </w:tc>
        <w:tc>
          <w:tcPr>
            <w:tcW w:w="1125" w:type="dxa"/>
            <w:noWrap/>
            <w:hideMark/>
          </w:tcPr>
          <w:p w14:paraId="68E744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Budge </w:t>
            </w:r>
          </w:p>
        </w:tc>
        <w:tc>
          <w:tcPr>
            <w:tcW w:w="918" w:type="dxa"/>
            <w:noWrap/>
            <w:hideMark/>
          </w:tcPr>
          <w:p w14:paraId="0B41B55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1634</w:t>
            </w:r>
          </w:p>
        </w:tc>
        <w:tc>
          <w:tcPr>
            <w:tcW w:w="931" w:type="dxa"/>
            <w:noWrap/>
            <w:hideMark/>
          </w:tcPr>
          <w:p w14:paraId="72D618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A6D4D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E31EB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C1236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31BACC6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640FC8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62501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34B8E8F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34CD4F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Easter Week </w:t>
            </w:r>
          </w:p>
        </w:tc>
        <w:tc>
          <w:tcPr>
            <w:tcW w:w="963" w:type="dxa"/>
            <w:noWrap/>
            <w:hideMark/>
          </w:tcPr>
          <w:p w14:paraId="436715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7432AC4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254038A"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Bancroft, Richard </w:t>
            </w:r>
          </w:p>
        </w:tc>
        <w:tc>
          <w:tcPr>
            <w:tcW w:w="1125" w:type="dxa"/>
            <w:noWrap/>
            <w:hideMark/>
          </w:tcPr>
          <w:p w14:paraId="4C18A5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Norton </w:t>
            </w:r>
          </w:p>
        </w:tc>
        <w:tc>
          <w:tcPr>
            <w:tcW w:w="918" w:type="dxa"/>
            <w:noWrap/>
            <w:hideMark/>
          </w:tcPr>
          <w:p w14:paraId="68947C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1636</w:t>
            </w:r>
          </w:p>
        </w:tc>
        <w:tc>
          <w:tcPr>
            <w:tcW w:w="931" w:type="dxa"/>
            <w:noWrap/>
            <w:hideMark/>
          </w:tcPr>
          <w:p w14:paraId="238299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451704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34E4F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E4AFD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6DE3EC2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BE780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B28D5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2911" w:type="dxa"/>
            <w:gridSpan w:val="3"/>
            <w:noWrap/>
            <w:hideMark/>
          </w:tcPr>
          <w:p w14:paraId="488916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Term - first day of parliament </w:t>
            </w:r>
          </w:p>
        </w:tc>
        <w:tc>
          <w:tcPr>
            <w:tcW w:w="963" w:type="dxa"/>
            <w:noWrap/>
            <w:hideMark/>
          </w:tcPr>
          <w:p w14:paraId="4E2172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6545BDE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707414F"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Bancroft, Richard </w:t>
            </w:r>
          </w:p>
        </w:tc>
        <w:tc>
          <w:tcPr>
            <w:tcW w:w="1125" w:type="dxa"/>
            <w:noWrap/>
            <w:hideMark/>
          </w:tcPr>
          <w:p w14:paraId="4C614BB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Norton </w:t>
            </w:r>
          </w:p>
        </w:tc>
        <w:tc>
          <w:tcPr>
            <w:tcW w:w="918" w:type="dxa"/>
            <w:noWrap/>
            <w:hideMark/>
          </w:tcPr>
          <w:p w14:paraId="4BA37BE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1637</w:t>
            </w:r>
          </w:p>
        </w:tc>
        <w:tc>
          <w:tcPr>
            <w:tcW w:w="931" w:type="dxa"/>
            <w:noWrap/>
            <w:hideMark/>
          </w:tcPr>
          <w:p w14:paraId="59D562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A3E0A6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922F1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C97D0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6713B7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A60E9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2F04C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2911" w:type="dxa"/>
            <w:gridSpan w:val="3"/>
            <w:noWrap/>
            <w:hideMark/>
          </w:tcPr>
          <w:p w14:paraId="07C45F8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Term - first day of parliament </w:t>
            </w:r>
          </w:p>
        </w:tc>
        <w:tc>
          <w:tcPr>
            <w:tcW w:w="963" w:type="dxa"/>
            <w:noWrap/>
            <w:hideMark/>
          </w:tcPr>
          <w:p w14:paraId="13920E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20E0C11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F93DA21"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Bargrave</w:t>
            </w:r>
            <w:proofErr w:type="spellEnd"/>
            <w:r w:rsidRPr="003037D2">
              <w:rPr>
                <w:rFonts w:ascii="Garamond" w:hAnsi="Garamond"/>
                <w:b w:val="0"/>
                <w:bCs w:val="0"/>
                <w:sz w:val="20"/>
                <w:szCs w:val="20"/>
              </w:rPr>
              <w:t xml:space="preserve">, Isaac </w:t>
            </w:r>
          </w:p>
        </w:tc>
        <w:tc>
          <w:tcPr>
            <w:tcW w:w="1125" w:type="dxa"/>
            <w:noWrap/>
            <w:hideMark/>
          </w:tcPr>
          <w:p w14:paraId="262404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Barlett</w:t>
            </w:r>
            <w:proofErr w:type="spellEnd"/>
            <w:r w:rsidRPr="003037D2">
              <w:rPr>
                <w:rFonts w:ascii="Garamond" w:hAnsi="Garamond"/>
                <w:sz w:val="20"/>
                <w:szCs w:val="20"/>
              </w:rPr>
              <w:t xml:space="preserve"> </w:t>
            </w:r>
          </w:p>
        </w:tc>
        <w:tc>
          <w:tcPr>
            <w:tcW w:w="918" w:type="dxa"/>
            <w:noWrap/>
            <w:hideMark/>
          </w:tcPr>
          <w:p w14:paraId="4EC1D4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7D0985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714171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76BE57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F24B9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Whitehall </w:t>
            </w:r>
          </w:p>
        </w:tc>
        <w:tc>
          <w:tcPr>
            <w:tcW w:w="1118" w:type="dxa"/>
            <w:noWrap/>
            <w:hideMark/>
          </w:tcPr>
          <w:p w14:paraId="3EE428E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20270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29B04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818" w:type="dxa"/>
            <w:gridSpan w:val="2"/>
            <w:noWrap/>
            <w:hideMark/>
          </w:tcPr>
          <w:p w14:paraId="5017DD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Lent </w:t>
            </w:r>
          </w:p>
        </w:tc>
        <w:tc>
          <w:tcPr>
            <w:tcW w:w="1093" w:type="dxa"/>
            <w:noWrap/>
            <w:hideMark/>
          </w:tcPr>
          <w:p w14:paraId="3EAB5AF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ECCC6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007AD75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95C0A2F"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Bargrave</w:t>
            </w:r>
            <w:proofErr w:type="spellEnd"/>
            <w:r w:rsidRPr="003037D2">
              <w:rPr>
                <w:rFonts w:ascii="Garamond" w:hAnsi="Garamond"/>
                <w:b w:val="0"/>
                <w:bCs w:val="0"/>
                <w:sz w:val="20"/>
                <w:szCs w:val="20"/>
              </w:rPr>
              <w:t xml:space="preserve">, Isaac </w:t>
            </w:r>
          </w:p>
        </w:tc>
        <w:tc>
          <w:tcPr>
            <w:tcW w:w="1125" w:type="dxa"/>
            <w:noWrap/>
            <w:hideMark/>
          </w:tcPr>
          <w:p w14:paraId="0AFF98D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Peter Paxton </w:t>
            </w:r>
          </w:p>
        </w:tc>
        <w:tc>
          <w:tcPr>
            <w:tcW w:w="918" w:type="dxa"/>
            <w:noWrap/>
            <w:hideMark/>
          </w:tcPr>
          <w:p w14:paraId="0A9691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1627</w:t>
            </w:r>
          </w:p>
        </w:tc>
        <w:tc>
          <w:tcPr>
            <w:tcW w:w="931" w:type="dxa"/>
            <w:noWrap/>
            <w:hideMark/>
          </w:tcPr>
          <w:p w14:paraId="4D6318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DAE8E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CA2AA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7842A6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w:t>
            </w:r>
          </w:p>
        </w:tc>
        <w:tc>
          <w:tcPr>
            <w:tcW w:w="1118" w:type="dxa"/>
            <w:noWrap/>
            <w:hideMark/>
          </w:tcPr>
          <w:p w14:paraId="545C79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AB7B90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54137A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6201B9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772E5D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Anniversary of </w:t>
            </w:r>
            <w:proofErr w:type="spellStart"/>
            <w:r w:rsidRPr="003037D2">
              <w:rPr>
                <w:rFonts w:ascii="Garamond" w:hAnsi="Garamond"/>
                <w:sz w:val="20"/>
                <w:szCs w:val="20"/>
              </w:rPr>
              <w:t>innauguration</w:t>
            </w:r>
            <w:proofErr w:type="spellEnd"/>
            <w:r w:rsidRPr="003037D2">
              <w:rPr>
                <w:rFonts w:ascii="Garamond" w:hAnsi="Garamond"/>
                <w:sz w:val="20"/>
                <w:szCs w:val="20"/>
              </w:rPr>
              <w:t xml:space="preserve"> </w:t>
            </w:r>
          </w:p>
        </w:tc>
        <w:tc>
          <w:tcPr>
            <w:tcW w:w="963" w:type="dxa"/>
            <w:noWrap/>
            <w:hideMark/>
          </w:tcPr>
          <w:p w14:paraId="48B91C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698237C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3A51602"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Bargrave</w:t>
            </w:r>
            <w:proofErr w:type="spellEnd"/>
            <w:r w:rsidRPr="003037D2">
              <w:rPr>
                <w:rFonts w:ascii="Garamond" w:hAnsi="Garamond"/>
                <w:b w:val="0"/>
                <w:bCs w:val="0"/>
                <w:sz w:val="20"/>
                <w:szCs w:val="20"/>
              </w:rPr>
              <w:t xml:space="preserve">, Isaac </w:t>
            </w:r>
          </w:p>
        </w:tc>
        <w:tc>
          <w:tcPr>
            <w:tcW w:w="1125" w:type="dxa"/>
            <w:noWrap/>
            <w:hideMark/>
          </w:tcPr>
          <w:p w14:paraId="6F49EA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Barlett</w:t>
            </w:r>
            <w:proofErr w:type="spellEnd"/>
            <w:r w:rsidRPr="003037D2">
              <w:rPr>
                <w:rFonts w:ascii="Garamond" w:hAnsi="Garamond"/>
                <w:sz w:val="20"/>
                <w:szCs w:val="20"/>
              </w:rPr>
              <w:t xml:space="preserve"> and John Spenser </w:t>
            </w:r>
          </w:p>
        </w:tc>
        <w:tc>
          <w:tcPr>
            <w:tcW w:w="918" w:type="dxa"/>
            <w:noWrap/>
            <w:hideMark/>
          </w:tcPr>
          <w:p w14:paraId="01B8CFF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2A0E36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E4EBB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D6AC2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73BB68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Lower house of Parliament </w:t>
            </w:r>
          </w:p>
        </w:tc>
        <w:tc>
          <w:tcPr>
            <w:tcW w:w="2099" w:type="dxa"/>
            <w:gridSpan w:val="2"/>
            <w:noWrap/>
            <w:hideMark/>
          </w:tcPr>
          <w:p w14:paraId="77B22C4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‘before the </w:t>
            </w:r>
            <w:proofErr w:type="spellStart"/>
            <w:r w:rsidRPr="003037D2">
              <w:rPr>
                <w:rFonts w:ascii="Garamond" w:hAnsi="Garamond"/>
                <w:sz w:val="20"/>
                <w:szCs w:val="20"/>
              </w:rPr>
              <w:t>honorable</w:t>
            </w:r>
            <w:proofErr w:type="spellEnd"/>
            <w:r w:rsidRPr="003037D2">
              <w:rPr>
                <w:rFonts w:ascii="Garamond" w:hAnsi="Garamond"/>
                <w:sz w:val="20"/>
                <w:szCs w:val="20"/>
              </w:rPr>
              <w:t xml:space="preserve"> assembly of knights, citizens, and burgess’ </w:t>
            </w:r>
          </w:p>
        </w:tc>
        <w:tc>
          <w:tcPr>
            <w:tcW w:w="681" w:type="dxa"/>
            <w:noWrap/>
            <w:hideMark/>
          </w:tcPr>
          <w:p w14:paraId="0959FC9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C3CAB8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1E8D8F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7D3381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D1BAB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77F3581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3A3D9F7"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Barnes, Robert </w:t>
            </w:r>
          </w:p>
        </w:tc>
        <w:tc>
          <w:tcPr>
            <w:tcW w:w="1125" w:type="dxa"/>
            <w:noWrap/>
            <w:hideMark/>
          </w:tcPr>
          <w:p w14:paraId="7FEDA3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Lichfield </w:t>
            </w:r>
          </w:p>
        </w:tc>
        <w:tc>
          <w:tcPr>
            <w:tcW w:w="918" w:type="dxa"/>
            <w:noWrap/>
            <w:hideMark/>
          </w:tcPr>
          <w:p w14:paraId="5AA3B6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55A9FD9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5727F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Oxford </w:t>
            </w:r>
          </w:p>
        </w:tc>
        <w:tc>
          <w:tcPr>
            <w:tcW w:w="838" w:type="dxa"/>
            <w:noWrap/>
            <w:hideMark/>
          </w:tcPr>
          <w:p w14:paraId="4491E5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2C18B3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4A9D59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172D8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DF43F4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1E2CB54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343426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Visitation </w:t>
            </w:r>
          </w:p>
        </w:tc>
        <w:tc>
          <w:tcPr>
            <w:tcW w:w="1093" w:type="dxa"/>
            <w:noWrap/>
            <w:hideMark/>
          </w:tcPr>
          <w:p w14:paraId="4FB44E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3301D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74F7855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D888EA1"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Barell</w:t>
            </w:r>
            <w:proofErr w:type="spellEnd"/>
            <w:r w:rsidRPr="003037D2">
              <w:rPr>
                <w:rFonts w:ascii="Garamond" w:hAnsi="Garamond"/>
                <w:b w:val="0"/>
                <w:bCs w:val="0"/>
                <w:sz w:val="20"/>
                <w:szCs w:val="20"/>
              </w:rPr>
              <w:t xml:space="preserve">, Robert </w:t>
            </w:r>
          </w:p>
        </w:tc>
        <w:tc>
          <w:tcPr>
            <w:tcW w:w="1125" w:type="dxa"/>
            <w:noWrap/>
            <w:hideMark/>
          </w:tcPr>
          <w:p w14:paraId="0AD4899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Augustine </w:t>
            </w:r>
            <w:proofErr w:type="spellStart"/>
            <w:r w:rsidRPr="003037D2">
              <w:rPr>
                <w:rFonts w:ascii="Garamond" w:hAnsi="Garamond"/>
                <w:sz w:val="20"/>
                <w:szCs w:val="20"/>
              </w:rPr>
              <w:t>Matthewes</w:t>
            </w:r>
            <w:proofErr w:type="spellEnd"/>
            <w:r w:rsidRPr="003037D2">
              <w:rPr>
                <w:rFonts w:ascii="Garamond" w:hAnsi="Garamond"/>
                <w:sz w:val="20"/>
                <w:szCs w:val="20"/>
              </w:rPr>
              <w:t xml:space="preserve"> </w:t>
            </w:r>
          </w:p>
        </w:tc>
        <w:tc>
          <w:tcPr>
            <w:tcW w:w="918" w:type="dxa"/>
            <w:noWrap/>
            <w:hideMark/>
          </w:tcPr>
          <w:p w14:paraId="16AF03D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5332A8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97D7A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DE438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7747BD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1631D28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06725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00E7F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73734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0BF13E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1086C4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B2FD4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7EF1985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6C2606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Bedford, Thomas </w:t>
            </w:r>
          </w:p>
        </w:tc>
        <w:tc>
          <w:tcPr>
            <w:tcW w:w="1125" w:type="dxa"/>
            <w:noWrap/>
            <w:hideMark/>
          </w:tcPr>
          <w:p w14:paraId="79F8F9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William </w:t>
            </w:r>
            <w:proofErr w:type="spellStart"/>
            <w:r w:rsidRPr="003037D2">
              <w:rPr>
                <w:rFonts w:ascii="Garamond" w:hAnsi="Garamond"/>
                <w:sz w:val="20"/>
                <w:szCs w:val="20"/>
              </w:rPr>
              <w:t>Sheffard</w:t>
            </w:r>
            <w:proofErr w:type="spellEnd"/>
            <w:r w:rsidRPr="003037D2">
              <w:rPr>
                <w:rFonts w:ascii="Garamond" w:hAnsi="Garamond"/>
                <w:sz w:val="20"/>
                <w:szCs w:val="20"/>
              </w:rPr>
              <w:t xml:space="preserve"> </w:t>
            </w:r>
          </w:p>
        </w:tc>
        <w:tc>
          <w:tcPr>
            <w:tcW w:w="918" w:type="dxa"/>
            <w:noWrap/>
            <w:hideMark/>
          </w:tcPr>
          <w:p w14:paraId="5F7B2D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1621</w:t>
            </w:r>
          </w:p>
        </w:tc>
        <w:tc>
          <w:tcPr>
            <w:tcW w:w="931" w:type="dxa"/>
            <w:noWrap/>
            <w:hideMark/>
          </w:tcPr>
          <w:p w14:paraId="13941D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44B77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E3C70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FBBD5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63EDCC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4CC45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B89FC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17AC4A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47B5F7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AD7F99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A8E44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33A9FC0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56DA908"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Bedford, Thomas </w:t>
            </w:r>
          </w:p>
        </w:tc>
        <w:tc>
          <w:tcPr>
            <w:tcW w:w="1125" w:type="dxa"/>
            <w:noWrap/>
            <w:hideMark/>
          </w:tcPr>
          <w:p w14:paraId="2AFA5B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Anne Bowler</w:t>
            </w:r>
          </w:p>
        </w:tc>
        <w:tc>
          <w:tcPr>
            <w:tcW w:w="918" w:type="dxa"/>
            <w:noWrap/>
            <w:hideMark/>
          </w:tcPr>
          <w:p w14:paraId="6197A4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1635</w:t>
            </w:r>
          </w:p>
        </w:tc>
        <w:tc>
          <w:tcPr>
            <w:tcW w:w="931" w:type="dxa"/>
            <w:noWrap/>
            <w:hideMark/>
          </w:tcPr>
          <w:p w14:paraId="11886F3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A1EF0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FF5FF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2B542A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56F026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5F581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682C1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141DA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765D55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5A07B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89D3FE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687F1F9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B357FD7"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Bedingfield, Robert</w:t>
            </w:r>
          </w:p>
        </w:tc>
        <w:tc>
          <w:tcPr>
            <w:tcW w:w="1125" w:type="dxa"/>
            <w:noWrap/>
            <w:hideMark/>
          </w:tcPr>
          <w:p w14:paraId="6E762DE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Lichfield </w:t>
            </w:r>
          </w:p>
        </w:tc>
        <w:tc>
          <w:tcPr>
            <w:tcW w:w="918" w:type="dxa"/>
            <w:noWrap/>
            <w:hideMark/>
          </w:tcPr>
          <w:p w14:paraId="46CBC5B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126DE7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D49E1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Oxford </w:t>
            </w:r>
          </w:p>
        </w:tc>
        <w:tc>
          <w:tcPr>
            <w:tcW w:w="838" w:type="dxa"/>
            <w:noWrap/>
            <w:hideMark/>
          </w:tcPr>
          <w:p w14:paraId="3653D1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489C1F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287E45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F37B4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713DF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0076CA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683609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C17F4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E0BDF3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345EAD3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FECB3AE"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Bernard, Nicholas </w:t>
            </w:r>
          </w:p>
        </w:tc>
        <w:tc>
          <w:tcPr>
            <w:tcW w:w="1125" w:type="dxa"/>
            <w:noWrap/>
            <w:hideMark/>
          </w:tcPr>
          <w:p w14:paraId="66B61E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Society of Stationers</w:t>
            </w:r>
          </w:p>
        </w:tc>
        <w:tc>
          <w:tcPr>
            <w:tcW w:w="918" w:type="dxa"/>
            <w:noWrap/>
            <w:hideMark/>
          </w:tcPr>
          <w:p w14:paraId="73C6DE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2F5C69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074D25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359DA0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B3041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053D88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4A8FB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1D08E4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8EF63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52D4B5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burial </w:t>
            </w:r>
          </w:p>
        </w:tc>
        <w:tc>
          <w:tcPr>
            <w:tcW w:w="1093" w:type="dxa"/>
            <w:noWrap/>
            <w:hideMark/>
          </w:tcPr>
          <w:p w14:paraId="45363F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D1EDF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4C27404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F27EE2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Bernard, Nicholas </w:t>
            </w:r>
          </w:p>
        </w:tc>
        <w:tc>
          <w:tcPr>
            <w:tcW w:w="1125" w:type="dxa"/>
            <w:noWrap/>
            <w:hideMark/>
          </w:tcPr>
          <w:p w14:paraId="29E6FE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Society of Stationers</w:t>
            </w:r>
          </w:p>
        </w:tc>
        <w:tc>
          <w:tcPr>
            <w:tcW w:w="918" w:type="dxa"/>
            <w:noWrap/>
            <w:hideMark/>
          </w:tcPr>
          <w:p w14:paraId="1DC2C7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5473B8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76761ED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2C8AB6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09327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08592B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FD8EB8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FD17A8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25591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67BB2E1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burial </w:t>
            </w:r>
          </w:p>
        </w:tc>
        <w:tc>
          <w:tcPr>
            <w:tcW w:w="1093" w:type="dxa"/>
            <w:noWrap/>
            <w:hideMark/>
          </w:tcPr>
          <w:p w14:paraId="12E425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5878C8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7BF6F68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8DAD6B1"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Birchley</w:t>
            </w:r>
            <w:proofErr w:type="spellEnd"/>
            <w:r w:rsidRPr="003037D2">
              <w:rPr>
                <w:rFonts w:ascii="Garamond" w:hAnsi="Garamond"/>
                <w:b w:val="0"/>
                <w:bCs w:val="0"/>
                <w:sz w:val="20"/>
                <w:szCs w:val="20"/>
              </w:rPr>
              <w:t xml:space="preserve">, William </w:t>
            </w:r>
          </w:p>
        </w:tc>
        <w:tc>
          <w:tcPr>
            <w:tcW w:w="1125" w:type="dxa"/>
            <w:noWrap/>
            <w:hideMark/>
          </w:tcPr>
          <w:p w14:paraId="1E6AFC6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S.N.</w:t>
            </w:r>
          </w:p>
        </w:tc>
        <w:tc>
          <w:tcPr>
            <w:tcW w:w="918" w:type="dxa"/>
            <w:noWrap/>
            <w:hideMark/>
          </w:tcPr>
          <w:p w14:paraId="096296F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2645A8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957F7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Amsterdam [London]</w:t>
            </w:r>
          </w:p>
        </w:tc>
        <w:tc>
          <w:tcPr>
            <w:tcW w:w="838" w:type="dxa"/>
            <w:noWrap/>
            <w:hideMark/>
          </w:tcPr>
          <w:p w14:paraId="1EADD2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D5FB07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2B0074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B78CA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40F28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047FFE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3D4C5E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5DF29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D52C9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34B5080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C5D2D0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Bland, Tobias </w:t>
            </w:r>
          </w:p>
        </w:tc>
        <w:tc>
          <w:tcPr>
            <w:tcW w:w="1125" w:type="dxa"/>
            <w:noWrap/>
            <w:hideMark/>
          </w:tcPr>
          <w:p w14:paraId="2D94589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Joseph </w:t>
            </w:r>
            <w:proofErr w:type="spellStart"/>
            <w:r w:rsidRPr="003037D2">
              <w:rPr>
                <w:rFonts w:ascii="Garamond" w:hAnsi="Garamond"/>
                <w:sz w:val="20"/>
                <w:szCs w:val="20"/>
              </w:rPr>
              <w:t>Hunscott</w:t>
            </w:r>
            <w:proofErr w:type="spellEnd"/>
            <w:r w:rsidRPr="003037D2">
              <w:rPr>
                <w:rFonts w:ascii="Garamond" w:hAnsi="Garamond"/>
                <w:sz w:val="20"/>
                <w:szCs w:val="20"/>
              </w:rPr>
              <w:t xml:space="preserve"> </w:t>
            </w:r>
          </w:p>
        </w:tc>
        <w:tc>
          <w:tcPr>
            <w:tcW w:w="918" w:type="dxa"/>
            <w:noWrap/>
            <w:hideMark/>
          </w:tcPr>
          <w:p w14:paraId="2F17F2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1639</w:t>
            </w:r>
          </w:p>
        </w:tc>
        <w:tc>
          <w:tcPr>
            <w:tcW w:w="931" w:type="dxa"/>
            <w:noWrap/>
            <w:hideMark/>
          </w:tcPr>
          <w:p w14:paraId="44C2AB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B3D17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1CE533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35AA2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172ADD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26E6D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15A49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3FCF86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17748F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DADCC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F86E2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7574C56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0011A08"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Blenkow</w:t>
            </w:r>
            <w:proofErr w:type="spellEnd"/>
            <w:r w:rsidRPr="003037D2">
              <w:rPr>
                <w:rFonts w:ascii="Garamond" w:hAnsi="Garamond"/>
                <w:b w:val="0"/>
                <w:bCs w:val="0"/>
                <w:sz w:val="20"/>
                <w:szCs w:val="20"/>
              </w:rPr>
              <w:t xml:space="preserve">, John </w:t>
            </w:r>
          </w:p>
        </w:tc>
        <w:tc>
          <w:tcPr>
            <w:tcW w:w="1125" w:type="dxa"/>
            <w:noWrap/>
            <w:hideMark/>
          </w:tcPr>
          <w:p w14:paraId="65506E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Harper </w:t>
            </w:r>
          </w:p>
        </w:tc>
        <w:tc>
          <w:tcPr>
            <w:tcW w:w="918" w:type="dxa"/>
            <w:noWrap/>
            <w:hideMark/>
          </w:tcPr>
          <w:p w14:paraId="59AE52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1640</w:t>
            </w:r>
          </w:p>
        </w:tc>
        <w:tc>
          <w:tcPr>
            <w:tcW w:w="931" w:type="dxa"/>
            <w:noWrap/>
            <w:hideMark/>
          </w:tcPr>
          <w:p w14:paraId="0FB2BB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6CE41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1B4E9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547F1C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 - St. Pauls</w:t>
            </w:r>
          </w:p>
        </w:tc>
        <w:tc>
          <w:tcPr>
            <w:tcW w:w="1118" w:type="dxa"/>
            <w:noWrap/>
            <w:hideMark/>
          </w:tcPr>
          <w:p w14:paraId="2B63778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1ED9C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3A0BE3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2911" w:type="dxa"/>
            <w:gridSpan w:val="3"/>
            <w:noWrap/>
            <w:hideMark/>
          </w:tcPr>
          <w:p w14:paraId="38AE19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Feast of St. Michael </w:t>
            </w:r>
          </w:p>
        </w:tc>
        <w:tc>
          <w:tcPr>
            <w:tcW w:w="963" w:type="dxa"/>
            <w:noWrap/>
            <w:hideMark/>
          </w:tcPr>
          <w:p w14:paraId="0A0B7A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599F327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BC6C456"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Bolton, Robert </w:t>
            </w:r>
          </w:p>
        </w:tc>
        <w:tc>
          <w:tcPr>
            <w:tcW w:w="1125" w:type="dxa"/>
            <w:noWrap/>
            <w:hideMark/>
          </w:tcPr>
          <w:p w14:paraId="3366D3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George Miller </w:t>
            </w:r>
          </w:p>
        </w:tc>
        <w:tc>
          <w:tcPr>
            <w:tcW w:w="918" w:type="dxa"/>
            <w:noWrap/>
            <w:hideMark/>
          </w:tcPr>
          <w:p w14:paraId="0AD4B70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1640</w:t>
            </w:r>
          </w:p>
        </w:tc>
        <w:tc>
          <w:tcPr>
            <w:tcW w:w="931" w:type="dxa"/>
            <w:noWrap/>
            <w:hideMark/>
          </w:tcPr>
          <w:p w14:paraId="1D7D32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6FC89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134CB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1641E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58E466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D46B0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BF706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3EB1B2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4226C0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3A31D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3AE87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0E026EF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B60629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Boughen, Edward </w:t>
            </w:r>
          </w:p>
        </w:tc>
        <w:tc>
          <w:tcPr>
            <w:tcW w:w="1125" w:type="dxa"/>
            <w:noWrap/>
            <w:hideMark/>
          </w:tcPr>
          <w:p w14:paraId="4BB20BE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 Cowper </w:t>
            </w:r>
          </w:p>
        </w:tc>
        <w:tc>
          <w:tcPr>
            <w:tcW w:w="918" w:type="dxa"/>
            <w:noWrap/>
            <w:hideMark/>
          </w:tcPr>
          <w:p w14:paraId="087F4B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1638</w:t>
            </w:r>
          </w:p>
        </w:tc>
        <w:tc>
          <w:tcPr>
            <w:tcW w:w="931" w:type="dxa"/>
            <w:noWrap/>
            <w:hideMark/>
          </w:tcPr>
          <w:p w14:paraId="167B6D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81286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19BEB7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44A536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11260B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B9EA7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096AE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7FBE67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4697EA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CF941B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15BE8E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5631582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E68929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Boughen, Edward </w:t>
            </w:r>
          </w:p>
        </w:tc>
        <w:tc>
          <w:tcPr>
            <w:tcW w:w="1125" w:type="dxa"/>
            <w:noWrap/>
            <w:hideMark/>
          </w:tcPr>
          <w:p w14:paraId="5CCB70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Elizabeth Adams </w:t>
            </w:r>
          </w:p>
        </w:tc>
        <w:tc>
          <w:tcPr>
            <w:tcW w:w="918" w:type="dxa"/>
            <w:noWrap/>
            <w:hideMark/>
          </w:tcPr>
          <w:p w14:paraId="0396CF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4BAF024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3F836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44E3B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8549B3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20D363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8981DE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EC04A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201E4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3DA30B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2F057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9622B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0FD2D19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E1053CC"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Boughen, Edward </w:t>
            </w:r>
          </w:p>
        </w:tc>
        <w:tc>
          <w:tcPr>
            <w:tcW w:w="1125" w:type="dxa"/>
            <w:noWrap/>
            <w:hideMark/>
          </w:tcPr>
          <w:p w14:paraId="136B7B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R.B.</w:t>
            </w:r>
          </w:p>
        </w:tc>
        <w:tc>
          <w:tcPr>
            <w:tcW w:w="918" w:type="dxa"/>
            <w:noWrap/>
            <w:hideMark/>
          </w:tcPr>
          <w:p w14:paraId="1D67CE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1635</w:t>
            </w:r>
          </w:p>
        </w:tc>
        <w:tc>
          <w:tcPr>
            <w:tcW w:w="931" w:type="dxa"/>
            <w:noWrap/>
            <w:hideMark/>
          </w:tcPr>
          <w:p w14:paraId="3271091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357742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B3E0A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5633207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027061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C5271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1DB74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0B21DA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2CCB2D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98AD6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E5BB8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2B3B14F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5BE5D4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Boughen, Edward </w:t>
            </w:r>
          </w:p>
        </w:tc>
        <w:tc>
          <w:tcPr>
            <w:tcW w:w="1125" w:type="dxa"/>
            <w:noWrap/>
            <w:hideMark/>
          </w:tcPr>
          <w:p w14:paraId="130C35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R.B.</w:t>
            </w:r>
          </w:p>
        </w:tc>
        <w:tc>
          <w:tcPr>
            <w:tcW w:w="918" w:type="dxa"/>
            <w:noWrap/>
            <w:hideMark/>
          </w:tcPr>
          <w:p w14:paraId="56627E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1635</w:t>
            </w:r>
          </w:p>
        </w:tc>
        <w:tc>
          <w:tcPr>
            <w:tcW w:w="931" w:type="dxa"/>
            <w:noWrap/>
            <w:hideMark/>
          </w:tcPr>
          <w:p w14:paraId="1B9941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035" w:type="dxa"/>
            <w:noWrap/>
            <w:hideMark/>
          </w:tcPr>
          <w:p w14:paraId="6160F8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0384D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B01A3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38E59A7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981" w:type="dxa"/>
            <w:noWrap/>
            <w:hideMark/>
          </w:tcPr>
          <w:p w14:paraId="5B63224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5275C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52026F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426959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visitation </w:t>
            </w:r>
          </w:p>
        </w:tc>
        <w:tc>
          <w:tcPr>
            <w:tcW w:w="963" w:type="dxa"/>
            <w:noWrap/>
            <w:hideMark/>
          </w:tcPr>
          <w:p w14:paraId="5EA998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115828A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4A05DAA"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Bourne, Immanuel</w:t>
            </w:r>
          </w:p>
        </w:tc>
        <w:tc>
          <w:tcPr>
            <w:tcW w:w="1125" w:type="dxa"/>
            <w:noWrap/>
            <w:hideMark/>
          </w:tcPr>
          <w:p w14:paraId="673607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George </w:t>
            </w:r>
            <w:proofErr w:type="spellStart"/>
            <w:r w:rsidRPr="003037D2">
              <w:rPr>
                <w:rFonts w:ascii="Garamond" w:hAnsi="Garamond"/>
                <w:sz w:val="20"/>
                <w:szCs w:val="20"/>
              </w:rPr>
              <w:t>Fayerbeard</w:t>
            </w:r>
            <w:proofErr w:type="spellEnd"/>
            <w:r w:rsidRPr="003037D2">
              <w:rPr>
                <w:rFonts w:ascii="Garamond" w:hAnsi="Garamond"/>
                <w:sz w:val="20"/>
                <w:szCs w:val="20"/>
              </w:rPr>
              <w:t xml:space="preserve"> </w:t>
            </w:r>
          </w:p>
        </w:tc>
        <w:tc>
          <w:tcPr>
            <w:tcW w:w="918" w:type="dxa"/>
            <w:noWrap/>
            <w:hideMark/>
          </w:tcPr>
          <w:p w14:paraId="1EDD6E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2FF136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53B42AD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41DBDC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2A98EB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478AB8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FDCFB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B99FE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6DBB7CA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4CA9A3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w:t>
            </w:r>
          </w:p>
        </w:tc>
        <w:tc>
          <w:tcPr>
            <w:tcW w:w="963" w:type="dxa"/>
            <w:noWrap/>
            <w:hideMark/>
          </w:tcPr>
          <w:p w14:paraId="2301A6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516294A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E1BA97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Bourne, Immanuel</w:t>
            </w:r>
          </w:p>
        </w:tc>
        <w:tc>
          <w:tcPr>
            <w:tcW w:w="1125" w:type="dxa"/>
            <w:noWrap/>
            <w:hideMark/>
          </w:tcPr>
          <w:p w14:paraId="06401E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George </w:t>
            </w:r>
            <w:proofErr w:type="spellStart"/>
            <w:r w:rsidRPr="003037D2">
              <w:rPr>
                <w:rFonts w:ascii="Garamond" w:hAnsi="Garamond"/>
                <w:sz w:val="20"/>
                <w:szCs w:val="20"/>
              </w:rPr>
              <w:t>Fayerbeard</w:t>
            </w:r>
            <w:proofErr w:type="spellEnd"/>
            <w:r w:rsidRPr="003037D2">
              <w:rPr>
                <w:rFonts w:ascii="Garamond" w:hAnsi="Garamond"/>
                <w:sz w:val="20"/>
                <w:szCs w:val="20"/>
              </w:rPr>
              <w:t xml:space="preserve"> </w:t>
            </w:r>
          </w:p>
        </w:tc>
        <w:tc>
          <w:tcPr>
            <w:tcW w:w="918" w:type="dxa"/>
            <w:noWrap/>
            <w:hideMark/>
          </w:tcPr>
          <w:p w14:paraId="64E5CF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5F5FF1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EB0A7E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5A25B9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745AD31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5B6064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BEF2D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1BF87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2911" w:type="dxa"/>
            <w:gridSpan w:val="3"/>
            <w:noWrap/>
            <w:hideMark/>
          </w:tcPr>
          <w:p w14:paraId="6BC1CC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Calendar - first </w:t>
            </w:r>
            <w:proofErr w:type="spellStart"/>
            <w:r w:rsidRPr="003037D2">
              <w:rPr>
                <w:rFonts w:ascii="Garamond" w:hAnsi="Garamond"/>
                <w:sz w:val="20"/>
                <w:szCs w:val="20"/>
              </w:rPr>
              <w:t>sunday</w:t>
            </w:r>
            <w:proofErr w:type="spellEnd"/>
            <w:r w:rsidRPr="003037D2">
              <w:rPr>
                <w:rFonts w:ascii="Garamond" w:hAnsi="Garamond"/>
                <w:sz w:val="20"/>
                <w:szCs w:val="20"/>
              </w:rPr>
              <w:t xml:space="preserve"> of new year</w:t>
            </w:r>
          </w:p>
        </w:tc>
        <w:tc>
          <w:tcPr>
            <w:tcW w:w="963" w:type="dxa"/>
            <w:noWrap/>
            <w:hideMark/>
          </w:tcPr>
          <w:p w14:paraId="04C695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3B81E43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DED071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Bridge, William</w:t>
            </w:r>
          </w:p>
        </w:tc>
        <w:tc>
          <w:tcPr>
            <w:tcW w:w="1125" w:type="dxa"/>
            <w:noWrap/>
            <w:hideMark/>
          </w:tcPr>
          <w:p w14:paraId="1935909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Rothwell </w:t>
            </w:r>
          </w:p>
        </w:tc>
        <w:tc>
          <w:tcPr>
            <w:tcW w:w="918" w:type="dxa"/>
            <w:noWrap/>
            <w:hideMark/>
          </w:tcPr>
          <w:p w14:paraId="36F9A4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222EC8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77C060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A459E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BEEB4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Westminster </w:t>
            </w:r>
          </w:p>
        </w:tc>
        <w:tc>
          <w:tcPr>
            <w:tcW w:w="1118" w:type="dxa"/>
            <w:noWrap/>
            <w:hideMark/>
          </w:tcPr>
          <w:p w14:paraId="1F8F7A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E5B5E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25205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4FAA87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5C21C3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6576AB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2A693D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173621E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11CCE4D"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Bridge, William</w:t>
            </w:r>
          </w:p>
        </w:tc>
        <w:tc>
          <w:tcPr>
            <w:tcW w:w="1125" w:type="dxa"/>
            <w:noWrap/>
            <w:hideMark/>
          </w:tcPr>
          <w:p w14:paraId="49231BE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Ben Allen </w:t>
            </w:r>
          </w:p>
        </w:tc>
        <w:tc>
          <w:tcPr>
            <w:tcW w:w="918" w:type="dxa"/>
            <w:noWrap/>
            <w:hideMark/>
          </w:tcPr>
          <w:p w14:paraId="62F2C5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169C82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D3EA7F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7BECE8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2E06E1E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5915E7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85A93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5E64E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6F5FB6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45F40EC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EE755A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BCD1F4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5A30B16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2BEF0A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Bridge, William</w:t>
            </w:r>
          </w:p>
        </w:tc>
        <w:tc>
          <w:tcPr>
            <w:tcW w:w="1125" w:type="dxa"/>
            <w:noWrap/>
            <w:hideMark/>
          </w:tcPr>
          <w:p w14:paraId="42234C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Ben Allen </w:t>
            </w:r>
          </w:p>
        </w:tc>
        <w:tc>
          <w:tcPr>
            <w:tcW w:w="918" w:type="dxa"/>
            <w:noWrap/>
            <w:hideMark/>
          </w:tcPr>
          <w:p w14:paraId="5F2D35F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647BBD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035" w:type="dxa"/>
            <w:noWrap/>
            <w:hideMark/>
          </w:tcPr>
          <w:p w14:paraId="7A317F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7F6C08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045BE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7EBB9F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EECBE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B5EAD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5A3415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1B38C3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BB90E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57EBD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1857C88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9127704"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Brinsley, John </w:t>
            </w:r>
          </w:p>
        </w:tc>
        <w:tc>
          <w:tcPr>
            <w:tcW w:w="1125" w:type="dxa"/>
            <w:noWrap/>
            <w:hideMark/>
          </w:tcPr>
          <w:p w14:paraId="746C899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Bird </w:t>
            </w:r>
          </w:p>
        </w:tc>
        <w:tc>
          <w:tcPr>
            <w:tcW w:w="918" w:type="dxa"/>
            <w:noWrap/>
            <w:hideMark/>
          </w:tcPr>
          <w:p w14:paraId="02E6C4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1631</w:t>
            </w:r>
          </w:p>
        </w:tc>
        <w:tc>
          <w:tcPr>
            <w:tcW w:w="931" w:type="dxa"/>
            <w:noWrap/>
            <w:hideMark/>
          </w:tcPr>
          <w:p w14:paraId="6A0516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036B7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E32A3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7A8CC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51BD2E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1A6D0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79916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711D2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71CA0B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consecration </w:t>
            </w:r>
          </w:p>
        </w:tc>
        <w:tc>
          <w:tcPr>
            <w:tcW w:w="963" w:type="dxa"/>
            <w:noWrap/>
            <w:hideMark/>
          </w:tcPr>
          <w:p w14:paraId="6F151F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12A1CCF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AB5661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Brinsley, John </w:t>
            </w:r>
          </w:p>
        </w:tc>
        <w:tc>
          <w:tcPr>
            <w:tcW w:w="1125" w:type="dxa"/>
            <w:noWrap/>
            <w:hideMark/>
          </w:tcPr>
          <w:p w14:paraId="1C1997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Bird </w:t>
            </w:r>
          </w:p>
        </w:tc>
        <w:tc>
          <w:tcPr>
            <w:tcW w:w="918" w:type="dxa"/>
            <w:noWrap/>
            <w:hideMark/>
          </w:tcPr>
          <w:p w14:paraId="1CDFB17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1631</w:t>
            </w:r>
          </w:p>
        </w:tc>
        <w:tc>
          <w:tcPr>
            <w:tcW w:w="931" w:type="dxa"/>
            <w:noWrap/>
            <w:hideMark/>
          </w:tcPr>
          <w:p w14:paraId="4CA6E5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39CD106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AFAECF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5761F7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6450A6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50922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A6C48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372659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554084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72468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AC0D4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72980E2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43FD246"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Brookes, Matthew </w:t>
            </w:r>
          </w:p>
        </w:tc>
        <w:tc>
          <w:tcPr>
            <w:tcW w:w="1125" w:type="dxa"/>
            <w:noWrap/>
            <w:hideMark/>
          </w:tcPr>
          <w:p w14:paraId="7F72C5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Richard Cartwright </w:t>
            </w:r>
          </w:p>
        </w:tc>
        <w:tc>
          <w:tcPr>
            <w:tcW w:w="918" w:type="dxa"/>
            <w:noWrap/>
            <w:hideMark/>
          </w:tcPr>
          <w:p w14:paraId="710B27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1627</w:t>
            </w:r>
          </w:p>
        </w:tc>
        <w:tc>
          <w:tcPr>
            <w:tcW w:w="931" w:type="dxa"/>
            <w:noWrap/>
            <w:hideMark/>
          </w:tcPr>
          <w:p w14:paraId="53F37C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EF64B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9C51A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9A050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4643F2A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7C01F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08056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367AC8A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1F7131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47272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58DF9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534B50B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E641BB4"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Brookes, Matthew </w:t>
            </w:r>
          </w:p>
        </w:tc>
        <w:tc>
          <w:tcPr>
            <w:tcW w:w="1125" w:type="dxa"/>
            <w:noWrap/>
            <w:hideMark/>
          </w:tcPr>
          <w:p w14:paraId="718795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William Jones </w:t>
            </w:r>
          </w:p>
        </w:tc>
        <w:tc>
          <w:tcPr>
            <w:tcW w:w="918" w:type="dxa"/>
            <w:noWrap/>
            <w:hideMark/>
          </w:tcPr>
          <w:p w14:paraId="799018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2801A64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254DD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6CBB390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586A7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79CBB5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70626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20F89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0925FF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11D020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88BA0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F9933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668F5D3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B64E45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Browne, Abraham </w:t>
            </w:r>
          </w:p>
        </w:tc>
        <w:tc>
          <w:tcPr>
            <w:tcW w:w="1125" w:type="dxa"/>
            <w:noWrap/>
            <w:hideMark/>
          </w:tcPr>
          <w:p w14:paraId="3897846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Edward </w:t>
            </w:r>
            <w:proofErr w:type="spellStart"/>
            <w:r w:rsidRPr="003037D2">
              <w:rPr>
                <w:rFonts w:ascii="Garamond" w:hAnsi="Garamond"/>
                <w:sz w:val="20"/>
                <w:szCs w:val="20"/>
              </w:rPr>
              <w:t>Allde</w:t>
            </w:r>
            <w:proofErr w:type="spellEnd"/>
            <w:r w:rsidRPr="003037D2">
              <w:rPr>
                <w:rFonts w:ascii="Garamond" w:hAnsi="Garamond"/>
                <w:sz w:val="20"/>
                <w:szCs w:val="20"/>
              </w:rPr>
              <w:t xml:space="preserve"> </w:t>
            </w:r>
          </w:p>
        </w:tc>
        <w:tc>
          <w:tcPr>
            <w:tcW w:w="918" w:type="dxa"/>
            <w:noWrap/>
            <w:hideMark/>
          </w:tcPr>
          <w:p w14:paraId="27BEB4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5A0EAB7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7FD401E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3595A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5F67B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2BDA794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people</w:t>
            </w:r>
          </w:p>
        </w:tc>
        <w:tc>
          <w:tcPr>
            <w:tcW w:w="981" w:type="dxa"/>
            <w:noWrap/>
            <w:hideMark/>
          </w:tcPr>
          <w:p w14:paraId="776BB2C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9B613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59233A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378CF6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5CBEA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AEECF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2DFE9E7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4F8260E"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Browne, Thomas </w:t>
            </w:r>
          </w:p>
        </w:tc>
        <w:tc>
          <w:tcPr>
            <w:tcW w:w="1125" w:type="dxa"/>
            <w:noWrap/>
            <w:hideMark/>
          </w:tcPr>
          <w:p w14:paraId="5ED8B2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Lichfield </w:t>
            </w:r>
          </w:p>
        </w:tc>
        <w:tc>
          <w:tcPr>
            <w:tcW w:w="918" w:type="dxa"/>
            <w:noWrap/>
            <w:hideMark/>
          </w:tcPr>
          <w:p w14:paraId="3A434E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1634</w:t>
            </w:r>
          </w:p>
        </w:tc>
        <w:tc>
          <w:tcPr>
            <w:tcW w:w="931" w:type="dxa"/>
            <w:noWrap/>
            <w:hideMark/>
          </w:tcPr>
          <w:p w14:paraId="43302B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9F0B1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1C6CC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2B22B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College </w:t>
            </w:r>
          </w:p>
        </w:tc>
        <w:tc>
          <w:tcPr>
            <w:tcW w:w="1118" w:type="dxa"/>
            <w:noWrap/>
            <w:hideMark/>
          </w:tcPr>
          <w:p w14:paraId="583A91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9EFC5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E7FD2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68BB18A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6CAD48D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ED0EE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05593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2E41A01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C123F7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Bryan, John </w:t>
            </w:r>
          </w:p>
        </w:tc>
        <w:tc>
          <w:tcPr>
            <w:tcW w:w="1125" w:type="dxa"/>
            <w:noWrap/>
            <w:hideMark/>
          </w:tcPr>
          <w:p w14:paraId="031A1C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Lawrence Chapman </w:t>
            </w:r>
          </w:p>
        </w:tc>
        <w:tc>
          <w:tcPr>
            <w:tcW w:w="918" w:type="dxa"/>
            <w:noWrap/>
            <w:hideMark/>
          </w:tcPr>
          <w:p w14:paraId="1BB180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1640</w:t>
            </w:r>
          </w:p>
        </w:tc>
        <w:tc>
          <w:tcPr>
            <w:tcW w:w="931" w:type="dxa"/>
            <w:noWrap/>
            <w:hideMark/>
          </w:tcPr>
          <w:p w14:paraId="038D07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46E02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B5914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43618A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1018F69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8B98C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1539F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0273E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6C86BE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083682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7D1A2D1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6A764A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Bryan, John </w:t>
            </w:r>
          </w:p>
        </w:tc>
        <w:tc>
          <w:tcPr>
            <w:tcW w:w="1125" w:type="dxa"/>
            <w:noWrap/>
            <w:hideMark/>
          </w:tcPr>
          <w:p w14:paraId="7ECC38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Lawrence Chapman </w:t>
            </w:r>
          </w:p>
        </w:tc>
        <w:tc>
          <w:tcPr>
            <w:tcW w:w="918" w:type="dxa"/>
            <w:noWrap/>
            <w:hideMark/>
          </w:tcPr>
          <w:p w14:paraId="7BAFA3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1636</w:t>
            </w:r>
          </w:p>
        </w:tc>
        <w:tc>
          <w:tcPr>
            <w:tcW w:w="931" w:type="dxa"/>
            <w:noWrap/>
            <w:hideMark/>
          </w:tcPr>
          <w:p w14:paraId="1C13C4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D56C9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576519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725D36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312C92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5FC2D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6706FF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284C3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5A5B647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7F29AE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682F346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040AB7C"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Buggs, Samuel </w:t>
            </w:r>
          </w:p>
        </w:tc>
        <w:tc>
          <w:tcPr>
            <w:tcW w:w="1125" w:type="dxa"/>
            <w:noWrap/>
            <w:hideMark/>
          </w:tcPr>
          <w:p w14:paraId="7BFFB6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Nathaniel Butter</w:t>
            </w:r>
          </w:p>
        </w:tc>
        <w:tc>
          <w:tcPr>
            <w:tcW w:w="918" w:type="dxa"/>
            <w:noWrap/>
            <w:hideMark/>
          </w:tcPr>
          <w:p w14:paraId="1BF7C9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0C0920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552E8F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64321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878419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0878C07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B7CEF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30B18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7BC716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1FA6038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EE165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80A24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1E6FC4E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5FA4EE6"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Buggs, Samuel </w:t>
            </w:r>
          </w:p>
        </w:tc>
        <w:tc>
          <w:tcPr>
            <w:tcW w:w="1125" w:type="dxa"/>
            <w:noWrap/>
            <w:hideMark/>
          </w:tcPr>
          <w:p w14:paraId="1EB1B4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Bellamie</w:t>
            </w:r>
            <w:proofErr w:type="spellEnd"/>
          </w:p>
        </w:tc>
        <w:tc>
          <w:tcPr>
            <w:tcW w:w="918" w:type="dxa"/>
            <w:noWrap/>
            <w:hideMark/>
          </w:tcPr>
          <w:p w14:paraId="226988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45AD38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168F62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2B7FC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7756F0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 military garden </w:t>
            </w:r>
          </w:p>
        </w:tc>
        <w:tc>
          <w:tcPr>
            <w:tcW w:w="1118" w:type="dxa"/>
            <w:noWrap/>
            <w:hideMark/>
          </w:tcPr>
          <w:p w14:paraId="5D51CF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686B6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912AC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7C5E56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4A1F70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32123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95CF6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246BB04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0E2AAE3"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Burches</w:t>
            </w:r>
            <w:proofErr w:type="spellEnd"/>
            <w:r w:rsidRPr="003037D2">
              <w:rPr>
                <w:rFonts w:ascii="Garamond" w:hAnsi="Garamond"/>
                <w:b w:val="0"/>
                <w:bCs w:val="0"/>
                <w:sz w:val="20"/>
                <w:szCs w:val="20"/>
              </w:rPr>
              <w:t xml:space="preserve">, George </w:t>
            </w:r>
          </w:p>
        </w:tc>
        <w:tc>
          <w:tcPr>
            <w:tcW w:w="1125" w:type="dxa"/>
            <w:noWrap/>
            <w:hideMark/>
          </w:tcPr>
          <w:p w14:paraId="52C2AA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Leon Lichfield </w:t>
            </w:r>
          </w:p>
        </w:tc>
        <w:tc>
          <w:tcPr>
            <w:tcW w:w="918" w:type="dxa"/>
            <w:noWrap/>
            <w:hideMark/>
          </w:tcPr>
          <w:p w14:paraId="111F0FE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6FB1E8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73D29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206E58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44343C1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22F325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4F1F7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19F11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3E62BD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6D05C1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10E461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29D37A7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2554524"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Burges, Cornelius</w:t>
            </w:r>
          </w:p>
        </w:tc>
        <w:tc>
          <w:tcPr>
            <w:tcW w:w="1125" w:type="dxa"/>
            <w:noWrap/>
            <w:hideMark/>
          </w:tcPr>
          <w:p w14:paraId="2C4A51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spellStart"/>
            <w:r w:rsidRPr="003037D2">
              <w:rPr>
                <w:rFonts w:ascii="Garamond" w:hAnsi="Garamond"/>
                <w:sz w:val="20"/>
                <w:szCs w:val="20"/>
              </w:rPr>
              <w:t>Philomen</w:t>
            </w:r>
            <w:proofErr w:type="spellEnd"/>
            <w:r w:rsidRPr="003037D2">
              <w:rPr>
                <w:rFonts w:ascii="Garamond" w:hAnsi="Garamond"/>
                <w:sz w:val="20"/>
                <w:szCs w:val="20"/>
              </w:rPr>
              <w:t xml:space="preserve"> Stephens and Christopher Meredith</w:t>
            </w:r>
          </w:p>
        </w:tc>
        <w:tc>
          <w:tcPr>
            <w:tcW w:w="918" w:type="dxa"/>
            <w:noWrap/>
            <w:hideMark/>
          </w:tcPr>
          <w:p w14:paraId="3A1C79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71763D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01F06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1563F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4C8F9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House of Commons</w:t>
            </w:r>
          </w:p>
        </w:tc>
        <w:tc>
          <w:tcPr>
            <w:tcW w:w="1118" w:type="dxa"/>
            <w:noWrap/>
            <w:hideMark/>
          </w:tcPr>
          <w:p w14:paraId="2D1D1C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0E509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DB226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674C8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3947E5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64772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E04D1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1599765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10D21C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Burges, Cornelius</w:t>
            </w:r>
          </w:p>
        </w:tc>
        <w:tc>
          <w:tcPr>
            <w:tcW w:w="1125" w:type="dxa"/>
            <w:noWrap/>
            <w:hideMark/>
          </w:tcPr>
          <w:p w14:paraId="5FD5E29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spellStart"/>
            <w:r w:rsidRPr="003037D2">
              <w:rPr>
                <w:rFonts w:ascii="Garamond" w:hAnsi="Garamond"/>
                <w:sz w:val="20"/>
                <w:szCs w:val="20"/>
              </w:rPr>
              <w:t>Philomen</w:t>
            </w:r>
            <w:proofErr w:type="spellEnd"/>
            <w:r w:rsidRPr="003037D2">
              <w:rPr>
                <w:rFonts w:ascii="Garamond" w:hAnsi="Garamond"/>
                <w:sz w:val="20"/>
                <w:szCs w:val="20"/>
              </w:rPr>
              <w:t xml:space="preserve"> Stephens </w:t>
            </w:r>
            <w:r w:rsidRPr="003037D2">
              <w:rPr>
                <w:rFonts w:ascii="Garamond" w:hAnsi="Garamond"/>
                <w:sz w:val="20"/>
                <w:szCs w:val="20"/>
              </w:rPr>
              <w:lastRenderedPageBreak/>
              <w:t>and Christopher Meredith</w:t>
            </w:r>
          </w:p>
        </w:tc>
        <w:tc>
          <w:tcPr>
            <w:tcW w:w="918" w:type="dxa"/>
            <w:noWrap/>
            <w:hideMark/>
          </w:tcPr>
          <w:p w14:paraId="2B630B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lastRenderedPageBreak/>
              <w:t>1641</w:t>
            </w:r>
          </w:p>
        </w:tc>
        <w:tc>
          <w:tcPr>
            <w:tcW w:w="931" w:type="dxa"/>
            <w:noWrap/>
            <w:hideMark/>
          </w:tcPr>
          <w:p w14:paraId="11C9B4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22664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15F555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FDCF6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House of Commons</w:t>
            </w:r>
          </w:p>
        </w:tc>
        <w:tc>
          <w:tcPr>
            <w:tcW w:w="1118" w:type="dxa"/>
            <w:noWrap/>
            <w:hideMark/>
          </w:tcPr>
          <w:p w14:paraId="5AF1FA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0121B9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1B92E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82853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1E0731F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51521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6A9A7D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22AE193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B5CE1A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Burges, John </w:t>
            </w:r>
          </w:p>
        </w:tc>
        <w:tc>
          <w:tcPr>
            <w:tcW w:w="1125" w:type="dxa"/>
            <w:noWrap/>
            <w:hideMark/>
          </w:tcPr>
          <w:p w14:paraId="7548E6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w:t>
            </w:r>
            <w:proofErr w:type="spellStart"/>
            <w:r w:rsidRPr="003037D2">
              <w:rPr>
                <w:rFonts w:ascii="Garamond" w:hAnsi="Garamond"/>
                <w:sz w:val="20"/>
                <w:szCs w:val="20"/>
              </w:rPr>
              <w:t>Brundell</w:t>
            </w:r>
            <w:proofErr w:type="spellEnd"/>
          </w:p>
        </w:tc>
        <w:tc>
          <w:tcPr>
            <w:tcW w:w="918" w:type="dxa"/>
            <w:noWrap/>
            <w:hideMark/>
          </w:tcPr>
          <w:p w14:paraId="08BB11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0BAD45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148EF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611ED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8DC1F6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 Greenwich </w:t>
            </w:r>
          </w:p>
        </w:tc>
        <w:tc>
          <w:tcPr>
            <w:tcW w:w="1118" w:type="dxa"/>
            <w:noWrap/>
            <w:hideMark/>
          </w:tcPr>
          <w:p w14:paraId="5FAE3F2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ABADC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DB629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4066AD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3E0B5BB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4CB62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995CB8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42DC973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C093F27"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Burroughs, Jeremiah </w:t>
            </w:r>
          </w:p>
        </w:tc>
        <w:tc>
          <w:tcPr>
            <w:tcW w:w="1125" w:type="dxa"/>
            <w:noWrap/>
            <w:hideMark/>
          </w:tcPr>
          <w:p w14:paraId="59C8602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 Paine and M. Simmons</w:t>
            </w:r>
          </w:p>
        </w:tc>
        <w:tc>
          <w:tcPr>
            <w:tcW w:w="918" w:type="dxa"/>
            <w:noWrap/>
            <w:hideMark/>
          </w:tcPr>
          <w:p w14:paraId="771EBA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70E868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EFED5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158A8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13BFE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House of Commons</w:t>
            </w:r>
          </w:p>
        </w:tc>
        <w:tc>
          <w:tcPr>
            <w:tcW w:w="1118" w:type="dxa"/>
            <w:noWrap/>
            <w:hideMark/>
          </w:tcPr>
          <w:p w14:paraId="65A6727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D811DF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D682A9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0366E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0335F1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Event - thanksgiving</w:t>
            </w:r>
          </w:p>
        </w:tc>
        <w:tc>
          <w:tcPr>
            <w:tcW w:w="963" w:type="dxa"/>
            <w:noWrap/>
            <w:hideMark/>
          </w:tcPr>
          <w:p w14:paraId="477DDEE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7882664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3A0EC6C"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Burrowes</w:t>
            </w:r>
            <w:proofErr w:type="spellEnd"/>
            <w:r w:rsidRPr="003037D2">
              <w:rPr>
                <w:rFonts w:ascii="Garamond" w:hAnsi="Garamond"/>
                <w:b w:val="0"/>
                <w:bCs w:val="0"/>
                <w:sz w:val="20"/>
                <w:szCs w:val="20"/>
              </w:rPr>
              <w:t>, Samuel</w:t>
            </w:r>
          </w:p>
        </w:tc>
        <w:tc>
          <w:tcPr>
            <w:tcW w:w="1125" w:type="dxa"/>
            <w:noWrap/>
            <w:hideMark/>
          </w:tcPr>
          <w:p w14:paraId="6F9AB8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T.B. </w:t>
            </w:r>
          </w:p>
        </w:tc>
        <w:tc>
          <w:tcPr>
            <w:tcW w:w="918" w:type="dxa"/>
            <w:noWrap/>
            <w:hideMark/>
          </w:tcPr>
          <w:p w14:paraId="1DB2B0A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6B2FE3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73EBB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2CB721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87DD1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5DE6091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CF6FD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A73DB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19ADD8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3D4BE2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34627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56E03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44A85CF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D9BD8C3"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Burton, Henry </w:t>
            </w:r>
          </w:p>
        </w:tc>
        <w:tc>
          <w:tcPr>
            <w:tcW w:w="1125" w:type="dxa"/>
            <w:noWrap/>
            <w:hideMark/>
          </w:tcPr>
          <w:p w14:paraId="1ED798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S.N.</w:t>
            </w:r>
          </w:p>
        </w:tc>
        <w:tc>
          <w:tcPr>
            <w:tcW w:w="918" w:type="dxa"/>
            <w:noWrap/>
            <w:hideMark/>
          </w:tcPr>
          <w:p w14:paraId="5006AED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2B6DD5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F9726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4B503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F4FBC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House of Parliament </w:t>
            </w:r>
          </w:p>
        </w:tc>
        <w:tc>
          <w:tcPr>
            <w:tcW w:w="1118" w:type="dxa"/>
            <w:noWrap/>
            <w:hideMark/>
          </w:tcPr>
          <w:p w14:paraId="71068FF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spellStart"/>
            <w:r w:rsidRPr="003037D2">
              <w:rPr>
                <w:rFonts w:ascii="Garamond" w:hAnsi="Garamond"/>
                <w:sz w:val="20"/>
                <w:szCs w:val="20"/>
              </w:rPr>
              <w:t>Curch</w:t>
            </w:r>
            <w:proofErr w:type="spellEnd"/>
          </w:p>
        </w:tc>
        <w:tc>
          <w:tcPr>
            <w:tcW w:w="981" w:type="dxa"/>
            <w:noWrap/>
            <w:hideMark/>
          </w:tcPr>
          <w:p w14:paraId="23CDE3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C98C2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B66AB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2CD9D5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BD21D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6D56C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674FA9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A03B39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Burton, Henry </w:t>
            </w:r>
          </w:p>
        </w:tc>
        <w:tc>
          <w:tcPr>
            <w:tcW w:w="1125" w:type="dxa"/>
            <w:noWrap/>
            <w:hideMark/>
          </w:tcPr>
          <w:p w14:paraId="4B0DA0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B. Alsop </w:t>
            </w:r>
          </w:p>
        </w:tc>
        <w:tc>
          <w:tcPr>
            <w:tcW w:w="918" w:type="dxa"/>
            <w:noWrap/>
            <w:hideMark/>
          </w:tcPr>
          <w:p w14:paraId="64DB65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4FDD0A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DE388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CE619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277F22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3E90F2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9B1CF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56175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6F3DCC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6469A6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41D69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76846E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50056EB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0BE313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Burton, Samuel </w:t>
            </w:r>
          </w:p>
        </w:tc>
        <w:tc>
          <w:tcPr>
            <w:tcW w:w="1125" w:type="dxa"/>
            <w:noWrap/>
            <w:hideMark/>
          </w:tcPr>
          <w:p w14:paraId="5B7229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Nathaniel Butter</w:t>
            </w:r>
          </w:p>
        </w:tc>
        <w:tc>
          <w:tcPr>
            <w:tcW w:w="918" w:type="dxa"/>
            <w:noWrap/>
            <w:hideMark/>
          </w:tcPr>
          <w:p w14:paraId="45BA60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1A1ED0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B37C9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63DC3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A73AC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22BE7F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123C0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39F55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22911C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3402B7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w:t>
            </w:r>
          </w:p>
        </w:tc>
        <w:tc>
          <w:tcPr>
            <w:tcW w:w="963" w:type="dxa"/>
            <w:noWrap/>
            <w:hideMark/>
          </w:tcPr>
          <w:p w14:paraId="673750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52790DD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B74297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Bury, John </w:t>
            </w:r>
          </w:p>
        </w:tc>
        <w:tc>
          <w:tcPr>
            <w:tcW w:w="1125" w:type="dxa"/>
            <w:noWrap/>
            <w:hideMark/>
          </w:tcPr>
          <w:p w14:paraId="326841D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Nathaniel Butter</w:t>
            </w:r>
          </w:p>
        </w:tc>
        <w:tc>
          <w:tcPr>
            <w:tcW w:w="918" w:type="dxa"/>
            <w:noWrap/>
            <w:hideMark/>
          </w:tcPr>
          <w:p w14:paraId="64B23C7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1631</w:t>
            </w:r>
          </w:p>
        </w:tc>
        <w:tc>
          <w:tcPr>
            <w:tcW w:w="931" w:type="dxa"/>
            <w:noWrap/>
            <w:hideMark/>
          </w:tcPr>
          <w:p w14:paraId="24C611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5D8E89F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04F00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1D304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075E4A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749D1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60512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3BAD5F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0536FA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93460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969FF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1EACD14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9155DCF"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Cade, Anthony</w:t>
            </w:r>
          </w:p>
        </w:tc>
        <w:tc>
          <w:tcPr>
            <w:tcW w:w="1125" w:type="dxa"/>
            <w:noWrap/>
            <w:hideMark/>
          </w:tcPr>
          <w:p w14:paraId="13BC7A1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18" w:type="dxa"/>
            <w:noWrap/>
            <w:hideMark/>
          </w:tcPr>
          <w:p w14:paraId="40A548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1636</w:t>
            </w:r>
          </w:p>
        </w:tc>
        <w:tc>
          <w:tcPr>
            <w:tcW w:w="931" w:type="dxa"/>
            <w:noWrap/>
            <w:hideMark/>
          </w:tcPr>
          <w:p w14:paraId="1FDE4F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EA647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Cambridge </w:t>
            </w:r>
          </w:p>
        </w:tc>
        <w:tc>
          <w:tcPr>
            <w:tcW w:w="838" w:type="dxa"/>
            <w:noWrap/>
            <w:hideMark/>
          </w:tcPr>
          <w:p w14:paraId="3C11CF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258A8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6E4972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2BBFA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080A0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71A2920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visitation </w:t>
            </w:r>
          </w:p>
        </w:tc>
        <w:tc>
          <w:tcPr>
            <w:tcW w:w="1093" w:type="dxa"/>
            <w:noWrap/>
            <w:hideMark/>
          </w:tcPr>
          <w:p w14:paraId="04C7FE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76A93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0980F93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6E5B7A8"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Cade, Anthony</w:t>
            </w:r>
          </w:p>
        </w:tc>
        <w:tc>
          <w:tcPr>
            <w:tcW w:w="1125" w:type="dxa"/>
            <w:noWrap/>
            <w:hideMark/>
          </w:tcPr>
          <w:p w14:paraId="15C395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Thomas Jones</w:t>
            </w:r>
          </w:p>
        </w:tc>
        <w:tc>
          <w:tcPr>
            <w:tcW w:w="918" w:type="dxa"/>
            <w:noWrap/>
            <w:hideMark/>
          </w:tcPr>
          <w:p w14:paraId="0B4E17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1621</w:t>
            </w:r>
          </w:p>
        </w:tc>
        <w:tc>
          <w:tcPr>
            <w:tcW w:w="931" w:type="dxa"/>
            <w:noWrap/>
            <w:hideMark/>
          </w:tcPr>
          <w:p w14:paraId="4DEEF13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2A8624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0CF50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5C5BB0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2099" w:type="dxa"/>
            <w:gridSpan w:val="2"/>
            <w:noWrap/>
            <w:hideMark/>
          </w:tcPr>
          <w:p w14:paraId="449C4F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Before knights, justices etc.</w:t>
            </w:r>
          </w:p>
        </w:tc>
        <w:tc>
          <w:tcPr>
            <w:tcW w:w="681" w:type="dxa"/>
            <w:noWrap/>
            <w:hideMark/>
          </w:tcPr>
          <w:p w14:paraId="3BAB2C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30D1186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60A187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FE3844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656C2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4FB9B4C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3E52A71"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Calamy</w:t>
            </w:r>
            <w:proofErr w:type="spellEnd"/>
            <w:r w:rsidRPr="003037D2">
              <w:rPr>
                <w:rFonts w:ascii="Garamond" w:hAnsi="Garamond"/>
                <w:b w:val="0"/>
                <w:bCs w:val="0"/>
                <w:sz w:val="20"/>
                <w:szCs w:val="20"/>
              </w:rPr>
              <w:t xml:space="preserve">, Edmund </w:t>
            </w:r>
          </w:p>
        </w:tc>
        <w:tc>
          <w:tcPr>
            <w:tcW w:w="1125" w:type="dxa"/>
            <w:noWrap/>
            <w:hideMark/>
          </w:tcPr>
          <w:p w14:paraId="7999EF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Christopher Meredith </w:t>
            </w:r>
          </w:p>
        </w:tc>
        <w:tc>
          <w:tcPr>
            <w:tcW w:w="918" w:type="dxa"/>
            <w:noWrap/>
            <w:hideMark/>
          </w:tcPr>
          <w:p w14:paraId="21900D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2E5BB1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0EB428A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08863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7B54DDF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House of Commons </w:t>
            </w:r>
          </w:p>
        </w:tc>
        <w:tc>
          <w:tcPr>
            <w:tcW w:w="1118" w:type="dxa"/>
            <w:noWrap/>
            <w:hideMark/>
          </w:tcPr>
          <w:p w14:paraId="01D3A09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EC4E8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305EA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51062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00AB1A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Event - fast</w:t>
            </w:r>
          </w:p>
        </w:tc>
        <w:tc>
          <w:tcPr>
            <w:tcW w:w="1093" w:type="dxa"/>
            <w:noWrap/>
            <w:hideMark/>
          </w:tcPr>
          <w:p w14:paraId="3F29694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2B7C9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18C7D7E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258ED2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Canon, Nathanael </w:t>
            </w:r>
          </w:p>
        </w:tc>
        <w:tc>
          <w:tcPr>
            <w:tcW w:w="1125" w:type="dxa"/>
            <w:noWrap/>
            <w:hideMark/>
          </w:tcPr>
          <w:p w14:paraId="488E566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Nathanael Newberry </w:t>
            </w:r>
          </w:p>
        </w:tc>
        <w:tc>
          <w:tcPr>
            <w:tcW w:w="918" w:type="dxa"/>
            <w:noWrap/>
            <w:hideMark/>
          </w:tcPr>
          <w:p w14:paraId="179626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7654CD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E5F472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838CF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670B3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3CA08B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60566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82F63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5CFFD0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1093" w:type="dxa"/>
            <w:noWrap/>
            <w:hideMark/>
          </w:tcPr>
          <w:p w14:paraId="5D0156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77258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2410DCA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5B3571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Cantrell, Nicholas </w:t>
            </w:r>
          </w:p>
        </w:tc>
        <w:tc>
          <w:tcPr>
            <w:tcW w:w="1125" w:type="dxa"/>
            <w:noWrap/>
            <w:hideMark/>
          </w:tcPr>
          <w:p w14:paraId="0C201B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Matthew </w:t>
            </w:r>
            <w:proofErr w:type="spellStart"/>
            <w:r w:rsidRPr="003037D2">
              <w:rPr>
                <w:rFonts w:ascii="Garamond" w:hAnsi="Garamond"/>
                <w:sz w:val="20"/>
                <w:szCs w:val="20"/>
              </w:rPr>
              <w:t>Lownes</w:t>
            </w:r>
            <w:proofErr w:type="spellEnd"/>
            <w:r w:rsidRPr="003037D2">
              <w:rPr>
                <w:rFonts w:ascii="Garamond" w:hAnsi="Garamond"/>
                <w:sz w:val="20"/>
                <w:szCs w:val="20"/>
              </w:rPr>
              <w:t xml:space="preserve"> </w:t>
            </w:r>
          </w:p>
        </w:tc>
        <w:tc>
          <w:tcPr>
            <w:tcW w:w="918" w:type="dxa"/>
            <w:noWrap/>
            <w:hideMark/>
          </w:tcPr>
          <w:p w14:paraId="46C4BA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043C7CA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F8657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7FE509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0A991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County </w:t>
            </w:r>
          </w:p>
        </w:tc>
        <w:tc>
          <w:tcPr>
            <w:tcW w:w="1118" w:type="dxa"/>
            <w:noWrap/>
            <w:hideMark/>
          </w:tcPr>
          <w:p w14:paraId="544DD7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961769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B1044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7A2EDE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7322620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91686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029F1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5638D6F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5EDF29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Carpenter, Nathanael </w:t>
            </w:r>
          </w:p>
        </w:tc>
        <w:tc>
          <w:tcPr>
            <w:tcW w:w="1125" w:type="dxa"/>
            <w:noWrap/>
            <w:hideMark/>
          </w:tcPr>
          <w:p w14:paraId="047FA7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Matthew Hunt </w:t>
            </w:r>
          </w:p>
        </w:tc>
        <w:tc>
          <w:tcPr>
            <w:tcW w:w="918" w:type="dxa"/>
            <w:noWrap/>
            <w:hideMark/>
          </w:tcPr>
          <w:p w14:paraId="303E39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1640</w:t>
            </w:r>
          </w:p>
        </w:tc>
        <w:tc>
          <w:tcPr>
            <w:tcW w:w="931" w:type="dxa"/>
            <w:noWrap/>
            <w:hideMark/>
          </w:tcPr>
          <w:p w14:paraId="5E2CF1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D2BF2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Oxford </w:t>
            </w:r>
          </w:p>
        </w:tc>
        <w:tc>
          <w:tcPr>
            <w:tcW w:w="838" w:type="dxa"/>
            <w:noWrap/>
            <w:hideMark/>
          </w:tcPr>
          <w:p w14:paraId="19FA85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AECEF8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2EAEF6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93CE7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080C2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66A1E0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6B1BCB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44C6F7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35D88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690E06D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D9C0B83"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Carpenter, Nathanael </w:t>
            </w:r>
          </w:p>
        </w:tc>
        <w:tc>
          <w:tcPr>
            <w:tcW w:w="1125" w:type="dxa"/>
            <w:noWrap/>
            <w:hideMark/>
          </w:tcPr>
          <w:p w14:paraId="467280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Michael Sparke </w:t>
            </w:r>
          </w:p>
        </w:tc>
        <w:tc>
          <w:tcPr>
            <w:tcW w:w="918" w:type="dxa"/>
            <w:noWrap/>
            <w:hideMark/>
          </w:tcPr>
          <w:p w14:paraId="31B875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1633</w:t>
            </w:r>
          </w:p>
        </w:tc>
        <w:tc>
          <w:tcPr>
            <w:tcW w:w="931" w:type="dxa"/>
            <w:noWrap/>
            <w:hideMark/>
          </w:tcPr>
          <w:p w14:paraId="0C7364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41DEF0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20B0A9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45F40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453129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A11E1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AF949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787B1E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265D15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C0FA9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FF585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50153BF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A28389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Carter, </w:t>
            </w:r>
            <w:proofErr w:type="spellStart"/>
            <w:r w:rsidRPr="003037D2">
              <w:rPr>
                <w:rFonts w:ascii="Garamond" w:hAnsi="Garamond"/>
                <w:b w:val="0"/>
                <w:bCs w:val="0"/>
                <w:sz w:val="20"/>
                <w:szCs w:val="20"/>
              </w:rPr>
              <w:t>Bezaleel</w:t>
            </w:r>
            <w:proofErr w:type="spellEnd"/>
            <w:r w:rsidRPr="003037D2">
              <w:rPr>
                <w:rFonts w:ascii="Garamond" w:hAnsi="Garamond"/>
                <w:b w:val="0"/>
                <w:bCs w:val="0"/>
                <w:sz w:val="20"/>
                <w:szCs w:val="20"/>
              </w:rPr>
              <w:t xml:space="preserve"> </w:t>
            </w:r>
          </w:p>
        </w:tc>
        <w:tc>
          <w:tcPr>
            <w:tcW w:w="1125" w:type="dxa"/>
            <w:noWrap/>
            <w:hideMark/>
          </w:tcPr>
          <w:p w14:paraId="540F1F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Edward </w:t>
            </w:r>
            <w:proofErr w:type="spellStart"/>
            <w:r w:rsidRPr="003037D2">
              <w:rPr>
                <w:rFonts w:ascii="Garamond" w:hAnsi="Garamond"/>
                <w:sz w:val="20"/>
                <w:szCs w:val="20"/>
              </w:rPr>
              <w:t>Blackemore</w:t>
            </w:r>
            <w:proofErr w:type="spellEnd"/>
            <w:r w:rsidRPr="003037D2">
              <w:rPr>
                <w:rFonts w:ascii="Garamond" w:hAnsi="Garamond"/>
                <w:sz w:val="20"/>
                <w:szCs w:val="20"/>
              </w:rPr>
              <w:t xml:space="preserve"> </w:t>
            </w:r>
          </w:p>
        </w:tc>
        <w:tc>
          <w:tcPr>
            <w:tcW w:w="918" w:type="dxa"/>
            <w:noWrap/>
            <w:hideMark/>
          </w:tcPr>
          <w:p w14:paraId="632B7E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1621</w:t>
            </w:r>
          </w:p>
        </w:tc>
        <w:tc>
          <w:tcPr>
            <w:tcW w:w="931" w:type="dxa"/>
            <w:noWrap/>
            <w:hideMark/>
          </w:tcPr>
          <w:p w14:paraId="1695529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798EC3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74E537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89E88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14D5A9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3D43A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FC26C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40D74A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1E41BB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ABF4B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7D20B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461878F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9A94A37"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Carter, William </w:t>
            </w:r>
          </w:p>
        </w:tc>
        <w:tc>
          <w:tcPr>
            <w:tcW w:w="1125" w:type="dxa"/>
            <w:noWrap/>
            <w:hideMark/>
          </w:tcPr>
          <w:p w14:paraId="4E910C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Christopher Meredith </w:t>
            </w:r>
          </w:p>
        </w:tc>
        <w:tc>
          <w:tcPr>
            <w:tcW w:w="918" w:type="dxa"/>
            <w:noWrap/>
            <w:hideMark/>
          </w:tcPr>
          <w:p w14:paraId="2D9E3E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2AD08F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E16CF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C26EA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C090D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House of Commons </w:t>
            </w:r>
          </w:p>
        </w:tc>
        <w:tc>
          <w:tcPr>
            <w:tcW w:w="1118" w:type="dxa"/>
            <w:noWrap/>
            <w:hideMark/>
          </w:tcPr>
          <w:p w14:paraId="726874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C4DE5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35ECAA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690CB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1BE533E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Event - fast</w:t>
            </w:r>
          </w:p>
        </w:tc>
        <w:tc>
          <w:tcPr>
            <w:tcW w:w="1093" w:type="dxa"/>
            <w:noWrap/>
            <w:hideMark/>
          </w:tcPr>
          <w:p w14:paraId="430422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0A286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2E70970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3E5C0A6"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Caryl, Joseph </w:t>
            </w:r>
          </w:p>
        </w:tc>
        <w:tc>
          <w:tcPr>
            <w:tcW w:w="1125" w:type="dxa"/>
            <w:noWrap/>
            <w:hideMark/>
          </w:tcPr>
          <w:p w14:paraId="101C72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Barlet</w:t>
            </w:r>
            <w:proofErr w:type="spellEnd"/>
            <w:r w:rsidRPr="003037D2">
              <w:rPr>
                <w:rFonts w:ascii="Garamond" w:hAnsi="Garamond"/>
                <w:sz w:val="20"/>
                <w:szCs w:val="20"/>
              </w:rPr>
              <w:t xml:space="preserve"> and William </w:t>
            </w:r>
            <w:proofErr w:type="spellStart"/>
            <w:r w:rsidRPr="003037D2">
              <w:rPr>
                <w:rFonts w:ascii="Garamond" w:hAnsi="Garamond"/>
                <w:sz w:val="20"/>
                <w:szCs w:val="20"/>
              </w:rPr>
              <w:t>Bladen</w:t>
            </w:r>
            <w:proofErr w:type="spellEnd"/>
          </w:p>
        </w:tc>
        <w:tc>
          <w:tcPr>
            <w:tcW w:w="918" w:type="dxa"/>
            <w:noWrap/>
            <w:hideMark/>
          </w:tcPr>
          <w:p w14:paraId="2E531CF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458A82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DC200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69EE56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8D43E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House of Commons </w:t>
            </w:r>
          </w:p>
        </w:tc>
        <w:tc>
          <w:tcPr>
            <w:tcW w:w="1118" w:type="dxa"/>
            <w:noWrap/>
            <w:hideMark/>
          </w:tcPr>
          <w:p w14:paraId="6165B5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5EA56A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A0BC1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100479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16C44F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Event - fast</w:t>
            </w:r>
          </w:p>
        </w:tc>
        <w:tc>
          <w:tcPr>
            <w:tcW w:w="1093" w:type="dxa"/>
            <w:noWrap/>
            <w:hideMark/>
          </w:tcPr>
          <w:p w14:paraId="04252C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132A1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0509AD7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05FB294"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Case, Thomas </w:t>
            </w:r>
          </w:p>
        </w:tc>
        <w:tc>
          <w:tcPr>
            <w:tcW w:w="1125" w:type="dxa"/>
            <w:noWrap/>
            <w:hideMark/>
          </w:tcPr>
          <w:p w14:paraId="62529D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Luke </w:t>
            </w:r>
            <w:proofErr w:type="spellStart"/>
            <w:r w:rsidRPr="003037D2">
              <w:rPr>
                <w:rFonts w:ascii="Garamond" w:hAnsi="Garamond"/>
                <w:sz w:val="20"/>
                <w:szCs w:val="20"/>
              </w:rPr>
              <w:t>Fawne</w:t>
            </w:r>
            <w:proofErr w:type="spellEnd"/>
          </w:p>
        </w:tc>
        <w:tc>
          <w:tcPr>
            <w:tcW w:w="918" w:type="dxa"/>
            <w:noWrap/>
            <w:hideMark/>
          </w:tcPr>
          <w:p w14:paraId="16833A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43760F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035" w:type="dxa"/>
            <w:noWrap/>
            <w:hideMark/>
          </w:tcPr>
          <w:p w14:paraId="2332B6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6B9040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809BC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House of Commons</w:t>
            </w:r>
          </w:p>
        </w:tc>
        <w:tc>
          <w:tcPr>
            <w:tcW w:w="1118" w:type="dxa"/>
            <w:noWrap/>
            <w:hideMark/>
          </w:tcPr>
          <w:p w14:paraId="487EA7E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Westminster</w:t>
            </w:r>
          </w:p>
        </w:tc>
        <w:tc>
          <w:tcPr>
            <w:tcW w:w="981" w:type="dxa"/>
            <w:noWrap/>
            <w:hideMark/>
          </w:tcPr>
          <w:p w14:paraId="3DFC9A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EB70F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6FE8D0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519F2C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28696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05056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0D03B49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F4F99DF"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Case, Thomas </w:t>
            </w:r>
          </w:p>
        </w:tc>
        <w:tc>
          <w:tcPr>
            <w:tcW w:w="1125" w:type="dxa"/>
            <w:noWrap/>
            <w:hideMark/>
          </w:tcPr>
          <w:p w14:paraId="0BCEE7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Luke </w:t>
            </w:r>
            <w:proofErr w:type="spellStart"/>
            <w:r w:rsidRPr="003037D2">
              <w:rPr>
                <w:rFonts w:ascii="Garamond" w:hAnsi="Garamond"/>
                <w:sz w:val="20"/>
                <w:szCs w:val="20"/>
              </w:rPr>
              <w:t>Fawne</w:t>
            </w:r>
            <w:proofErr w:type="spellEnd"/>
          </w:p>
        </w:tc>
        <w:tc>
          <w:tcPr>
            <w:tcW w:w="918" w:type="dxa"/>
            <w:noWrap/>
            <w:hideMark/>
          </w:tcPr>
          <w:p w14:paraId="1B8DBA9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273BFF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035" w:type="dxa"/>
            <w:noWrap/>
            <w:hideMark/>
          </w:tcPr>
          <w:p w14:paraId="43C031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3F324E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7EAC6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House of Commons</w:t>
            </w:r>
          </w:p>
        </w:tc>
        <w:tc>
          <w:tcPr>
            <w:tcW w:w="1118" w:type="dxa"/>
            <w:noWrap/>
            <w:hideMark/>
          </w:tcPr>
          <w:p w14:paraId="54E08A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Westminster</w:t>
            </w:r>
          </w:p>
        </w:tc>
        <w:tc>
          <w:tcPr>
            <w:tcW w:w="981" w:type="dxa"/>
            <w:noWrap/>
            <w:hideMark/>
          </w:tcPr>
          <w:p w14:paraId="4527E8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70D4A2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43E1E9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4CCF28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24C0A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A4D92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751FE99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23464AA"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Chaffinge</w:t>
            </w:r>
            <w:proofErr w:type="spellEnd"/>
            <w:r w:rsidRPr="003037D2">
              <w:rPr>
                <w:rFonts w:ascii="Garamond" w:hAnsi="Garamond"/>
                <w:b w:val="0"/>
                <w:bCs w:val="0"/>
                <w:sz w:val="20"/>
                <w:szCs w:val="20"/>
              </w:rPr>
              <w:t xml:space="preserve">, Thomas </w:t>
            </w:r>
          </w:p>
        </w:tc>
        <w:tc>
          <w:tcPr>
            <w:tcW w:w="1125" w:type="dxa"/>
            <w:noWrap/>
            <w:hideMark/>
          </w:tcPr>
          <w:p w14:paraId="0F06BD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Nathaniel Butter</w:t>
            </w:r>
          </w:p>
        </w:tc>
        <w:tc>
          <w:tcPr>
            <w:tcW w:w="918" w:type="dxa"/>
            <w:noWrap/>
            <w:hideMark/>
          </w:tcPr>
          <w:p w14:paraId="1091652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1630</w:t>
            </w:r>
          </w:p>
        </w:tc>
        <w:tc>
          <w:tcPr>
            <w:tcW w:w="931" w:type="dxa"/>
            <w:noWrap/>
            <w:hideMark/>
          </w:tcPr>
          <w:p w14:paraId="34E1CF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55E6F3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82324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73C7B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Castle </w:t>
            </w:r>
          </w:p>
        </w:tc>
        <w:tc>
          <w:tcPr>
            <w:tcW w:w="1118" w:type="dxa"/>
            <w:noWrap/>
            <w:hideMark/>
          </w:tcPr>
          <w:p w14:paraId="066622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74700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9F9E3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229E3ED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2058" w:type="dxa"/>
            <w:gridSpan w:val="2"/>
            <w:noWrap/>
            <w:hideMark/>
          </w:tcPr>
          <w:p w14:paraId="2BDD0C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Earl of Pembroke </w:t>
            </w:r>
          </w:p>
        </w:tc>
        <w:tc>
          <w:tcPr>
            <w:tcW w:w="963" w:type="dxa"/>
            <w:noWrap/>
            <w:hideMark/>
          </w:tcPr>
          <w:p w14:paraId="5A2FC1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49CC28A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450999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Chambers, Richard </w:t>
            </w:r>
          </w:p>
        </w:tc>
        <w:tc>
          <w:tcPr>
            <w:tcW w:w="1125" w:type="dxa"/>
            <w:noWrap/>
            <w:hideMark/>
          </w:tcPr>
          <w:p w14:paraId="032068E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George </w:t>
            </w:r>
            <w:proofErr w:type="spellStart"/>
            <w:r w:rsidRPr="003037D2">
              <w:rPr>
                <w:rFonts w:ascii="Garamond" w:hAnsi="Garamond"/>
                <w:sz w:val="20"/>
                <w:szCs w:val="20"/>
              </w:rPr>
              <w:t>Fayerbeard</w:t>
            </w:r>
            <w:proofErr w:type="spellEnd"/>
            <w:r w:rsidRPr="003037D2">
              <w:rPr>
                <w:rFonts w:ascii="Garamond" w:hAnsi="Garamond"/>
                <w:sz w:val="20"/>
                <w:szCs w:val="20"/>
              </w:rPr>
              <w:t xml:space="preserve"> </w:t>
            </w:r>
          </w:p>
        </w:tc>
        <w:tc>
          <w:tcPr>
            <w:tcW w:w="918" w:type="dxa"/>
            <w:noWrap/>
            <w:hideMark/>
          </w:tcPr>
          <w:p w14:paraId="0D6551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02E989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43A4D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BC481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CB982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13CFFF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D8408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D5613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2A476A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2058" w:type="dxa"/>
            <w:gridSpan w:val="2"/>
            <w:noWrap/>
            <w:hideMark/>
          </w:tcPr>
          <w:p w14:paraId="10BB5C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Countess of Northumberland </w:t>
            </w:r>
          </w:p>
        </w:tc>
        <w:tc>
          <w:tcPr>
            <w:tcW w:w="963" w:type="dxa"/>
            <w:noWrap/>
            <w:hideMark/>
          </w:tcPr>
          <w:p w14:paraId="7EE59D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1651903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840965D"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lastRenderedPageBreak/>
              <w:t>Chesire</w:t>
            </w:r>
            <w:proofErr w:type="spellEnd"/>
            <w:r w:rsidRPr="003037D2">
              <w:rPr>
                <w:rFonts w:ascii="Garamond" w:hAnsi="Garamond"/>
                <w:b w:val="0"/>
                <w:bCs w:val="0"/>
                <w:sz w:val="20"/>
                <w:szCs w:val="20"/>
              </w:rPr>
              <w:t xml:space="preserve">, Thomas </w:t>
            </w:r>
          </w:p>
        </w:tc>
        <w:tc>
          <w:tcPr>
            <w:tcW w:w="1125" w:type="dxa"/>
            <w:noWrap/>
            <w:hideMark/>
          </w:tcPr>
          <w:p w14:paraId="20D545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S.N.</w:t>
            </w:r>
          </w:p>
        </w:tc>
        <w:tc>
          <w:tcPr>
            <w:tcW w:w="918" w:type="dxa"/>
            <w:noWrap/>
            <w:hideMark/>
          </w:tcPr>
          <w:p w14:paraId="30E1BA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5EAA92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50B8CCA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C9020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02C3B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5BF243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Westminster</w:t>
            </w:r>
          </w:p>
        </w:tc>
        <w:tc>
          <w:tcPr>
            <w:tcW w:w="981" w:type="dxa"/>
            <w:noWrap/>
            <w:hideMark/>
          </w:tcPr>
          <w:p w14:paraId="78018A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E295F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2911" w:type="dxa"/>
            <w:gridSpan w:val="3"/>
            <w:noWrap/>
            <w:hideMark/>
          </w:tcPr>
          <w:p w14:paraId="443256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Saint Peter's Day </w:t>
            </w:r>
          </w:p>
        </w:tc>
        <w:tc>
          <w:tcPr>
            <w:tcW w:w="963" w:type="dxa"/>
            <w:noWrap/>
            <w:hideMark/>
          </w:tcPr>
          <w:p w14:paraId="5A1C9A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27CA13F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215AE72"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Chesire</w:t>
            </w:r>
            <w:proofErr w:type="spellEnd"/>
            <w:r w:rsidRPr="003037D2">
              <w:rPr>
                <w:rFonts w:ascii="Garamond" w:hAnsi="Garamond"/>
                <w:b w:val="0"/>
                <w:bCs w:val="0"/>
                <w:sz w:val="20"/>
                <w:szCs w:val="20"/>
              </w:rPr>
              <w:t xml:space="preserve">, Thomas </w:t>
            </w:r>
          </w:p>
        </w:tc>
        <w:tc>
          <w:tcPr>
            <w:tcW w:w="1125" w:type="dxa"/>
            <w:noWrap/>
            <w:hideMark/>
          </w:tcPr>
          <w:p w14:paraId="24D234E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S.N.</w:t>
            </w:r>
          </w:p>
        </w:tc>
        <w:tc>
          <w:tcPr>
            <w:tcW w:w="918" w:type="dxa"/>
            <w:noWrap/>
            <w:hideMark/>
          </w:tcPr>
          <w:p w14:paraId="2F44C5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7C503D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D4338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6D1B3F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5F1AD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St. Paul's </w:t>
            </w:r>
          </w:p>
        </w:tc>
        <w:tc>
          <w:tcPr>
            <w:tcW w:w="1118" w:type="dxa"/>
            <w:noWrap/>
            <w:hideMark/>
          </w:tcPr>
          <w:p w14:paraId="1399C5C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D44C7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2B47D6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13C4F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01C9AF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16F48F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54F8C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7CE4BE6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E6D9476"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Chesire</w:t>
            </w:r>
            <w:proofErr w:type="spellEnd"/>
            <w:r w:rsidRPr="003037D2">
              <w:rPr>
                <w:rFonts w:ascii="Garamond" w:hAnsi="Garamond"/>
                <w:b w:val="0"/>
                <w:bCs w:val="0"/>
                <w:sz w:val="20"/>
                <w:szCs w:val="20"/>
              </w:rPr>
              <w:t xml:space="preserve">, Thomas </w:t>
            </w:r>
          </w:p>
        </w:tc>
        <w:tc>
          <w:tcPr>
            <w:tcW w:w="1125" w:type="dxa"/>
            <w:noWrap/>
            <w:hideMark/>
          </w:tcPr>
          <w:p w14:paraId="1CE52FE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S.N.</w:t>
            </w:r>
          </w:p>
        </w:tc>
        <w:tc>
          <w:tcPr>
            <w:tcW w:w="918" w:type="dxa"/>
            <w:noWrap/>
            <w:hideMark/>
          </w:tcPr>
          <w:p w14:paraId="1F6B4F2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72C85D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0BA5AD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DF148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C68D6F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St. Paul's </w:t>
            </w:r>
          </w:p>
        </w:tc>
        <w:tc>
          <w:tcPr>
            <w:tcW w:w="1118" w:type="dxa"/>
            <w:noWrap/>
            <w:hideMark/>
          </w:tcPr>
          <w:p w14:paraId="3D0C2F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78C02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13BD47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1F5266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372470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BEAA2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3610A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7FFE8AB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E6A8BC0"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Cobler</w:t>
            </w:r>
            <w:proofErr w:type="spellEnd"/>
            <w:r w:rsidRPr="003037D2">
              <w:rPr>
                <w:rFonts w:ascii="Garamond" w:hAnsi="Garamond"/>
                <w:b w:val="0"/>
                <w:bCs w:val="0"/>
                <w:sz w:val="20"/>
                <w:szCs w:val="20"/>
              </w:rPr>
              <w:t xml:space="preserve"> </w:t>
            </w:r>
          </w:p>
        </w:tc>
        <w:tc>
          <w:tcPr>
            <w:tcW w:w="1125" w:type="dxa"/>
            <w:noWrap/>
            <w:hideMark/>
          </w:tcPr>
          <w:p w14:paraId="0880467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J.H. </w:t>
            </w:r>
          </w:p>
        </w:tc>
        <w:tc>
          <w:tcPr>
            <w:tcW w:w="918" w:type="dxa"/>
            <w:noWrap/>
            <w:hideMark/>
          </w:tcPr>
          <w:p w14:paraId="3C1B93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0901FA2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BE5E2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D27E9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F350C6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61294A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80B64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80F62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14292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320A8F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A4008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59AD5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3F51563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31C4CD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Cole, Nathaniel </w:t>
            </w:r>
          </w:p>
        </w:tc>
        <w:tc>
          <w:tcPr>
            <w:tcW w:w="1125" w:type="dxa"/>
            <w:noWrap/>
            <w:hideMark/>
          </w:tcPr>
          <w:p w14:paraId="4FBBF2E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H. Holland and G. Gibbs</w:t>
            </w:r>
          </w:p>
        </w:tc>
        <w:tc>
          <w:tcPr>
            <w:tcW w:w="918" w:type="dxa"/>
            <w:noWrap/>
            <w:hideMark/>
          </w:tcPr>
          <w:p w14:paraId="786331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106A5A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5B29B7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A69B6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47CC9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7249738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6E2F7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C45D4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2E07C5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1093" w:type="dxa"/>
            <w:noWrap/>
            <w:hideMark/>
          </w:tcPr>
          <w:p w14:paraId="7B1E40F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2AFDA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2148089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E64AD4F"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Conyers, James </w:t>
            </w:r>
          </w:p>
        </w:tc>
        <w:tc>
          <w:tcPr>
            <w:tcW w:w="1125" w:type="dxa"/>
            <w:noWrap/>
            <w:hideMark/>
          </w:tcPr>
          <w:p w14:paraId="67596D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 </w:t>
            </w:r>
            <w:proofErr w:type="spellStart"/>
            <w:r w:rsidRPr="003037D2">
              <w:rPr>
                <w:rFonts w:ascii="Garamond" w:hAnsi="Garamond"/>
                <w:sz w:val="20"/>
                <w:szCs w:val="20"/>
              </w:rPr>
              <w:t>Seile</w:t>
            </w:r>
            <w:proofErr w:type="spellEnd"/>
            <w:r w:rsidRPr="003037D2">
              <w:rPr>
                <w:rFonts w:ascii="Garamond" w:hAnsi="Garamond"/>
                <w:sz w:val="20"/>
                <w:szCs w:val="20"/>
              </w:rPr>
              <w:t xml:space="preserve"> </w:t>
            </w:r>
          </w:p>
        </w:tc>
        <w:tc>
          <w:tcPr>
            <w:tcW w:w="918" w:type="dxa"/>
            <w:noWrap/>
            <w:hideMark/>
          </w:tcPr>
          <w:p w14:paraId="6CD6B4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1635</w:t>
            </w:r>
          </w:p>
        </w:tc>
        <w:tc>
          <w:tcPr>
            <w:tcW w:w="931" w:type="dxa"/>
            <w:noWrap/>
            <w:hideMark/>
          </w:tcPr>
          <w:p w14:paraId="03DD60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ED2D0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88FB7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C8758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0F522DC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EB2F5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282D5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055A5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30B3BB1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A1D30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CE250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155DC35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37E56EE"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Cooke, Richard</w:t>
            </w:r>
          </w:p>
        </w:tc>
        <w:tc>
          <w:tcPr>
            <w:tcW w:w="1125" w:type="dxa"/>
            <w:noWrap/>
            <w:hideMark/>
          </w:tcPr>
          <w:p w14:paraId="00D9CC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Henry Overton </w:t>
            </w:r>
          </w:p>
        </w:tc>
        <w:tc>
          <w:tcPr>
            <w:tcW w:w="918" w:type="dxa"/>
            <w:noWrap/>
            <w:hideMark/>
          </w:tcPr>
          <w:p w14:paraId="3E8C83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1629</w:t>
            </w:r>
          </w:p>
        </w:tc>
        <w:tc>
          <w:tcPr>
            <w:tcW w:w="931" w:type="dxa"/>
            <w:noWrap/>
            <w:hideMark/>
          </w:tcPr>
          <w:p w14:paraId="2FA909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2D4768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BD4CF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E30BCA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4EC22D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A4947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856C8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4462B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309AD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55CB8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125E2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29B75AC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91BF0C4"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Copland, Patrick </w:t>
            </w:r>
          </w:p>
        </w:tc>
        <w:tc>
          <w:tcPr>
            <w:tcW w:w="1125" w:type="dxa"/>
            <w:noWrap/>
            <w:hideMark/>
          </w:tcPr>
          <w:p w14:paraId="4FF07B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William </w:t>
            </w:r>
            <w:proofErr w:type="spellStart"/>
            <w:r w:rsidRPr="003037D2">
              <w:rPr>
                <w:rFonts w:ascii="Garamond" w:hAnsi="Garamond"/>
                <w:sz w:val="20"/>
                <w:szCs w:val="20"/>
              </w:rPr>
              <w:t>Sheffard</w:t>
            </w:r>
            <w:proofErr w:type="spellEnd"/>
            <w:r w:rsidRPr="003037D2">
              <w:rPr>
                <w:rFonts w:ascii="Garamond" w:hAnsi="Garamond"/>
                <w:sz w:val="20"/>
                <w:szCs w:val="20"/>
              </w:rPr>
              <w:t xml:space="preserve"> </w:t>
            </w:r>
          </w:p>
        </w:tc>
        <w:tc>
          <w:tcPr>
            <w:tcW w:w="918" w:type="dxa"/>
            <w:noWrap/>
            <w:hideMark/>
          </w:tcPr>
          <w:p w14:paraId="57B7FD1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487612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4BD524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E0AC3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E030D7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76273F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Virginia Company </w:t>
            </w:r>
          </w:p>
        </w:tc>
        <w:tc>
          <w:tcPr>
            <w:tcW w:w="981" w:type="dxa"/>
            <w:noWrap/>
            <w:hideMark/>
          </w:tcPr>
          <w:p w14:paraId="5ACA6B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28873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67BBC24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291953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BAAB4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EE386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42A7C31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A21C114"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Corbetm</w:t>
            </w:r>
            <w:proofErr w:type="spellEnd"/>
            <w:r w:rsidRPr="003037D2">
              <w:rPr>
                <w:rFonts w:ascii="Garamond" w:hAnsi="Garamond"/>
                <w:b w:val="0"/>
                <w:bCs w:val="0"/>
                <w:sz w:val="20"/>
                <w:szCs w:val="20"/>
              </w:rPr>
              <w:t xml:space="preserve"> Edward </w:t>
            </w:r>
          </w:p>
        </w:tc>
        <w:tc>
          <w:tcPr>
            <w:tcW w:w="1125" w:type="dxa"/>
            <w:noWrap/>
            <w:hideMark/>
          </w:tcPr>
          <w:p w14:paraId="7BF91F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Bostock </w:t>
            </w:r>
          </w:p>
        </w:tc>
        <w:tc>
          <w:tcPr>
            <w:tcW w:w="918" w:type="dxa"/>
            <w:noWrap/>
            <w:hideMark/>
          </w:tcPr>
          <w:p w14:paraId="1F2A94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3F9EB9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72F34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90550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BFC94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House of Commons</w:t>
            </w:r>
          </w:p>
        </w:tc>
        <w:tc>
          <w:tcPr>
            <w:tcW w:w="1118" w:type="dxa"/>
            <w:noWrap/>
            <w:hideMark/>
          </w:tcPr>
          <w:p w14:paraId="03E3F28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ADCF2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95A70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4DA6E86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172F8A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5CEB54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60D98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4D4C8A3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8F384A6"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Couchman, Obadiah </w:t>
            </w:r>
          </w:p>
        </w:tc>
        <w:tc>
          <w:tcPr>
            <w:tcW w:w="1125" w:type="dxa"/>
            <w:noWrap/>
            <w:hideMark/>
          </w:tcPr>
          <w:p w14:paraId="713498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Francis </w:t>
            </w:r>
            <w:proofErr w:type="spellStart"/>
            <w:r w:rsidRPr="003037D2">
              <w:rPr>
                <w:rFonts w:ascii="Garamond" w:hAnsi="Garamond"/>
                <w:sz w:val="20"/>
                <w:szCs w:val="20"/>
              </w:rPr>
              <w:t>Coules</w:t>
            </w:r>
            <w:proofErr w:type="spellEnd"/>
            <w:r w:rsidRPr="003037D2">
              <w:rPr>
                <w:rFonts w:ascii="Garamond" w:hAnsi="Garamond"/>
                <w:sz w:val="20"/>
                <w:szCs w:val="20"/>
              </w:rPr>
              <w:t xml:space="preserve"> </w:t>
            </w:r>
          </w:p>
        </w:tc>
        <w:tc>
          <w:tcPr>
            <w:tcW w:w="918" w:type="dxa"/>
            <w:noWrap/>
            <w:hideMark/>
          </w:tcPr>
          <w:p w14:paraId="09CAD8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45E00E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F9CDF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03AA6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50521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Park </w:t>
            </w:r>
          </w:p>
        </w:tc>
        <w:tc>
          <w:tcPr>
            <w:tcW w:w="1118" w:type="dxa"/>
            <w:noWrap/>
            <w:hideMark/>
          </w:tcPr>
          <w:p w14:paraId="10E304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033FBF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555BD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155197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762848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27F1E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1B73A8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50FEF23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C5F0333"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Crakanthorpe</w:t>
            </w:r>
            <w:proofErr w:type="spellEnd"/>
            <w:r w:rsidRPr="003037D2">
              <w:rPr>
                <w:rFonts w:ascii="Garamond" w:hAnsi="Garamond"/>
                <w:b w:val="0"/>
                <w:bCs w:val="0"/>
                <w:sz w:val="20"/>
                <w:szCs w:val="20"/>
              </w:rPr>
              <w:t xml:space="preserve">, </w:t>
            </w:r>
            <w:proofErr w:type="spellStart"/>
            <w:r w:rsidRPr="003037D2">
              <w:rPr>
                <w:rFonts w:ascii="Garamond" w:hAnsi="Garamond"/>
                <w:b w:val="0"/>
                <w:bCs w:val="0"/>
                <w:sz w:val="20"/>
                <w:szCs w:val="20"/>
              </w:rPr>
              <w:t>Ricahrd</w:t>
            </w:r>
            <w:proofErr w:type="spellEnd"/>
            <w:r w:rsidRPr="003037D2">
              <w:rPr>
                <w:rFonts w:ascii="Garamond" w:hAnsi="Garamond"/>
                <w:b w:val="0"/>
                <w:bCs w:val="0"/>
                <w:sz w:val="20"/>
                <w:szCs w:val="20"/>
              </w:rPr>
              <w:t xml:space="preserve"> </w:t>
            </w:r>
          </w:p>
        </w:tc>
        <w:tc>
          <w:tcPr>
            <w:tcW w:w="1125" w:type="dxa"/>
            <w:noWrap/>
            <w:hideMark/>
          </w:tcPr>
          <w:p w14:paraId="340A7D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Teage</w:t>
            </w:r>
            <w:proofErr w:type="spellEnd"/>
            <w:r w:rsidRPr="003037D2">
              <w:rPr>
                <w:rFonts w:ascii="Garamond" w:hAnsi="Garamond"/>
                <w:sz w:val="20"/>
                <w:szCs w:val="20"/>
              </w:rPr>
              <w:t xml:space="preserve"> </w:t>
            </w:r>
          </w:p>
        </w:tc>
        <w:tc>
          <w:tcPr>
            <w:tcW w:w="918" w:type="dxa"/>
            <w:noWrap/>
            <w:hideMark/>
          </w:tcPr>
          <w:p w14:paraId="117372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14FB08E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D90B52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3822D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41D1D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0BF72C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47558C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4DB49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2BACB9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1C6317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0827B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8D93C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4611B87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F9F3572"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Crakanthorpe</w:t>
            </w:r>
            <w:proofErr w:type="spellEnd"/>
            <w:r w:rsidRPr="003037D2">
              <w:rPr>
                <w:rFonts w:ascii="Garamond" w:hAnsi="Garamond"/>
                <w:b w:val="0"/>
                <w:bCs w:val="0"/>
                <w:sz w:val="20"/>
                <w:szCs w:val="20"/>
              </w:rPr>
              <w:t xml:space="preserve">, </w:t>
            </w:r>
            <w:proofErr w:type="spellStart"/>
            <w:r w:rsidRPr="003037D2">
              <w:rPr>
                <w:rFonts w:ascii="Garamond" w:hAnsi="Garamond"/>
                <w:b w:val="0"/>
                <w:bCs w:val="0"/>
                <w:sz w:val="20"/>
                <w:szCs w:val="20"/>
              </w:rPr>
              <w:t>Ricahrd</w:t>
            </w:r>
            <w:proofErr w:type="spellEnd"/>
            <w:r w:rsidRPr="003037D2">
              <w:rPr>
                <w:rFonts w:ascii="Garamond" w:hAnsi="Garamond"/>
                <w:b w:val="0"/>
                <w:bCs w:val="0"/>
                <w:sz w:val="20"/>
                <w:szCs w:val="20"/>
              </w:rPr>
              <w:t xml:space="preserve"> </w:t>
            </w:r>
          </w:p>
        </w:tc>
        <w:tc>
          <w:tcPr>
            <w:tcW w:w="1125" w:type="dxa"/>
            <w:noWrap/>
            <w:hideMark/>
          </w:tcPr>
          <w:p w14:paraId="79D22D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w:t>
            </w:r>
            <w:proofErr w:type="spellStart"/>
            <w:r w:rsidRPr="003037D2">
              <w:rPr>
                <w:rFonts w:ascii="Garamond" w:hAnsi="Garamond"/>
                <w:sz w:val="20"/>
                <w:szCs w:val="20"/>
              </w:rPr>
              <w:t>Lownes</w:t>
            </w:r>
            <w:proofErr w:type="spellEnd"/>
          </w:p>
        </w:tc>
        <w:tc>
          <w:tcPr>
            <w:tcW w:w="918" w:type="dxa"/>
            <w:noWrap/>
            <w:hideMark/>
          </w:tcPr>
          <w:p w14:paraId="0F36036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262E30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509AE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F69C2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760A0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60FD38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D691A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417BC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4D9747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3F9053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EED48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FFBB3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1F63BCD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0DEA1E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Craven, Isaac</w:t>
            </w:r>
          </w:p>
        </w:tc>
        <w:tc>
          <w:tcPr>
            <w:tcW w:w="1125" w:type="dxa"/>
            <w:noWrap/>
            <w:hideMark/>
          </w:tcPr>
          <w:p w14:paraId="67F5A0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James </w:t>
            </w:r>
            <w:proofErr w:type="spellStart"/>
            <w:r w:rsidRPr="003037D2">
              <w:rPr>
                <w:rFonts w:ascii="Garamond" w:hAnsi="Garamond"/>
                <w:sz w:val="20"/>
                <w:szCs w:val="20"/>
              </w:rPr>
              <w:t>Boler</w:t>
            </w:r>
            <w:proofErr w:type="spellEnd"/>
          </w:p>
        </w:tc>
        <w:tc>
          <w:tcPr>
            <w:tcW w:w="918" w:type="dxa"/>
            <w:noWrap/>
            <w:hideMark/>
          </w:tcPr>
          <w:p w14:paraId="552AF8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1631</w:t>
            </w:r>
          </w:p>
        </w:tc>
        <w:tc>
          <w:tcPr>
            <w:tcW w:w="931" w:type="dxa"/>
            <w:noWrap/>
            <w:hideMark/>
          </w:tcPr>
          <w:p w14:paraId="6C9A17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E8600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5CDC9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2AE70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5914EC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2B2FC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78C12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3A459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6311C9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C7294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2B0B02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B2F0DE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0513031"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Curll</w:t>
            </w:r>
            <w:proofErr w:type="spellEnd"/>
            <w:r w:rsidRPr="003037D2">
              <w:rPr>
                <w:rFonts w:ascii="Garamond" w:hAnsi="Garamond"/>
                <w:b w:val="0"/>
                <w:bCs w:val="0"/>
                <w:sz w:val="20"/>
                <w:szCs w:val="20"/>
              </w:rPr>
              <w:t xml:space="preserve">, Walter </w:t>
            </w:r>
          </w:p>
        </w:tc>
        <w:tc>
          <w:tcPr>
            <w:tcW w:w="1125" w:type="dxa"/>
            <w:noWrap/>
            <w:hideMark/>
          </w:tcPr>
          <w:p w14:paraId="55B2B3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Bill </w:t>
            </w:r>
          </w:p>
        </w:tc>
        <w:tc>
          <w:tcPr>
            <w:tcW w:w="918" w:type="dxa"/>
            <w:noWrap/>
            <w:hideMark/>
          </w:tcPr>
          <w:p w14:paraId="43A4A3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1E113A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5F604A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A1E01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C2D064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Whitehall </w:t>
            </w:r>
          </w:p>
        </w:tc>
        <w:tc>
          <w:tcPr>
            <w:tcW w:w="1118" w:type="dxa"/>
            <w:noWrap/>
            <w:hideMark/>
          </w:tcPr>
          <w:p w14:paraId="3656F6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13AD65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93D21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94820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2F0D0D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2CEE9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6E145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23910A6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734256A"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Cushmann</w:t>
            </w:r>
            <w:proofErr w:type="spellEnd"/>
            <w:r w:rsidRPr="003037D2">
              <w:rPr>
                <w:rFonts w:ascii="Garamond" w:hAnsi="Garamond"/>
                <w:b w:val="0"/>
                <w:bCs w:val="0"/>
                <w:sz w:val="20"/>
                <w:szCs w:val="20"/>
              </w:rPr>
              <w:t xml:space="preserve">, Robert </w:t>
            </w:r>
          </w:p>
        </w:tc>
        <w:tc>
          <w:tcPr>
            <w:tcW w:w="1125" w:type="dxa"/>
            <w:noWrap/>
            <w:hideMark/>
          </w:tcPr>
          <w:p w14:paraId="468C21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Bellamie</w:t>
            </w:r>
            <w:proofErr w:type="spellEnd"/>
          </w:p>
        </w:tc>
        <w:tc>
          <w:tcPr>
            <w:tcW w:w="918" w:type="dxa"/>
            <w:noWrap/>
            <w:hideMark/>
          </w:tcPr>
          <w:p w14:paraId="08F135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2896EBE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40E576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E000E6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2336441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 - America</w:t>
            </w:r>
          </w:p>
        </w:tc>
        <w:tc>
          <w:tcPr>
            <w:tcW w:w="1118" w:type="dxa"/>
            <w:noWrap/>
            <w:hideMark/>
          </w:tcPr>
          <w:p w14:paraId="73DEED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A514FC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C6E733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2446CA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ACE33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3919D9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4581E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10BA6FD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E491BF7"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Davenant, John </w:t>
            </w:r>
          </w:p>
        </w:tc>
        <w:tc>
          <w:tcPr>
            <w:tcW w:w="1125" w:type="dxa"/>
            <w:noWrap/>
            <w:hideMark/>
          </w:tcPr>
          <w:p w14:paraId="25C2809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Richard Badger</w:t>
            </w:r>
          </w:p>
        </w:tc>
        <w:tc>
          <w:tcPr>
            <w:tcW w:w="918" w:type="dxa"/>
            <w:noWrap/>
            <w:hideMark/>
          </w:tcPr>
          <w:p w14:paraId="31CBDA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1628</w:t>
            </w:r>
          </w:p>
        </w:tc>
        <w:tc>
          <w:tcPr>
            <w:tcW w:w="931" w:type="dxa"/>
            <w:noWrap/>
            <w:hideMark/>
          </w:tcPr>
          <w:p w14:paraId="748F07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E26C3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0241A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41465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Westminster </w:t>
            </w:r>
          </w:p>
        </w:tc>
        <w:tc>
          <w:tcPr>
            <w:tcW w:w="1118" w:type="dxa"/>
            <w:noWrap/>
            <w:hideMark/>
          </w:tcPr>
          <w:p w14:paraId="3D9851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78431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574684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1DD1AF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105252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Event - fast</w:t>
            </w:r>
          </w:p>
        </w:tc>
        <w:tc>
          <w:tcPr>
            <w:tcW w:w="1093" w:type="dxa"/>
            <w:noWrap/>
            <w:hideMark/>
          </w:tcPr>
          <w:p w14:paraId="412AF22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79817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46B879C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B60BA68"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Davenant, John </w:t>
            </w:r>
          </w:p>
        </w:tc>
        <w:tc>
          <w:tcPr>
            <w:tcW w:w="1125" w:type="dxa"/>
            <w:noWrap/>
            <w:hideMark/>
          </w:tcPr>
          <w:p w14:paraId="28DC0F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Nicholas Bourne </w:t>
            </w:r>
          </w:p>
        </w:tc>
        <w:tc>
          <w:tcPr>
            <w:tcW w:w="918" w:type="dxa"/>
            <w:noWrap/>
            <w:hideMark/>
          </w:tcPr>
          <w:p w14:paraId="1D5C09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1629</w:t>
            </w:r>
          </w:p>
        </w:tc>
        <w:tc>
          <w:tcPr>
            <w:tcW w:w="931" w:type="dxa"/>
            <w:noWrap/>
            <w:hideMark/>
          </w:tcPr>
          <w:p w14:paraId="6EEE36D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43BA52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5DF94A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F9B04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38FD28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2FAB4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6FD3C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BFA59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E360A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A3904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87EE23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4E1BED0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E255496"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Davis </w:t>
            </w:r>
          </w:p>
        </w:tc>
        <w:tc>
          <w:tcPr>
            <w:tcW w:w="1125" w:type="dxa"/>
            <w:noWrap/>
            <w:hideMark/>
          </w:tcPr>
          <w:p w14:paraId="692AD14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W.R.</w:t>
            </w:r>
          </w:p>
        </w:tc>
        <w:tc>
          <w:tcPr>
            <w:tcW w:w="918" w:type="dxa"/>
            <w:noWrap/>
            <w:hideMark/>
          </w:tcPr>
          <w:p w14:paraId="2AABD2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1CBF46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10F6A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76A0A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A1E16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Tower of London </w:t>
            </w:r>
          </w:p>
        </w:tc>
        <w:tc>
          <w:tcPr>
            <w:tcW w:w="1118" w:type="dxa"/>
            <w:noWrap/>
            <w:hideMark/>
          </w:tcPr>
          <w:p w14:paraId="2F5489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93DF2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887E2F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01B81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A33206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66EBD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17705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76C29AE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05FF47E"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Denison, John </w:t>
            </w:r>
          </w:p>
        </w:tc>
        <w:tc>
          <w:tcPr>
            <w:tcW w:w="1125" w:type="dxa"/>
            <w:noWrap/>
            <w:hideMark/>
          </w:tcPr>
          <w:p w14:paraId="1C333C6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Budge </w:t>
            </w:r>
          </w:p>
        </w:tc>
        <w:tc>
          <w:tcPr>
            <w:tcW w:w="918" w:type="dxa"/>
            <w:noWrap/>
            <w:hideMark/>
          </w:tcPr>
          <w:p w14:paraId="74A0D8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599E1F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035" w:type="dxa"/>
            <w:noWrap/>
            <w:hideMark/>
          </w:tcPr>
          <w:p w14:paraId="222C82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09501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F6059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7E4B762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981" w:type="dxa"/>
            <w:noWrap/>
            <w:hideMark/>
          </w:tcPr>
          <w:p w14:paraId="3001D5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173BC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600674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72C037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310E6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A77F3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12680EA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2BE596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Denison, John </w:t>
            </w:r>
          </w:p>
        </w:tc>
        <w:tc>
          <w:tcPr>
            <w:tcW w:w="1125" w:type="dxa"/>
            <w:noWrap/>
            <w:hideMark/>
          </w:tcPr>
          <w:p w14:paraId="7B77ABA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Budge </w:t>
            </w:r>
          </w:p>
        </w:tc>
        <w:tc>
          <w:tcPr>
            <w:tcW w:w="918" w:type="dxa"/>
            <w:noWrap/>
            <w:hideMark/>
          </w:tcPr>
          <w:p w14:paraId="39007E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62FE2E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4C5372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855FB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5A8AD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Whitehall </w:t>
            </w:r>
          </w:p>
        </w:tc>
        <w:tc>
          <w:tcPr>
            <w:tcW w:w="1118" w:type="dxa"/>
            <w:noWrap/>
            <w:hideMark/>
          </w:tcPr>
          <w:p w14:paraId="4303A8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E6651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65D66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8347F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510FEF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B72D9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00D89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3C06D64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D074E8C"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Denison, Stephen </w:t>
            </w:r>
          </w:p>
        </w:tc>
        <w:tc>
          <w:tcPr>
            <w:tcW w:w="1125" w:type="dxa"/>
            <w:noWrap/>
            <w:hideMark/>
          </w:tcPr>
          <w:p w14:paraId="5C5D32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w:t>
            </w:r>
            <w:proofErr w:type="spellStart"/>
            <w:r w:rsidRPr="003037D2">
              <w:rPr>
                <w:rFonts w:ascii="Garamond" w:hAnsi="Garamond"/>
                <w:sz w:val="20"/>
                <w:szCs w:val="20"/>
              </w:rPr>
              <w:t>Milbourne</w:t>
            </w:r>
            <w:proofErr w:type="spellEnd"/>
          </w:p>
        </w:tc>
        <w:tc>
          <w:tcPr>
            <w:tcW w:w="918" w:type="dxa"/>
            <w:noWrap/>
            <w:hideMark/>
          </w:tcPr>
          <w:p w14:paraId="7E7818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604FBA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DAE5F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5919A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4DD91A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1CD944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62BE3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CCE48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40AFC1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319628B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68A5CF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2F75E17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D569C8F"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Denison, Stephen </w:t>
            </w:r>
          </w:p>
        </w:tc>
        <w:tc>
          <w:tcPr>
            <w:tcW w:w="1125" w:type="dxa"/>
            <w:noWrap/>
            <w:hideMark/>
          </w:tcPr>
          <w:p w14:paraId="2EC0FA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spellStart"/>
            <w:r w:rsidRPr="003037D2">
              <w:rPr>
                <w:rFonts w:ascii="Garamond" w:hAnsi="Garamond"/>
                <w:sz w:val="20"/>
                <w:szCs w:val="20"/>
              </w:rPr>
              <w:t>Bejamin</w:t>
            </w:r>
            <w:proofErr w:type="spellEnd"/>
            <w:r w:rsidRPr="003037D2">
              <w:rPr>
                <w:rFonts w:ascii="Garamond" w:hAnsi="Garamond"/>
                <w:sz w:val="20"/>
                <w:szCs w:val="20"/>
              </w:rPr>
              <w:t xml:space="preserve"> Allen </w:t>
            </w:r>
          </w:p>
        </w:tc>
        <w:tc>
          <w:tcPr>
            <w:tcW w:w="918" w:type="dxa"/>
            <w:noWrap/>
            <w:hideMark/>
          </w:tcPr>
          <w:p w14:paraId="3C46D3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1631</w:t>
            </w:r>
          </w:p>
        </w:tc>
        <w:tc>
          <w:tcPr>
            <w:tcW w:w="931" w:type="dxa"/>
            <w:noWrap/>
            <w:hideMark/>
          </w:tcPr>
          <w:p w14:paraId="0423B7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93689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C4497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E80CA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4DE646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63BE08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22204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3E0B9C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5E75DF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6AFAB8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6BF559E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8575D3C"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Denison, Stephen </w:t>
            </w:r>
          </w:p>
        </w:tc>
        <w:tc>
          <w:tcPr>
            <w:tcW w:w="1125" w:type="dxa"/>
            <w:noWrap/>
            <w:hideMark/>
          </w:tcPr>
          <w:p w14:paraId="2AA099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Richard Field </w:t>
            </w:r>
          </w:p>
        </w:tc>
        <w:tc>
          <w:tcPr>
            <w:tcW w:w="918" w:type="dxa"/>
            <w:noWrap/>
            <w:hideMark/>
          </w:tcPr>
          <w:p w14:paraId="6E39CA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3A205F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070834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0D239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C056B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76EE7A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5DEDE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20B29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1393D2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4BED06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5F2D67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704027E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E85DE1C"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Denison, Stephen </w:t>
            </w:r>
          </w:p>
        </w:tc>
        <w:tc>
          <w:tcPr>
            <w:tcW w:w="1125" w:type="dxa"/>
            <w:noWrap/>
            <w:hideMark/>
          </w:tcPr>
          <w:p w14:paraId="30A6BC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Richard Field </w:t>
            </w:r>
          </w:p>
        </w:tc>
        <w:tc>
          <w:tcPr>
            <w:tcW w:w="918" w:type="dxa"/>
            <w:noWrap/>
            <w:hideMark/>
          </w:tcPr>
          <w:p w14:paraId="078EDD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0EC7C95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184A9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95D425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9C681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1F51EF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56551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B0528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FF349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434C1EA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5A404F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5DE9B5B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846C63E"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Denison, Stephen </w:t>
            </w:r>
          </w:p>
        </w:tc>
        <w:tc>
          <w:tcPr>
            <w:tcW w:w="1125" w:type="dxa"/>
            <w:noWrap/>
            <w:hideMark/>
          </w:tcPr>
          <w:p w14:paraId="7E301A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w:t>
            </w:r>
            <w:proofErr w:type="spellStart"/>
            <w:r w:rsidRPr="003037D2">
              <w:rPr>
                <w:rFonts w:ascii="Garamond" w:hAnsi="Garamond"/>
                <w:sz w:val="20"/>
                <w:szCs w:val="20"/>
              </w:rPr>
              <w:t>Milbourne</w:t>
            </w:r>
            <w:proofErr w:type="spellEnd"/>
            <w:r w:rsidRPr="003037D2">
              <w:rPr>
                <w:rFonts w:ascii="Garamond" w:hAnsi="Garamond"/>
                <w:sz w:val="20"/>
                <w:szCs w:val="20"/>
              </w:rPr>
              <w:t xml:space="preserve"> </w:t>
            </w:r>
          </w:p>
        </w:tc>
        <w:tc>
          <w:tcPr>
            <w:tcW w:w="918" w:type="dxa"/>
            <w:noWrap/>
            <w:hideMark/>
          </w:tcPr>
          <w:p w14:paraId="167F3CF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1627</w:t>
            </w:r>
          </w:p>
        </w:tc>
        <w:tc>
          <w:tcPr>
            <w:tcW w:w="931" w:type="dxa"/>
            <w:noWrap/>
            <w:hideMark/>
          </w:tcPr>
          <w:p w14:paraId="2A52F4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4B8615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201C4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48E527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1A1723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4B48F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DE7D2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618653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7931D6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Term </w:t>
            </w:r>
          </w:p>
        </w:tc>
        <w:tc>
          <w:tcPr>
            <w:tcW w:w="1093" w:type="dxa"/>
            <w:noWrap/>
            <w:hideMark/>
          </w:tcPr>
          <w:p w14:paraId="07F5BE4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99180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646D871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9EDA677"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Denne, Henry </w:t>
            </w:r>
          </w:p>
        </w:tc>
        <w:tc>
          <w:tcPr>
            <w:tcW w:w="1125" w:type="dxa"/>
            <w:noWrap/>
            <w:hideMark/>
          </w:tcPr>
          <w:p w14:paraId="5D1813C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Badger </w:t>
            </w:r>
          </w:p>
        </w:tc>
        <w:tc>
          <w:tcPr>
            <w:tcW w:w="918" w:type="dxa"/>
            <w:noWrap/>
            <w:hideMark/>
          </w:tcPr>
          <w:p w14:paraId="7FBB66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5345DE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A842A6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B5B113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FAFA7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40B2CD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69109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52763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317549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6115AD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visitation </w:t>
            </w:r>
          </w:p>
        </w:tc>
        <w:tc>
          <w:tcPr>
            <w:tcW w:w="963" w:type="dxa"/>
            <w:noWrap/>
            <w:hideMark/>
          </w:tcPr>
          <w:p w14:paraId="17B3B6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1155302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8E3A25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Dent, Arthur</w:t>
            </w:r>
          </w:p>
        </w:tc>
        <w:tc>
          <w:tcPr>
            <w:tcW w:w="1125" w:type="dxa"/>
            <w:noWrap/>
            <w:hideMark/>
          </w:tcPr>
          <w:p w14:paraId="2FD6E3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William </w:t>
            </w:r>
            <w:proofErr w:type="spellStart"/>
            <w:r w:rsidRPr="003037D2">
              <w:rPr>
                <w:rFonts w:ascii="Garamond" w:hAnsi="Garamond"/>
                <w:sz w:val="20"/>
                <w:szCs w:val="20"/>
              </w:rPr>
              <w:t>Sheffard</w:t>
            </w:r>
            <w:proofErr w:type="spellEnd"/>
            <w:r w:rsidRPr="003037D2">
              <w:rPr>
                <w:rFonts w:ascii="Garamond" w:hAnsi="Garamond"/>
                <w:sz w:val="20"/>
                <w:szCs w:val="20"/>
              </w:rPr>
              <w:t xml:space="preserve"> </w:t>
            </w:r>
          </w:p>
        </w:tc>
        <w:tc>
          <w:tcPr>
            <w:tcW w:w="918" w:type="dxa"/>
            <w:noWrap/>
            <w:hideMark/>
          </w:tcPr>
          <w:p w14:paraId="61D069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1627</w:t>
            </w:r>
          </w:p>
        </w:tc>
        <w:tc>
          <w:tcPr>
            <w:tcW w:w="931" w:type="dxa"/>
            <w:noWrap/>
            <w:hideMark/>
          </w:tcPr>
          <w:p w14:paraId="135BB6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4065BF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A7A7E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84637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68C326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19ADEE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D6674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6E8E37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60F4B7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737DB2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4DEC5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2DB6BA3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C24A34F"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Dent, Arthur</w:t>
            </w:r>
          </w:p>
        </w:tc>
        <w:tc>
          <w:tcPr>
            <w:tcW w:w="1125" w:type="dxa"/>
            <w:noWrap/>
            <w:hideMark/>
          </w:tcPr>
          <w:p w14:paraId="7499B3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Michael Sparke </w:t>
            </w:r>
          </w:p>
        </w:tc>
        <w:tc>
          <w:tcPr>
            <w:tcW w:w="918" w:type="dxa"/>
            <w:noWrap/>
            <w:hideMark/>
          </w:tcPr>
          <w:p w14:paraId="477845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1630</w:t>
            </w:r>
          </w:p>
        </w:tc>
        <w:tc>
          <w:tcPr>
            <w:tcW w:w="931" w:type="dxa"/>
            <w:noWrap/>
            <w:hideMark/>
          </w:tcPr>
          <w:p w14:paraId="6C08AE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42B03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122CA0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EAC156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3ABDDB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08C11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892A6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6D1515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5CF72C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16181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4A1C9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6842757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613C4F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Dent, Arthur</w:t>
            </w:r>
          </w:p>
        </w:tc>
        <w:tc>
          <w:tcPr>
            <w:tcW w:w="1125" w:type="dxa"/>
            <w:noWrap/>
            <w:hideMark/>
          </w:tcPr>
          <w:p w14:paraId="4F7866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Roger Jackson </w:t>
            </w:r>
          </w:p>
        </w:tc>
        <w:tc>
          <w:tcPr>
            <w:tcW w:w="918" w:type="dxa"/>
            <w:noWrap/>
            <w:hideMark/>
          </w:tcPr>
          <w:p w14:paraId="58F70D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1621</w:t>
            </w:r>
          </w:p>
        </w:tc>
        <w:tc>
          <w:tcPr>
            <w:tcW w:w="931" w:type="dxa"/>
            <w:noWrap/>
            <w:hideMark/>
          </w:tcPr>
          <w:p w14:paraId="18D08A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36FA8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DA30B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30AC5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3F458E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A66F7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B3158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7F282A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42E6F6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19184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6835AE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04D1A6E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8A1C04E"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Dent, Arthur</w:t>
            </w:r>
          </w:p>
        </w:tc>
        <w:tc>
          <w:tcPr>
            <w:tcW w:w="1125" w:type="dxa"/>
            <w:noWrap/>
            <w:hideMark/>
          </w:tcPr>
          <w:p w14:paraId="505B5B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Francis Williams </w:t>
            </w:r>
          </w:p>
        </w:tc>
        <w:tc>
          <w:tcPr>
            <w:tcW w:w="918" w:type="dxa"/>
            <w:noWrap/>
            <w:hideMark/>
          </w:tcPr>
          <w:p w14:paraId="5BC8D4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428E52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8F744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113C8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F0243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34DDFA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2CCE84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9F8E06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6BC601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263262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5F705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08AB86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60BDC55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9FDCBEE"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Dent, Arthur</w:t>
            </w:r>
          </w:p>
        </w:tc>
        <w:tc>
          <w:tcPr>
            <w:tcW w:w="1125" w:type="dxa"/>
            <w:noWrap/>
            <w:hideMark/>
          </w:tcPr>
          <w:p w14:paraId="188550A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 </w:t>
            </w:r>
            <w:proofErr w:type="spellStart"/>
            <w:r w:rsidRPr="003037D2">
              <w:rPr>
                <w:rFonts w:ascii="Garamond" w:hAnsi="Garamond"/>
                <w:sz w:val="20"/>
                <w:szCs w:val="20"/>
              </w:rPr>
              <w:t>Harison</w:t>
            </w:r>
            <w:proofErr w:type="spellEnd"/>
          </w:p>
        </w:tc>
        <w:tc>
          <w:tcPr>
            <w:tcW w:w="918" w:type="dxa"/>
            <w:noWrap/>
            <w:hideMark/>
          </w:tcPr>
          <w:p w14:paraId="4D735B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5D91BDB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3B28E2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A764B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7392C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075A09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41E72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F0F84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5165FB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5075AB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D53D7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490C4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4EFD49E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B498C26"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Dent, Arthur</w:t>
            </w:r>
          </w:p>
        </w:tc>
        <w:tc>
          <w:tcPr>
            <w:tcW w:w="1125" w:type="dxa"/>
            <w:noWrap/>
            <w:hideMark/>
          </w:tcPr>
          <w:p w14:paraId="7F9288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 </w:t>
            </w:r>
            <w:proofErr w:type="spellStart"/>
            <w:r w:rsidRPr="003037D2">
              <w:rPr>
                <w:rFonts w:ascii="Garamond" w:hAnsi="Garamond"/>
                <w:sz w:val="20"/>
                <w:szCs w:val="20"/>
              </w:rPr>
              <w:t>Harison</w:t>
            </w:r>
            <w:proofErr w:type="spellEnd"/>
          </w:p>
        </w:tc>
        <w:tc>
          <w:tcPr>
            <w:tcW w:w="918" w:type="dxa"/>
            <w:noWrap/>
            <w:hideMark/>
          </w:tcPr>
          <w:p w14:paraId="33843E4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1630</w:t>
            </w:r>
          </w:p>
        </w:tc>
        <w:tc>
          <w:tcPr>
            <w:tcW w:w="931" w:type="dxa"/>
            <w:noWrap/>
            <w:hideMark/>
          </w:tcPr>
          <w:p w14:paraId="7356F6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A430B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92FD6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B45EF4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34F968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F34BE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58BA6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598D40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1ADF35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01EBA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5F339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2EC991E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60A4398"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Dent, Arthur</w:t>
            </w:r>
          </w:p>
        </w:tc>
        <w:tc>
          <w:tcPr>
            <w:tcW w:w="1125" w:type="dxa"/>
            <w:noWrap/>
            <w:hideMark/>
          </w:tcPr>
          <w:p w14:paraId="32CFFC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 </w:t>
            </w:r>
            <w:proofErr w:type="spellStart"/>
            <w:r w:rsidRPr="003037D2">
              <w:rPr>
                <w:rFonts w:ascii="Garamond" w:hAnsi="Garamond"/>
                <w:sz w:val="20"/>
                <w:szCs w:val="20"/>
              </w:rPr>
              <w:t>Harison</w:t>
            </w:r>
            <w:proofErr w:type="spellEnd"/>
          </w:p>
        </w:tc>
        <w:tc>
          <w:tcPr>
            <w:tcW w:w="918" w:type="dxa"/>
            <w:noWrap/>
            <w:hideMark/>
          </w:tcPr>
          <w:p w14:paraId="700482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1636</w:t>
            </w:r>
          </w:p>
        </w:tc>
        <w:tc>
          <w:tcPr>
            <w:tcW w:w="931" w:type="dxa"/>
            <w:noWrap/>
            <w:hideMark/>
          </w:tcPr>
          <w:p w14:paraId="78064F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53266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99E32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4FD2C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5FA444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BD8F3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D025E5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2EE974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4D23CD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18868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92B57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6DE296C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5EF768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Dent, Arthur</w:t>
            </w:r>
          </w:p>
        </w:tc>
        <w:tc>
          <w:tcPr>
            <w:tcW w:w="1125" w:type="dxa"/>
            <w:noWrap/>
            <w:hideMark/>
          </w:tcPr>
          <w:p w14:paraId="4EA20B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Roger Jackson </w:t>
            </w:r>
          </w:p>
        </w:tc>
        <w:tc>
          <w:tcPr>
            <w:tcW w:w="918" w:type="dxa"/>
            <w:noWrap/>
            <w:hideMark/>
          </w:tcPr>
          <w:p w14:paraId="398EE9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3AB0509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91136A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46A97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84427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79B4026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9CDE7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B44E2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5CA795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242C8A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BC2E8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F6983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70014D6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8BE348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Dent, Arthur</w:t>
            </w:r>
          </w:p>
        </w:tc>
        <w:tc>
          <w:tcPr>
            <w:tcW w:w="1125" w:type="dxa"/>
            <w:noWrap/>
            <w:hideMark/>
          </w:tcPr>
          <w:p w14:paraId="23F194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Michael Sparke </w:t>
            </w:r>
          </w:p>
        </w:tc>
        <w:tc>
          <w:tcPr>
            <w:tcW w:w="918" w:type="dxa"/>
            <w:noWrap/>
            <w:hideMark/>
          </w:tcPr>
          <w:p w14:paraId="05C8B5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1631</w:t>
            </w:r>
          </w:p>
        </w:tc>
        <w:tc>
          <w:tcPr>
            <w:tcW w:w="931" w:type="dxa"/>
            <w:noWrap/>
            <w:hideMark/>
          </w:tcPr>
          <w:p w14:paraId="7FF50F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775FF7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7970E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91B4DF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678B5A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80B2DB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FE6BD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220550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40E6AE7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CC07E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FD3EB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1CDE0F3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D04456E"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Dent, Arthur</w:t>
            </w:r>
          </w:p>
        </w:tc>
        <w:tc>
          <w:tcPr>
            <w:tcW w:w="1125" w:type="dxa"/>
            <w:noWrap/>
            <w:hideMark/>
          </w:tcPr>
          <w:p w14:paraId="27E890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 </w:t>
            </w:r>
            <w:proofErr w:type="spellStart"/>
            <w:r w:rsidRPr="003037D2">
              <w:rPr>
                <w:rFonts w:ascii="Garamond" w:hAnsi="Garamond"/>
                <w:sz w:val="20"/>
                <w:szCs w:val="20"/>
              </w:rPr>
              <w:t>Harison</w:t>
            </w:r>
            <w:proofErr w:type="spellEnd"/>
          </w:p>
        </w:tc>
        <w:tc>
          <w:tcPr>
            <w:tcW w:w="918" w:type="dxa"/>
            <w:noWrap/>
            <w:hideMark/>
          </w:tcPr>
          <w:p w14:paraId="1FFAD0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1638</w:t>
            </w:r>
          </w:p>
        </w:tc>
        <w:tc>
          <w:tcPr>
            <w:tcW w:w="931" w:type="dxa"/>
            <w:noWrap/>
            <w:hideMark/>
          </w:tcPr>
          <w:p w14:paraId="741677E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D0300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72CC8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C14B4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314AA4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7A680D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9A8FF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13547F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2BB7E7F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94AB8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28D96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3D92F23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DFB3A74"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Dent, Daniel </w:t>
            </w:r>
          </w:p>
        </w:tc>
        <w:tc>
          <w:tcPr>
            <w:tcW w:w="1125" w:type="dxa"/>
            <w:noWrap/>
            <w:hideMark/>
          </w:tcPr>
          <w:p w14:paraId="79FE3C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Printers to the </w:t>
            </w:r>
            <w:proofErr w:type="spellStart"/>
            <w:r w:rsidRPr="003037D2">
              <w:rPr>
                <w:rFonts w:ascii="Garamond" w:hAnsi="Garamond"/>
                <w:sz w:val="20"/>
                <w:szCs w:val="20"/>
              </w:rPr>
              <w:t>Universitie</w:t>
            </w:r>
            <w:proofErr w:type="spellEnd"/>
            <w:r w:rsidRPr="003037D2">
              <w:rPr>
                <w:rFonts w:ascii="Garamond" w:hAnsi="Garamond"/>
                <w:sz w:val="20"/>
                <w:szCs w:val="20"/>
              </w:rPr>
              <w:t xml:space="preserve"> of Cambridge</w:t>
            </w:r>
          </w:p>
        </w:tc>
        <w:tc>
          <w:tcPr>
            <w:tcW w:w="918" w:type="dxa"/>
            <w:noWrap/>
            <w:hideMark/>
          </w:tcPr>
          <w:p w14:paraId="297025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1628</w:t>
            </w:r>
          </w:p>
        </w:tc>
        <w:tc>
          <w:tcPr>
            <w:tcW w:w="931" w:type="dxa"/>
            <w:noWrap/>
            <w:hideMark/>
          </w:tcPr>
          <w:p w14:paraId="4E5A5D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7BB0FA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F97B8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A7AF1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297F69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80405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D5017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34B30B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53D312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36C78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356A2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6256FE6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962CB4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Donne, Daniel </w:t>
            </w:r>
          </w:p>
        </w:tc>
        <w:tc>
          <w:tcPr>
            <w:tcW w:w="1125" w:type="dxa"/>
            <w:noWrap/>
            <w:hideMark/>
          </w:tcPr>
          <w:p w14:paraId="6E1D051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Grismand</w:t>
            </w:r>
            <w:proofErr w:type="spellEnd"/>
          </w:p>
        </w:tc>
        <w:tc>
          <w:tcPr>
            <w:tcW w:w="918" w:type="dxa"/>
            <w:noWrap/>
            <w:hideMark/>
          </w:tcPr>
          <w:p w14:paraId="6A59E4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159A41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59C2B4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D8F026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25CB5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09AC38F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F12DF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2182E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4B3F06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361B33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C94C0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19C402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13CD180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E6A7928"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Donne, John </w:t>
            </w:r>
          </w:p>
        </w:tc>
        <w:tc>
          <w:tcPr>
            <w:tcW w:w="1125" w:type="dxa"/>
            <w:noWrap/>
            <w:hideMark/>
          </w:tcPr>
          <w:p w14:paraId="15B6BA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Richard </w:t>
            </w:r>
            <w:proofErr w:type="spellStart"/>
            <w:r w:rsidRPr="003037D2">
              <w:rPr>
                <w:rFonts w:ascii="Garamond" w:hAnsi="Garamond"/>
                <w:sz w:val="20"/>
                <w:szCs w:val="20"/>
              </w:rPr>
              <w:t>Redmer</w:t>
            </w:r>
            <w:proofErr w:type="spellEnd"/>
            <w:r w:rsidRPr="003037D2">
              <w:rPr>
                <w:rFonts w:ascii="Garamond" w:hAnsi="Garamond"/>
                <w:sz w:val="20"/>
                <w:szCs w:val="20"/>
              </w:rPr>
              <w:t xml:space="preserve"> and </w:t>
            </w:r>
            <w:proofErr w:type="spellStart"/>
            <w:r w:rsidRPr="003037D2">
              <w:rPr>
                <w:rFonts w:ascii="Garamond" w:hAnsi="Garamond"/>
                <w:sz w:val="20"/>
                <w:szCs w:val="20"/>
              </w:rPr>
              <w:t>Bejamin</w:t>
            </w:r>
            <w:proofErr w:type="spellEnd"/>
            <w:r w:rsidRPr="003037D2">
              <w:rPr>
                <w:rFonts w:ascii="Garamond" w:hAnsi="Garamond"/>
                <w:sz w:val="20"/>
                <w:szCs w:val="20"/>
              </w:rPr>
              <w:t xml:space="preserve"> Fisher</w:t>
            </w:r>
          </w:p>
        </w:tc>
        <w:tc>
          <w:tcPr>
            <w:tcW w:w="918" w:type="dxa"/>
            <w:noWrap/>
            <w:hideMark/>
          </w:tcPr>
          <w:p w14:paraId="1E1488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1632</w:t>
            </w:r>
          </w:p>
        </w:tc>
        <w:tc>
          <w:tcPr>
            <w:tcW w:w="931" w:type="dxa"/>
            <w:noWrap/>
            <w:hideMark/>
          </w:tcPr>
          <w:p w14:paraId="14B875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37A92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05CAB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E1F34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Whitehall </w:t>
            </w:r>
          </w:p>
        </w:tc>
        <w:tc>
          <w:tcPr>
            <w:tcW w:w="1118" w:type="dxa"/>
            <w:noWrap/>
            <w:hideMark/>
          </w:tcPr>
          <w:p w14:paraId="1E39DF2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D3217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5C82E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1BB556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lent </w:t>
            </w:r>
          </w:p>
        </w:tc>
        <w:tc>
          <w:tcPr>
            <w:tcW w:w="1093" w:type="dxa"/>
            <w:noWrap/>
            <w:hideMark/>
          </w:tcPr>
          <w:p w14:paraId="16D10B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CABBF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51135BD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E1FE1A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Donne, John </w:t>
            </w:r>
          </w:p>
        </w:tc>
        <w:tc>
          <w:tcPr>
            <w:tcW w:w="1125" w:type="dxa"/>
            <w:noWrap/>
            <w:hideMark/>
          </w:tcPr>
          <w:p w14:paraId="6821332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Benjamin Fisher</w:t>
            </w:r>
          </w:p>
        </w:tc>
        <w:tc>
          <w:tcPr>
            <w:tcW w:w="918" w:type="dxa"/>
            <w:noWrap/>
            <w:hideMark/>
          </w:tcPr>
          <w:p w14:paraId="5CB3B3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1633</w:t>
            </w:r>
          </w:p>
        </w:tc>
        <w:tc>
          <w:tcPr>
            <w:tcW w:w="931" w:type="dxa"/>
            <w:noWrap/>
            <w:hideMark/>
          </w:tcPr>
          <w:p w14:paraId="74FF39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E5184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8443F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D500A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Whitehall </w:t>
            </w:r>
          </w:p>
        </w:tc>
        <w:tc>
          <w:tcPr>
            <w:tcW w:w="1118" w:type="dxa"/>
            <w:noWrap/>
            <w:hideMark/>
          </w:tcPr>
          <w:p w14:paraId="52AE482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312E09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63F45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444798D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lent </w:t>
            </w:r>
          </w:p>
        </w:tc>
        <w:tc>
          <w:tcPr>
            <w:tcW w:w="1093" w:type="dxa"/>
            <w:noWrap/>
            <w:hideMark/>
          </w:tcPr>
          <w:p w14:paraId="09BEB67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46B3D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55ED44A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EB83C9F"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Donne, John </w:t>
            </w:r>
          </w:p>
        </w:tc>
        <w:tc>
          <w:tcPr>
            <w:tcW w:w="1125" w:type="dxa"/>
            <w:noWrap/>
            <w:hideMark/>
          </w:tcPr>
          <w:p w14:paraId="2CFA8B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Thomas Jones</w:t>
            </w:r>
          </w:p>
        </w:tc>
        <w:tc>
          <w:tcPr>
            <w:tcW w:w="918" w:type="dxa"/>
            <w:noWrap/>
            <w:hideMark/>
          </w:tcPr>
          <w:p w14:paraId="22D81A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578E100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008AD4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7ECA8D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D15A8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Lincoln's Inn </w:t>
            </w:r>
          </w:p>
        </w:tc>
        <w:tc>
          <w:tcPr>
            <w:tcW w:w="1118" w:type="dxa"/>
            <w:noWrap/>
            <w:hideMark/>
          </w:tcPr>
          <w:p w14:paraId="42F3FBC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50E53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1AC62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D58DA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w:t>
            </w:r>
            <w:proofErr w:type="spellStart"/>
            <w:r w:rsidRPr="003037D2">
              <w:rPr>
                <w:rFonts w:ascii="Garamond" w:hAnsi="Garamond"/>
                <w:sz w:val="20"/>
                <w:szCs w:val="20"/>
              </w:rPr>
              <w:t>Acension</w:t>
            </w:r>
            <w:proofErr w:type="spellEnd"/>
            <w:r w:rsidRPr="003037D2">
              <w:rPr>
                <w:rFonts w:ascii="Garamond" w:hAnsi="Garamond"/>
                <w:sz w:val="20"/>
                <w:szCs w:val="20"/>
              </w:rPr>
              <w:t xml:space="preserve"> day </w:t>
            </w:r>
          </w:p>
        </w:tc>
        <w:tc>
          <w:tcPr>
            <w:tcW w:w="2058" w:type="dxa"/>
            <w:gridSpan w:val="2"/>
            <w:noWrap/>
            <w:hideMark/>
          </w:tcPr>
          <w:p w14:paraId="14B9A4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Consecration of chapel </w:t>
            </w:r>
          </w:p>
        </w:tc>
        <w:tc>
          <w:tcPr>
            <w:tcW w:w="963" w:type="dxa"/>
            <w:noWrap/>
            <w:hideMark/>
          </w:tcPr>
          <w:p w14:paraId="30EED8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5E1588D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A6EF75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Donne, John </w:t>
            </w:r>
          </w:p>
        </w:tc>
        <w:tc>
          <w:tcPr>
            <w:tcW w:w="1125" w:type="dxa"/>
            <w:noWrap/>
            <w:hideMark/>
          </w:tcPr>
          <w:p w14:paraId="5E1260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Thomas Jones</w:t>
            </w:r>
          </w:p>
        </w:tc>
        <w:tc>
          <w:tcPr>
            <w:tcW w:w="918" w:type="dxa"/>
            <w:noWrap/>
            <w:hideMark/>
          </w:tcPr>
          <w:p w14:paraId="020252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2E1D68B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3947D6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403AE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C4FDD2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4EE54D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DE7C4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F7070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7A7D17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6C1AA4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5177C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102A8E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0748EA7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B309146"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Donne, John </w:t>
            </w:r>
          </w:p>
        </w:tc>
        <w:tc>
          <w:tcPr>
            <w:tcW w:w="1125" w:type="dxa"/>
            <w:noWrap/>
            <w:hideMark/>
          </w:tcPr>
          <w:p w14:paraId="114233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Thomas Jones</w:t>
            </w:r>
          </w:p>
        </w:tc>
        <w:tc>
          <w:tcPr>
            <w:tcW w:w="918" w:type="dxa"/>
            <w:noWrap/>
            <w:hideMark/>
          </w:tcPr>
          <w:p w14:paraId="33CECA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1F3DCA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035" w:type="dxa"/>
            <w:noWrap/>
            <w:hideMark/>
          </w:tcPr>
          <w:p w14:paraId="2089E3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4F4EC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331A4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428A28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Whitehall </w:t>
            </w:r>
          </w:p>
        </w:tc>
        <w:tc>
          <w:tcPr>
            <w:tcW w:w="981" w:type="dxa"/>
            <w:noWrap/>
            <w:hideMark/>
          </w:tcPr>
          <w:p w14:paraId="49322D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Lincoln's Inn </w:t>
            </w:r>
          </w:p>
        </w:tc>
        <w:tc>
          <w:tcPr>
            <w:tcW w:w="681" w:type="dxa"/>
            <w:noWrap/>
            <w:hideMark/>
          </w:tcPr>
          <w:p w14:paraId="250140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C0746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7E2976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Consecration of chapel </w:t>
            </w:r>
          </w:p>
        </w:tc>
        <w:tc>
          <w:tcPr>
            <w:tcW w:w="963" w:type="dxa"/>
            <w:noWrap/>
            <w:hideMark/>
          </w:tcPr>
          <w:p w14:paraId="17B49F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28AC823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356886E"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Donne, John </w:t>
            </w:r>
          </w:p>
        </w:tc>
        <w:tc>
          <w:tcPr>
            <w:tcW w:w="1125" w:type="dxa"/>
            <w:noWrap/>
            <w:hideMark/>
          </w:tcPr>
          <w:p w14:paraId="79BCB13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Thomas Jones</w:t>
            </w:r>
          </w:p>
        </w:tc>
        <w:tc>
          <w:tcPr>
            <w:tcW w:w="918" w:type="dxa"/>
            <w:noWrap/>
            <w:hideMark/>
          </w:tcPr>
          <w:p w14:paraId="56E748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01E36E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035" w:type="dxa"/>
            <w:noWrap/>
            <w:hideMark/>
          </w:tcPr>
          <w:p w14:paraId="0D0D364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EE83B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E4D06E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2C0ED2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981" w:type="dxa"/>
            <w:noWrap/>
            <w:hideMark/>
          </w:tcPr>
          <w:p w14:paraId="4FA828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Lincoln's Inn </w:t>
            </w:r>
          </w:p>
        </w:tc>
        <w:tc>
          <w:tcPr>
            <w:tcW w:w="681" w:type="dxa"/>
            <w:noWrap/>
            <w:hideMark/>
          </w:tcPr>
          <w:p w14:paraId="011B09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053A71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Consecration </w:t>
            </w:r>
          </w:p>
        </w:tc>
        <w:tc>
          <w:tcPr>
            <w:tcW w:w="1093" w:type="dxa"/>
            <w:noWrap/>
            <w:hideMark/>
          </w:tcPr>
          <w:p w14:paraId="2E0F40A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A2F6E7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1AFD50A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D0D1B3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Donne, John </w:t>
            </w:r>
          </w:p>
        </w:tc>
        <w:tc>
          <w:tcPr>
            <w:tcW w:w="1125" w:type="dxa"/>
            <w:noWrap/>
            <w:hideMark/>
          </w:tcPr>
          <w:p w14:paraId="7AD8EB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Christopher Meredith </w:t>
            </w:r>
          </w:p>
        </w:tc>
        <w:tc>
          <w:tcPr>
            <w:tcW w:w="918" w:type="dxa"/>
            <w:noWrap/>
            <w:hideMark/>
          </w:tcPr>
          <w:p w14:paraId="6ECB79F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1627</w:t>
            </w:r>
          </w:p>
        </w:tc>
        <w:tc>
          <w:tcPr>
            <w:tcW w:w="931" w:type="dxa"/>
            <w:noWrap/>
            <w:hideMark/>
          </w:tcPr>
          <w:p w14:paraId="0F124D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C39A2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5A10C1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4FD60A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6162D5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7A551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C34E9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64EAF3F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249DA1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Funeral</w:t>
            </w:r>
          </w:p>
        </w:tc>
        <w:tc>
          <w:tcPr>
            <w:tcW w:w="1093" w:type="dxa"/>
            <w:noWrap/>
            <w:hideMark/>
          </w:tcPr>
          <w:p w14:paraId="4E55C8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BF542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6DFD28E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30ADD0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Donne, John </w:t>
            </w:r>
          </w:p>
        </w:tc>
        <w:tc>
          <w:tcPr>
            <w:tcW w:w="1125" w:type="dxa"/>
            <w:noWrap/>
            <w:hideMark/>
          </w:tcPr>
          <w:p w14:paraId="52CCF8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Thomas Jones</w:t>
            </w:r>
          </w:p>
        </w:tc>
        <w:tc>
          <w:tcPr>
            <w:tcW w:w="918" w:type="dxa"/>
            <w:noWrap/>
            <w:hideMark/>
          </w:tcPr>
          <w:p w14:paraId="1C636CF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2D589B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B5507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80712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2695B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Whitehall </w:t>
            </w:r>
          </w:p>
        </w:tc>
        <w:tc>
          <w:tcPr>
            <w:tcW w:w="1118" w:type="dxa"/>
            <w:noWrap/>
            <w:hideMark/>
          </w:tcPr>
          <w:p w14:paraId="2EDE8E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AFE4B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8B073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44B49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7761748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0C12DA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E02016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1B6612C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418221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Donne, John </w:t>
            </w:r>
          </w:p>
        </w:tc>
        <w:tc>
          <w:tcPr>
            <w:tcW w:w="1125" w:type="dxa"/>
            <w:noWrap/>
            <w:hideMark/>
          </w:tcPr>
          <w:p w14:paraId="4CE132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Thomas Jones</w:t>
            </w:r>
          </w:p>
        </w:tc>
        <w:tc>
          <w:tcPr>
            <w:tcW w:w="918" w:type="dxa"/>
            <w:noWrap/>
            <w:hideMark/>
          </w:tcPr>
          <w:p w14:paraId="764E2C4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30049F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C76C56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338080A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3D528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037C53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3A9E1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7328B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290FF3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63F60FB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1C6B1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E8264E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E342E8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5EBA8A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Donne, John </w:t>
            </w:r>
          </w:p>
        </w:tc>
        <w:tc>
          <w:tcPr>
            <w:tcW w:w="1125" w:type="dxa"/>
            <w:noWrap/>
            <w:hideMark/>
          </w:tcPr>
          <w:p w14:paraId="2CB0C2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Thomas Jones</w:t>
            </w:r>
          </w:p>
        </w:tc>
        <w:tc>
          <w:tcPr>
            <w:tcW w:w="918" w:type="dxa"/>
            <w:noWrap/>
            <w:hideMark/>
          </w:tcPr>
          <w:p w14:paraId="141F30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0B9490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D68AA4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35963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74BDD9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64803E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6F21A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0FE69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B2A06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063B69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039F1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A0072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1FAA318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2E8B43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Donne, John </w:t>
            </w:r>
          </w:p>
        </w:tc>
        <w:tc>
          <w:tcPr>
            <w:tcW w:w="1125" w:type="dxa"/>
            <w:noWrap/>
            <w:hideMark/>
          </w:tcPr>
          <w:p w14:paraId="6456D2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Thomas Jones</w:t>
            </w:r>
          </w:p>
        </w:tc>
        <w:tc>
          <w:tcPr>
            <w:tcW w:w="918" w:type="dxa"/>
            <w:noWrap/>
            <w:hideMark/>
          </w:tcPr>
          <w:p w14:paraId="71DF63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21E67F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2C18BF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622D7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1A3A5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6DFF56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79F01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9FDB59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052CB8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1F9E96A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20678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D3B86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123431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F3BC98F"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Donne, John </w:t>
            </w:r>
          </w:p>
        </w:tc>
        <w:tc>
          <w:tcPr>
            <w:tcW w:w="1125" w:type="dxa"/>
            <w:noWrap/>
            <w:hideMark/>
          </w:tcPr>
          <w:p w14:paraId="13B05C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Thomas Jones</w:t>
            </w:r>
          </w:p>
        </w:tc>
        <w:tc>
          <w:tcPr>
            <w:tcW w:w="918" w:type="dxa"/>
            <w:noWrap/>
            <w:hideMark/>
          </w:tcPr>
          <w:p w14:paraId="6FE8B7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4DCAE7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035" w:type="dxa"/>
            <w:noWrap/>
            <w:hideMark/>
          </w:tcPr>
          <w:p w14:paraId="7C31E72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17D25F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92595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before the Virginia company </w:t>
            </w:r>
          </w:p>
        </w:tc>
        <w:tc>
          <w:tcPr>
            <w:tcW w:w="1118" w:type="dxa"/>
            <w:noWrap/>
            <w:hideMark/>
          </w:tcPr>
          <w:p w14:paraId="11D3C8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4CFDE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58D1E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01D42C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43B2CD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D8ED6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BB746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61EFCA8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0D2B54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Donne, John </w:t>
            </w:r>
          </w:p>
        </w:tc>
        <w:tc>
          <w:tcPr>
            <w:tcW w:w="1125" w:type="dxa"/>
            <w:noWrap/>
            <w:hideMark/>
          </w:tcPr>
          <w:p w14:paraId="1E816DC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Thomas Buck and Roger Daniel</w:t>
            </w:r>
          </w:p>
        </w:tc>
        <w:tc>
          <w:tcPr>
            <w:tcW w:w="918" w:type="dxa"/>
            <w:noWrap/>
            <w:hideMark/>
          </w:tcPr>
          <w:p w14:paraId="665CAD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1634</w:t>
            </w:r>
          </w:p>
        </w:tc>
        <w:tc>
          <w:tcPr>
            <w:tcW w:w="931" w:type="dxa"/>
            <w:noWrap/>
            <w:hideMark/>
          </w:tcPr>
          <w:p w14:paraId="0C6C81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035" w:type="dxa"/>
            <w:noWrap/>
            <w:hideMark/>
          </w:tcPr>
          <w:p w14:paraId="39A9144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67CCA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C604D2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Court</w:t>
            </w:r>
          </w:p>
        </w:tc>
        <w:tc>
          <w:tcPr>
            <w:tcW w:w="1118" w:type="dxa"/>
            <w:noWrap/>
            <w:hideMark/>
          </w:tcPr>
          <w:p w14:paraId="357BE7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D622F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ABE772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27ED80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5D7372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0EED35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52E07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0AFBFC2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73872F5"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Dowle</w:t>
            </w:r>
            <w:proofErr w:type="spellEnd"/>
            <w:r w:rsidRPr="003037D2">
              <w:rPr>
                <w:rFonts w:ascii="Garamond" w:hAnsi="Garamond"/>
                <w:b w:val="0"/>
                <w:bCs w:val="0"/>
                <w:sz w:val="20"/>
                <w:szCs w:val="20"/>
              </w:rPr>
              <w:t xml:space="preserve">, John </w:t>
            </w:r>
          </w:p>
        </w:tc>
        <w:tc>
          <w:tcPr>
            <w:tcW w:w="1125" w:type="dxa"/>
            <w:noWrap/>
            <w:hideMark/>
          </w:tcPr>
          <w:p w14:paraId="5B9EEE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Nicholas Bourne </w:t>
            </w:r>
          </w:p>
        </w:tc>
        <w:tc>
          <w:tcPr>
            <w:tcW w:w="918" w:type="dxa"/>
            <w:noWrap/>
            <w:hideMark/>
          </w:tcPr>
          <w:p w14:paraId="7B2CD79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1630</w:t>
            </w:r>
          </w:p>
        </w:tc>
        <w:tc>
          <w:tcPr>
            <w:tcW w:w="931" w:type="dxa"/>
            <w:noWrap/>
            <w:hideMark/>
          </w:tcPr>
          <w:p w14:paraId="02584E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0CCE0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EC339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287ED6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Whitehall </w:t>
            </w:r>
          </w:p>
        </w:tc>
        <w:tc>
          <w:tcPr>
            <w:tcW w:w="1118" w:type="dxa"/>
            <w:noWrap/>
            <w:hideMark/>
          </w:tcPr>
          <w:p w14:paraId="73AB363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A4B1B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E7235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E6D3F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0263B8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5C717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1D748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500AEFA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004EE10"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Downame</w:t>
            </w:r>
            <w:proofErr w:type="spellEnd"/>
            <w:r w:rsidRPr="003037D2">
              <w:rPr>
                <w:rFonts w:ascii="Garamond" w:hAnsi="Garamond"/>
                <w:b w:val="0"/>
                <w:bCs w:val="0"/>
                <w:sz w:val="20"/>
                <w:szCs w:val="20"/>
              </w:rPr>
              <w:t xml:space="preserve">, George </w:t>
            </w:r>
          </w:p>
        </w:tc>
        <w:tc>
          <w:tcPr>
            <w:tcW w:w="1125" w:type="dxa"/>
            <w:noWrap/>
            <w:hideMark/>
          </w:tcPr>
          <w:p w14:paraId="582D8E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 Oakes </w:t>
            </w:r>
          </w:p>
        </w:tc>
        <w:tc>
          <w:tcPr>
            <w:tcW w:w="918" w:type="dxa"/>
            <w:noWrap/>
            <w:hideMark/>
          </w:tcPr>
          <w:p w14:paraId="66BC5D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1639</w:t>
            </w:r>
          </w:p>
        </w:tc>
        <w:tc>
          <w:tcPr>
            <w:tcW w:w="931" w:type="dxa"/>
            <w:noWrap/>
            <w:hideMark/>
          </w:tcPr>
          <w:p w14:paraId="634CC7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380DD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1C57D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206AC7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3B66C7E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10F03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7F668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73259C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‘his departure’ </w:t>
            </w:r>
          </w:p>
        </w:tc>
        <w:tc>
          <w:tcPr>
            <w:tcW w:w="1093" w:type="dxa"/>
            <w:noWrap/>
            <w:hideMark/>
          </w:tcPr>
          <w:p w14:paraId="050032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3A65B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39B576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E99760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Downing, </w:t>
            </w:r>
            <w:proofErr w:type="spellStart"/>
            <w:r w:rsidRPr="003037D2">
              <w:rPr>
                <w:rFonts w:ascii="Garamond" w:hAnsi="Garamond"/>
                <w:b w:val="0"/>
                <w:bCs w:val="0"/>
                <w:sz w:val="20"/>
                <w:szCs w:val="20"/>
              </w:rPr>
              <w:t>Calybute</w:t>
            </w:r>
            <w:proofErr w:type="spellEnd"/>
            <w:r w:rsidRPr="003037D2">
              <w:rPr>
                <w:rFonts w:ascii="Garamond" w:hAnsi="Garamond"/>
                <w:b w:val="0"/>
                <w:bCs w:val="0"/>
                <w:sz w:val="20"/>
                <w:szCs w:val="20"/>
              </w:rPr>
              <w:t xml:space="preserve"> </w:t>
            </w:r>
          </w:p>
        </w:tc>
        <w:tc>
          <w:tcPr>
            <w:tcW w:w="1125" w:type="dxa"/>
            <w:noWrap/>
            <w:hideMark/>
          </w:tcPr>
          <w:p w14:paraId="705184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Rothwell </w:t>
            </w:r>
          </w:p>
        </w:tc>
        <w:tc>
          <w:tcPr>
            <w:tcW w:w="918" w:type="dxa"/>
            <w:noWrap/>
            <w:hideMark/>
          </w:tcPr>
          <w:p w14:paraId="0248441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29699B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538303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42E96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2321" w:type="dxa"/>
            <w:gridSpan w:val="2"/>
            <w:noWrap/>
            <w:hideMark/>
          </w:tcPr>
          <w:p w14:paraId="6A4B896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 the renowned company of the artillery’ </w:t>
            </w:r>
          </w:p>
        </w:tc>
        <w:tc>
          <w:tcPr>
            <w:tcW w:w="981" w:type="dxa"/>
            <w:noWrap/>
            <w:hideMark/>
          </w:tcPr>
          <w:p w14:paraId="6EE365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4B015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1235B3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3140AE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966A5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1F65E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7267E58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9743572"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Drant</w:t>
            </w:r>
            <w:proofErr w:type="spellEnd"/>
            <w:r w:rsidRPr="003037D2">
              <w:rPr>
                <w:rFonts w:ascii="Garamond" w:hAnsi="Garamond"/>
                <w:b w:val="0"/>
                <w:bCs w:val="0"/>
                <w:sz w:val="20"/>
                <w:szCs w:val="20"/>
              </w:rPr>
              <w:t xml:space="preserve">, Thomas </w:t>
            </w:r>
          </w:p>
        </w:tc>
        <w:tc>
          <w:tcPr>
            <w:tcW w:w="1125" w:type="dxa"/>
            <w:noWrap/>
            <w:hideMark/>
          </w:tcPr>
          <w:p w14:paraId="2A3357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Walter Hammond</w:t>
            </w:r>
          </w:p>
        </w:tc>
        <w:tc>
          <w:tcPr>
            <w:tcW w:w="918" w:type="dxa"/>
            <w:noWrap/>
            <w:hideMark/>
          </w:tcPr>
          <w:p w14:paraId="0EAB7B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1637</w:t>
            </w:r>
          </w:p>
        </w:tc>
        <w:tc>
          <w:tcPr>
            <w:tcW w:w="931" w:type="dxa"/>
            <w:noWrap/>
            <w:hideMark/>
          </w:tcPr>
          <w:p w14:paraId="63B857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320E7E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12001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3E1CA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St. Paul's </w:t>
            </w:r>
          </w:p>
        </w:tc>
        <w:tc>
          <w:tcPr>
            <w:tcW w:w="1118" w:type="dxa"/>
            <w:noWrap/>
            <w:hideMark/>
          </w:tcPr>
          <w:p w14:paraId="381C5F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37DCBA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BFB67A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6C3D6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520795F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81196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5CE322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0A066BA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6DE4012"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Drant</w:t>
            </w:r>
            <w:proofErr w:type="spellEnd"/>
            <w:r w:rsidRPr="003037D2">
              <w:rPr>
                <w:rFonts w:ascii="Garamond" w:hAnsi="Garamond"/>
                <w:b w:val="0"/>
                <w:bCs w:val="0"/>
                <w:sz w:val="20"/>
                <w:szCs w:val="20"/>
              </w:rPr>
              <w:t xml:space="preserve">, Thomas </w:t>
            </w:r>
          </w:p>
        </w:tc>
        <w:tc>
          <w:tcPr>
            <w:tcW w:w="1125" w:type="dxa"/>
            <w:noWrap/>
            <w:hideMark/>
          </w:tcPr>
          <w:p w14:paraId="674CB1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Walter Hammond </w:t>
            </w:r>
          </w:p>
        </w:tc>
        <w:tc>
          <w:tcPr>
            <w:tcW w:w="918" w:type="dxa"/>
            <w:noWrap/>
            <w:hideMark/>
          </w:tcPr>
          <w:p w14:paraId="043325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1637</w:t>
            </w:r>
          </w:p>
        </w:tc>
        <w:tc>
          <w:tcPr>
            <w:tcW w:w="931" w:type="dxa"/>
            <w:noWrap/>
            <w:hideMark/>
          </w:tcPr>
          <w:p w14:paraId="394511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9C9F7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442FF69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F1344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214595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58500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A6E46E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818" w:type="dxa"/>
            <w:gridSpan w:val="2"/>
            <w:noWrap/>
            <w:hideMark/>
          </w:tcPr>
          <w:p w14:paraId="53A264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Lent </w:t>
            </w:r>
          </w:p>
        </w:tc>
        <w:tc>
          <w:tcPr>
            <w:tcW w:w="1093" w:type="dxa"/>
            <w:noWrap/>
            <w:hideMark/>
          </w:tcPr>
          <w:p w14:paraId="1804F39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101B8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3548814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35BED6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Du Moulin, Pierre</w:t>
            </w:r>
          </w:p>
        </w:tc>
        <w:tc>
          <w:tcPr>
            <w:tcW w:w="1125" w:type="dxa"/>
            <w:noWrap/>
            <w:hideMark/>
          </w:tcPr>
          <w:p w14:paraId="68AF9A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Pyper</w:t>
            </w:r>
            <w:proofErr w:type="spellEnd"/>
            <w:r w:rsidRPr="003037D2">
              <w:rPr>
                <w:rFonts w:ascii="Garamond" w:hAnsi="Garamond"/>
                <w:sz w:val="20"/>
                <w:szCs w:val="20"/>
              </w:rPr>
              <w:t xml:space="preserve"> </w:t>
            </w:r>
          </w:p>
        </w:tc>
        <w:tc>
          <w:tcPr>
            <w:tcW w:w="918" w:type="dxa"/>
            <w:noWrap/>
            <w:hideMark/>
          </w:tcPr>
          <w:p w14:paraId="33C80E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1CE2109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7A2FF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323E2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2BCAA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 Greenwich </w:t>
            </w:r>
          </w:p>
        </w:tc>
        <w:tc>
          <w:tcPr>
            <w:tcW w:w="1118" w:type="dxa"/>
            <w:noWrap/>
            <w:hideMark/>
          </w:tcPr>
          <w:p w14:paraId="1AF2F4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5A1E4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EB779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FADD0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0A1D35D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DA6B2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F12F4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4970F06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9953799"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Dunstervill</w:t>
            </w:r>
            <w:proofErr w:type="spellEnd"/>
            <w:r w:rsidRPr="003037D2">
              <w:rPr>
                <w:rFonts w:ascii="Garamond" w:hAnsi="Garamond"/>
                <w:b w:val="0"/>
                <w:bCs w:val="0"/>
                <w:sz w:val="20"/>
                <w:szCs w:val="20"/>
              </w:rPr>
              <w:t>, Edward</w:t>
            </w:r>
          </w:p>
        </w:tc>
        <w:tc>
          <w:tcPr>
            <w:tcW w:w="1125" w:type="dxa"/>
            <w:noWrap/>
            <w:hideMark/>
          </w:tcPr>
          <w:p w14:paraId="2C82AD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Richard Badger</w:t>
            </w:r>
          </w:p>
        </w:tc>
        <w:tc>
          <w:tcPr>
            <w:tcW w:w="918" w:type="dxa"/>
            <w:noWrap/>
            <w:hideMark/>
          </w:tcPr>
          <w:p w14:paraId="2C391FA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267F76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02FA6E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C5F901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92709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49A6AF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AB816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34038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1B8BAA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56DD15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7A9537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1F64610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CC3DD1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Dyke, Jeremiah </w:t>
            </w:r>
          </w:p>
        </w:tc>
        <w:tc>
          <w:tcPr>
            <w:tcW w:w="1125" w:type="dxa"/>
            <w:noWrap/>
            <w:hideMark/>
          </w:tcPr>
          <w:p w14:paraId="51047E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w:t>
            </w:r>
            <w:proofErr w:type="spellStart"/>
            <w:r w:rsidRPr="003037D2">
              <w:rPr>
                <w:rFonts w:ascii="Garamond" w:hAnsi="Garamond"/>
                <w:sz w:val="20"/>
                <w:szCs w:val="20"/>
              </w:rPr>
              <w:t>Mylbourne</w:t>
            </w:r>
            <w:proofErr w:type="spellEnd"/>
          </w:p>
        </w:tc>
        <w:tc>
          <w:tcPr>
            <w:tcW w:w="918" w:type="dxa"/>
            <w:noWrap/>
            <w:hideMark/>
          </w:tcPr>
          <w:p w14:paraId="347172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7F3177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7D473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C4FCE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CB42D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673AA54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FE3B1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D2A7A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11AB0BF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69F7FA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95D30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7219B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5DAFD93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8EAD574"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Dyke, Jeremiah </w:t>
            </w:r>
          </w:p>
        </w:tc>
        <w:tc>
          <w:tcPr>
            <w:tcW w:w="1125" w:type="dxa"/>
            <w:noWrap/>
            <w:hideMark/>
          </w:tcPr>
          <w:p w14:paraId="140BBE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Nathanael Newberry </w:t>
            </w:r>
          </w:p>
        </w:tc>
        <w:tc>
          <w:tcPr>
            <w:tcW w:w="918" w:type="dxa"/>
            <w:noWrap/>
            <w:hideMark/>
          </w:tcPr>
          <w:p w14:paraId="21A280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7229A9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435DAFF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C33E0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D295C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66BD3C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4C537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CE8A8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24868A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58897B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consecration </w:t>
            </w:r>
          </w:p>
        </w:tc>
        <w:tc>
          <w:tcPr>
            <w:tcW w:w="963" w:type="dxa"/>
            <w:noWrap/>
            <w:hideMark/>
          </w:tcPr>
          <w:p w14:paraId="2D5980D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28E3CA7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E2E216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Dyke, Jeremiah </w:t>
            </w:r>
          </w:p>
        </w:tc>
        <w:tc>
          <w:tcPr>
            <w:tcW w:w="1125" w:type="dxa"/>
            <w:noWrap/>
            <w:hideMark/>
          </w:tcPr>
          <w:p w14:paraId="0AC331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w:t>
            </w:r>
            <w:proofErr w:type="spellStart"/>
            <w:r w:rsidRPr="003037D2">
              <w:rPr>
                <w:rFonts w:ascii="Garamond" w:hAnsi="Garamond"/>
                <w:sz w:val="20"/>
                <w:szCs w:val="20"/>
              </w:rPr>
              <w:t>Mylbourne</w:t>
            </w:r>
            <w:proofErr w:type="spellEnd"/>
          </w:p>
        </w:tc>
        <w:tc>
          <w:tcPr>
            <w:tcW w:w="918" w:type="dxa"/>
            <w:noWrap/>
            <w:hideMark/>
          </w:tcPr>
          <w:p w14:paraId="7D4AE1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1628</w:t>
            </w:r>
          </w:p>
        </w:tc>
        <w:tc>
          <w:tcPr>
            <w:tcW w:w="931" w:type="dxa"/>
            <w:noWrap/>
            <w:hideMark/>
          </w:tcPr>
          <w:p w14:paraId="3CBA0E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8D28D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0976BE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C12989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House of Parliament </w:t>
            </w:r>
          </w:p>
        </w:tc>
        <w:tc>
          <w:tcPr>
            <w:tcW w:w="1118" w:type="dxa"/>
            <w:noWrap/>
            <w:hideMark/>
          </w:tcPr>
          <w:p w14:paraId="5074AA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6B916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5A85AC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46AF02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43026E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Fast </w:t>
            </w:r>
          </w:p>
        </w:tc>
        <w:tc>
          <w:tcPr>
            <w:tcW w:w="963" w:type="dxa"/>
            <w:noWrap/>
            <w:hideMark/>
          </w:tcPr>
          <w:p w14:paraId="4F45192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78F815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5DBC98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Dyke, Jeremiah </w:t>
            </w:r>
          </w:p>
        </w:tc>
        <w:tc>
          <w:tcPr>
            <w:tcW w:w="1125" w:type="dxa"/>
            <w:noWrap/>
            <w:hideMark/>
          </w:tcPr>
          <w:p w14:paraId="1BCFB2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w:t>
            </w:r>
            <w:proofErr w:type="spellStart"/>
            <w:r w:rsidRPr="003037D2">
              <w:rPr>
                <w:rFonts w:ascii="Garamond" w:hAnsi="Garamond"/>
                <w:sz w:val="20"/>
                <w:szCs w:val="20"/>
              </w:rPr>
              <w:t>Mylbourne</w:t>
            </w:r>
            <w:proofErr w:type="spellEnd"/>
          </w:p>
        </w:tc>
        <w:tc>
          <w:tcPr>
            <w:tcW w:w="918" w:type="dxa"/>
            <w:noWrap/>
            <w:hideMark/>
          </w:tcPr>
          <w:p w14:paraId="0A0B9CD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7A8BF4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035" w:type="dxa"/>
            <w:noWrap/>
            <w:hideMark/>
          </w:tcPr>
          <w:p w14:paraId="6622BA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D676E6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4032F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6934947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981" w:type="dxa"/>
            <w:noWrap/>
            <w:hideMark/>
          </w:tcPr>
          <w:p w14:paraId="213003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9F7AC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D99A1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49CBCC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visitation </w:t>
            </w:r>
          </w:p>
        </w:tc>
        <w:tc>
          <w:tcPr>
            <w:tcW w:w="963" w:type="dxa"/>
            <w:noWrap/>
            <w:hideMark/>
          </w:tcPr>
          <w:p w14:paraId="2A6674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77ACB4C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7623E67"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Elborough</w:t>
            </w:r>
            <w:proofErr w:type="spellEnd"/>
            <w:r w:rsidRPr="003037D2">
              <w:rPr>
                <w:rFonts w:ascii="Garamond" w:hAnsi="Garamond"/>
                <w:b w:val="0"/>
                <w:bCs w:val="0"/>
                <w:sz w:val="20"/>
                <w:szCs w:val="20"/>
              </w:rPr>
              <w:t xml:space="preserve">, Jeremiah </w:t>
            </w:r>
          </w:p>
        </w:tc>
        <w:tc>
          <w:tcPr>
            <w:tcW w:w="1125" w:type="dxa"/>
            <w:noWrap/>
            <w:hideMark/>
          </w:tcPr>
          <w:p w14:paraId="2F00AD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J.E. </w:t>
            </w:r>
          </w:p>
        </w:tc>
        <w:tc>
          <w:tcPr>
            <w:tcW w:w="918" w:type="dxa"/>
            <w:noWrap/>
            <w:hideMark/>
          </w:tcPr>
          <w:p w14:paraId="4814229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477FB2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08F67D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The Hague </w:t>
            </w:r>
          </w:p>
        </w:tc>
        <w:tc>
          <w:tcPr>
            <w:tcW w:w="838" w:type="dxa"/>
            <w:noWrap/>
            <w:hideMark/>
          </w:tcPr>
          <w:p w14:paraId="73282C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73737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4C46A0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C8DAE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2597B4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6DDB83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1949DE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1F8C5A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FC305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1349854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79FF203"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Elborow</w:t>
            </w:r>
            <w:proofErr w:type="spellEnd"/>
            <w:r w:rsidRPr="003037D2">
              <w:rPr>
                <w:rFonts w:ascii="Garamond" w:hAnsi="Garamond"/>
                <w:b w:val="0"/>
                <w:bCs w:val="0"/>
                <w:sz w:val="20"/>
                <w:szCs w:val="20"/>
              </w:rPr>
              <w:t xml:space="preserve">, John </w:t>
            </w:r>
          </w:p>
        </w:tc>
        <w:tc>
          <w:tcPr>
            <w:tcW w:w="1125" w:type="dxa"/>
            <w:noWrap/>
            <w:hideMark/>
          </w:tcPr>
          <w:p w14:paraId="0E142E1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Clark </w:t>
            </w:r>
          </w:p>
        </w:tc>
        <w:tc>
          <w:tcPr>
            <w:tcW w:w="918" w:type="dxa"/>
            <w:noWrap/>
            <w:hideMark/>
          </w:tcPr>
          <w:p w14:paraId="3738E9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1637</w:t>
            </w:r>
          </w:p>
        </w:tc>
        <w:tc>
          <w:tcPr>
            <w:tcW w:w="931" w:type="dxa"/>
            <w:noWrap/>
            <w:hideMark/>
          </w:tcPr>
          <w:p w14:paraId="1D5E94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507946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78BA3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30AC0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6E8333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A526C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70634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1409F6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5D43898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visitation </w:t>
            </w:r>
          </w:p>
        </w:tc>
        <w:tc>
          <w:tcPr>
            <w:tcW w:w="963" w:type="dxa"/>
            <w:noWrap/>
            <w:hideMark/>
          </w:tcPr>
          <w:p w14:paraId="02FF32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5A84C58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68BA74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Evans, William </w:t>
            </w:r>
          </w:p>
        </w:tc>
        <w:tc>
          <w:tcPr>
            <w:tcW w:w="1125" w:type="dxa"/>
            <w:noWrap/>
            <w:hideMark/>
          </w:tcPr>
          <w:p w14:paraId="369C2F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William Webb</w:t>
            </w:r>
          </w:p>
        </w:tc>
        <w:tc>
          <w:tcPr>
            <w:tcW w:w="918" w:type="dxa"/>
            <w:noWrap/>
            <w:hideMark/>
          </w:tcPr>
          <w:p w14:paraId="20DCAE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1636</w:t>
            </w:r>
          </w:p>
        </w:tc>
        <w:tc>
          <w:tcPr>
            <w:tcW w:w="931" w:type="dxa"/>
            <w:noWrap/>
            <w:hideMark/>
          </w:tcPr>
          <w:p w14:paraId="4D168B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74EE84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D7011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F6710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3FFF5E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2E7C1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FE78A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0A67C3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0DF73B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0A892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E04D5A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641467D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2999FEF"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Everinden</w:t>
            </w:r>
            <w:proofErr w:type="spellEnd"/>
            <w:r w:rsidRPr="003037D2">
              <w:rPr>
                <w:rFonts w:ascii="Garamond" w:hAnsi="Garamond"/>
                <w:b w:val="0"/>
                <w:bCs w:val="0"/>
                <w:sz w:val="20"/>
                <w:szCs w:val="20"/>
              </w:rPr>
              <w:t xml:space="preserve">, Humphrey </w:t>
            </w:r>
          </w:p>
        </w:tc>
        <w:tc>
          <w:tcPr>
            <w:tcW w:w="1125" w:type="dxa"/>
            <w:noWrap/>
            <w:hideMark/>
          </w:tcPr>
          <w:p w14:paraId="4A9964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Bird </w:t>
            </w:r>
          </w:p>
        </w:tc>
        <w:tc>
          <w:tcPr>
            <w:tcW w:w="918" w:type="dxa"/>
            <w:noWrap/>
            <w:hideMark/>
          </w:tcPr>
          <w:p w14:paraId="79C093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6BE9C42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021688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573CE6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6C19F3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3D058C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8F262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5C6F9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5D69CE3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3F18FC4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C932A0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4BF25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770A111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DE0536E"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Everinden</w:t>
            </w:r>
            <w:proofErr w:type="spellEnd"/>
            <w:r w:rsidRPr="003037D2">
              <w:rPr>
                <w:rFonts w:ascii="Garamond" w:hAnsi="Garamond"/>
                <w:b w:val="0"/>
                <w:bCs w:val="0"/>
                <w:sz w:val="20"/>
                <w:szCs w:val="20"/>
              </w:rPr>
              <w:t xml:space="preserve">, Humphrey </w:t>
            </w:r>
          </w:p>
        </w:tc>
        <w:tc>
          <w:tcPr>
            <w:tcW w:w="1125" w:type="dxa"/>
            <w:noWrap/>
            <w:hideMark/>
          </w:tcPr>
          <w:p w14:paraId="21EDA9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Bird </w:t>
            </w:r>
          </w:p>
        </w:tc>
        <w:tc>
          <w:tcPr>
            <w:tcW w:w="918" w:type="dxa"/>
            <w:noWrap/>
            <w:hideMark/>
          </w:tcPr>
          <w:p w14:paraId="358229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1635</w:t>
            </w:r>
          </w:p>
        </w:tc>
        <w:tc>
          <w:tcPr>
            <w:tcW w:w="931" w:type="dxa"/>
            <w:noWrap/>
            <w:hideMark/>
          </w:tcPr>
          <w:p w14:paraId="5D7D2B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60D9B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3208E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31606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3EFCE3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6C11C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96EF1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702DF2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2DCC15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97224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ADFCE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755CDB7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83E1AEF"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Everinden</w:t>
            </w:r>
            <w:proofErr w:type="spellEnd"/>
            <w:r w:rsidRPr="003037D2">
              <w:rPr>
                <w:rFonts w:ascii="Garamond" w:hAnsi="Garamond"/>
                <w:b w:val="0"/>
                <w:bCs w:val="0"/>
                <w:sz w:val="20"/>
                <w:szCs w:val="20"/>
              </w:rPr>
              <w:t xml:space="preserve">, Humphrey </w:t>
            </w:r>
          </w:p>
        </w:tc>
        <w:tc>
          <w:tcPr>
            <w:tcW w:w="1125" w:type="dxa"/>
            <w:noWrap/>
            <w:hideMark/>
          </w:tcPr>
          <w:p w14:paraId="619C279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Bird </w:t>
            </w:r>
          </w:p>
        </w:tc>
        <w:tc>
          <w:tcPr>
            <w:tcW w:w="918" w:type="dxa"/>
            <w:noWrap/>
            <w:hideMark/>
          </w:tcPr>
          <w:p w14:paraId="3EA824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538EF4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E4258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24AEF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FCD7E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19838B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6879C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B7D49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1085E1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7B192D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FF1D6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BB4E25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347AA55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65BF0E6"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lastRenderedPageBreak/>
              <w:t>Everinden</w:t>
            </w:r>
            <w:proofErr w:type="spellEnd"/>
            <w:r w:rsidRPr="003037D2">
              <w:rPr>
                <w:rFonts w:ascii="Garamond" w:hAnsi="Garamond"/>
                <w:b w:val="0"/>
                <w:bCs w:val="0"/>
                <w:sz w:val="20"/>
                <w:szCs w:val="20"/>
              </w:rPr>
              <w:t xml:space="preserve">, Humphrey </w:t>
            </w:r>
          </w:p>
        </w:tc>
        <w:tc>
          <w:tcPr>
            <w:tcW w:w="1125" w:type="dxa"/>
            <w:noWrap/>
            <w:hideMark/>
          </w:tcPr>
          <w:p w14:paraId="10354F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Bird </w:t>
            </w:r>
          </w:p>
        </w:tc>
        <w:tc>
          <w:tcPr>
            <w:tcW w:w="918" w:type="dxa"/>
            <w:noWrap/>
            <w:hideMark/>
          </w:tcPr>
          <w:p w14:paraId="683767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1635</w:t>
            </w:r>
          </w:p>
        </w:tc>
        <w:tc>
          <w:tcPr>
            <w:tcW w:w="931" w:type="dxa"/>
            <w:noWrap/>
            <w:hideMark/>
          </w:tcPr>
          <w:p w14:paraId="308A3AF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20603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BC249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786DB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3BABD4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9FA16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A4D87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2B5786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57CAAE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588A8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6BAB9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36EDB07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025CCF3"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Everinden</w:t>
            </w:r>
            <w:proofErr w:type="spellEnd"/>
            <w:r w:rsidRPr="003037D2">
              <w:rPr>
                <w:rFonts w:ascii="Garamond" w:hAnsi="Garamond"/>
                <w:b w:val="0"/>
                <w:bCs w:val="0"/>
                <w:sz w:val="20"/>
                <w:szCs w:val="20"/>
              </w:rPr>
              <w:t xml:space="preserve">, Humphrey </w:t>
            </w:r>
          </w:p>
        </w:tc>
        <w:tc>
          <w:tcPr>
            <w:tcW w:w="1125" w:type="dxa"/>
            <w:noWrap/>
            <w:hideMark/>
          </w:tcPr>
          <w:p w14:paraId="253478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Bird </w:t>
            </w:r>
          </w:p>
        </w:tc>
        <w:tc>
          <w:tcPr>
            <w:tcW w:w="918" w:type="dxa"/>
            <w:noWrap/>
            <w:hideMark/>
          </w:tcPr>
          <w:p w14:paraId="68ED27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6D0A1D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381C7C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7EF37F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F4337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00C0A6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9BA1C9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3E898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3D1D97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3342D6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6303D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3A974A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5D15574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797B818"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Faireclough</w:t>
            </w:r>
            <w:proofErr w:type="spellEnd"/>
            <w:r w:rsidRPr="003037D2">
              <w:rPr>
                <w:rFonts w:ascii="Garamond" w:hAnsi="Garamond"/>
                <w:b w:val="0"/>
                <w:bCs w:val="0"/>
                <w:sz w:val="20"/>
                <w:szCs w:val="20"/>
              </w:rPr>
              <w:t xml:space="preserve">, Samuel </w:t>
            </w:r>
          </w:p>
        </w:tc>
        <w:tc>
          <w:tcPr>
            <w:tcW w:w="1125" w:type="dxa"/>
            <w:noWrap/>
            <w:hideMark/>
          </w:tcPr>
          <w:p w14:paraId="727E5C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Henry Overton </w:t>
            </w:r>
          </w:p>
        </w:tc>
        <w:tc>
          <w:tcPr>
            <w:tcW w:w="918" w:type="dxa"/>
            <w:noWrap/>
            <w:hideMark/>
          </w:tcPr>
          <w:p w14:paraId="749CE3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41D00A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53947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17C052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DDF9E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House of Commons</w:t>
            </w:r>
          </w:p>
        </w:tc>
        <w:tc>
          <w:tcPr>
            <w:tcW w:w="1118" w:type="dxa"/>
            <w:noWrap/>
            <w:hideMark/>
          </w:tcPr>
          <w:p w14:paraId="36D78B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619E9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B1F7A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1A42C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24631A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9EB3C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071E97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5DCC32A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6C17CA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Farmer, Richard</w:t>
            </w:r>
          </w:p>
        </w:tc>
        <w:tc>
          <w:tcPr>
            <w:tcW w:w="1125" w:type="dxa"/>
            <w:noWrap/>
            <w:hideMark/>
          </w:tcPr>
          <w:p w14:paraId="17D71D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James Bowler </w:t>
            </w:r>
          </w:p>
        </w:tc>
        <w:tc>
          <w:tcPr>
            <w:tcW w:w="918" w:type="dxa"/>
            <w:noWrap/>
            <w:hideMark/>
          </w:tcPr>
          <w:p w14:paraId="329E4D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1629</w:t>
            </w:r>
          </w:p>
        </w:tc>
        <w:tc>
          <w:tcPr>
            <w:tcW w:w="931" w:type="dxa"/>
            <w:noWrap/>
            <w:hideMark/>
          </w:tcPr>
          <w:p w14:paraId="7E18009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9DC0A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099397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E352E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5943208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F44C5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C52BD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D3E66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3DFF35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2A1A6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E834A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1994CBE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DC06B29"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Fawcet</w:t>
            </w:r>
            <w:proofErr w:type="spellEnd"/>
            <w:r w:rsidRPr="003037D2">
              <w:rPr>
                <w:rFonts w:ascii="Garamond" w:hAnsi="Garamond"/>
                <w:b w:val="0"/>
                <w:bCs w:val="0"/>
                <w:sz w:val="20"/>
                <w:szCs w:val="20"/>
              </w:rPr>
              <w:t xml:space="preserve">, Samuel </w:t>
            </w:r>
          </w:p>
        </w:tc>
        <w:tc>
          <w:tcPr>
            <w:tcW w:w="1125" w:type="dxa"/>
            <w:noWrap/>
            <w:hideMark/>
          </w:tcPr>
          <w:p w14:paraId="59DC08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Sweeting </w:t>
            </w:r>
          </w:p>
        </w:tc>
        <w:tc>
          <w:tcPr>
            <w:tcW w:w="918" w:type="dxa"/>
            <w:noWrap/>
            <w:hideMark/>
          </w:tcPr>
          <w:p w14:paraId="692E5DE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32D525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361472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49864C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3302" w:type="dxa"/>
            <w:gridSpan w:val="3"/>
            <w:noWrap/>
            <w:hideMark/>
          </w:tcPr>
          <w:p w14:paraId="4037F6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 the right </w:t>
            </w:r>
            <w:proofErr w:type="spellStart"/>
            <w:r w:rsidRPr="003037D2">
              <w:rPr>
                <w:rFonts w:ascii="Garamond" w:hAnsi="Garamond"/>
                <w:sz w:val="20"/>
                <w:szCs w:val="20"/>
              </w:rPr>
              <w:t>worshipfull</w:t>
            </w:r>
            <w:proofErr w:type="spellEnd"/>
            <w:r w:rsidRPr="003037D2">
              <w:rPr>
                <w:rFonts w:ascii="Garamond" w:hAnsi="Garamond"/>
                <w:sz w:val="20"/>
                <w:szCs w:val="20"/>
              </w:rPr>
              <w:t xml:space="preserve"> </w:t>
            </w:r>
            <w:proofErr w:type="spellStart"/>
            <w:r w:rsidRPr="003037D2">
              <w:rPr>
                <w:rFonts w:ascii="Garamond" w:hAnsi="Garamond"/>
                <w:sz w:val="20"/>
                <w:szCs w:val="20"/>
              </w:rPr>
              <w:t>companie</w:t>
            </w:r>
            <w:proofErr w:type="spellEnd"/>
            <w:r w:rsidRPr="003037D2">
              <w:rPr>
                <w:rFonts w:ascii="Garamond" w:hAnsi="Garamond"/>
                <w:sz w:val="20"/>
                <w:szCs w:val="20"/>
              </w:rPr>
              <w:t xml:space="preserve"> of the haberdashers’ </w:t>
            </w:r>
          </w:p>
        </w:tc>
        <w:tc>
          <w:tcPr>
            <w:tcW w:w="681" w:type="dxa"/>
            <w:noWrap/>
            <w:hideMark/>
          </w:tcPr>
          <w:p w14:paraId="3DEC86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5FF07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13CB03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E4F82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B3E21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1E86EFF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C603D01"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Fawkner</w:t>
            </w:r>
            <w:proofErr w:type="spellEnd"/>
            <w:r w:rsidRPr="003037D2">
              <w:rPr>
                <w:rFonts w:ascii="Garamond" w:hAnsi="Garamond"/>
                <w:b w:val="0"/>
                <w:bCs w:val="0"/>
                <w:sz w:val="20"/>
                <w:szCs w:val="20"/>
              </w:rPr>
              <w:t xml:space="preserve">, Antony </w:t>
            </w:r>
          </w:p>
        </w:tc>
        <w:tc>
          <w:tcPr>
            <w:tcW w:w="1125" w:type="dxa"/>
            <w:noWrap/>
            <w:hideMark/>
          </w:tcPr>
          <w:p w14:paraId="13113D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w:t>
            </w:r>
            <w:proofErr w:type="spellStart"/>
            <w:r w:rsidRPr="003037D2">
              <w:rPr>
                <w:rFonts w:ascii="Garamond" w:hAnsi="Garamond"/>
                <w:sz w:val="20"/>
                <w:szCs w:val="20"/>
              </w:rPr>
              <w:t>Milbourne</w:t>
            </w:r>
            <w:proofErr w:type="spellEnd"/>
            <w:r w:rsidRPr="003037D2">
              <w:rPr>
                <w:rFonts w:ascii="Garamond" w:hAnsi="Garamond"/>
                <w:sz w:val="20"/>
                <w:szCs w:val="20"/>
              </w:rPr>
              <w:t xml:space="preserve"> </w:t>
            </w:r>
          </w:p>
        </w:tc>
        <w:tc>
          <w:tcPr>
            <w:tcW w:w="918" w:type="dxa"/>
            <w:noWrap/>
            <w:hideMark/>
          </w:tcPr>
          <w:p w14:paraId="17717E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781522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5DE564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4477B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55EAC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1C08A7E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31D79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CC5028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CFFD6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5DD11E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Legal term </w:t>
            </w:r>
          </w:p>
        </w:tc>
        <w:tc>
          <w:tcPr>
            <w:tcW w:w="1093" w:type="dxa"/>
            <w:noWrap/>
            <w:hideMark/>
          </w:tcPr>
          <w:p w14:paraId="3A9C97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477AF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096A560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9B0A22F"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Fawkner</w:t>
            </w:r>
            <w:proofErr w:type="spellEnd"/>
            <w:r w:rsidRPr="003037D2">
              <w:rPr>
                <w:rFonts w:ascii="Garamond" w:hAnsi="Garamond"/>
                <w:b w:val="0"/>
                <w:bCs w:val="0"/>
                <w:sz w:val="20"/>
                <w:szCs w:val="20"/>
              </w:rPr>
              <w:t xml:space="preserve">, Antony </w:t>
            </w:r>
          </w:p>
        </w:tc>
        <w:tc>
          <w:tcPr>
            <w:tcW w:w="1125" w:type="dxa"/>
            <w:noWrap/>
            <w:hideMark/>
          </w:tcPr>
          <w:p w14:paraId="484ABB8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John Stafford</w:t>
            </w:r>
          </w:p>
        </w:tc>
        <w:tc>
          <w:tcPr>
            <w:tcW w:w="918" w:type="dxa"/>
            <w:noWrap/>
            <w:hideMark/>
          </w:tcPr>
          <w:p w14:paraId="76098E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1634</w:t>
            </w:r>
          </w:p>
        </w:tc>
        <w:tc>
          <w:tcPr>
            <w:tcW w:w="931" w:type="dxa"/>
            <w:noWrap/>
            <w:hideMark/>
          </w:tcPr>
          <w:p w14:paraId="67AC97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33DAD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02476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1D4C8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7B2A06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63AA7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327E0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0BE66B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21B37B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D92EE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8C505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4375D1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F736E09"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Fawkner</w:t>
            </w:r>
            <w:proofErr w:type="spellEnd"/>
            <w:r w:rsidRPr="003037D2">
              <w:rPr>
                <w:rFonts w:ascii="Garamond" w:hAnsi="Garamond"/>
                <w:b w:val="0"/>
                <w:bCs w:val="0"/>
                <w:sz w:val="20"/>
                <w:szCs w:val="20"/>
              </w:rPr>
              <w:t xml:space="preserve">, Antony </w:t>
            </w:r>
          </w:p>
        </w:tc>
        <w:tc>
          <w:tcPr>
            <w:tcW w:w="1125" w:type="dxa"/>
            <w:noWrap/>
            <w:hideMark/>
          </w:tcPr>
          <w:p w14:paraId="1A5136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w:t>
            </w:r>
            <w:proofErr w:type="spellStart"/>
            <w:r w:rsidRPr="003037D2">
              <w:rPr>
                <w:rFonts w:ascii="Garamond" w:hAnsi="Garamond"/>
                <w:sz w:val="20"/>
                <w:szCs w:val="20"/>
              </w:rPr>
              <w:t>Allott</w:t>
            </w:r>
            <w:proofErr w:type="spellEnd"/>
          </w:p>
        </w:tc>
        <w:tc>
          <w:tcPr>
            <w:tcW w:w="918" w:type="dxa"/>
            <w:noWrap/>
            <w:hideMark/>
          </w:tcPr>
          <w:p w14:paraId="389712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1630</w:t>
            </w:r>
          </w:p>
        </w:tc>
        <w:tc>
          <w:tcPr>
            <w:tcW w:w="931" w:type="dxa"/>
            <w:noWrap/>
            <w:hideMark/>
          </w:tcPr>
          <w:p w14:paraId="16A778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1D36C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6F384C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7390D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02CD66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CEFB9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3A56F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6CC119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6EBB2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B32DA2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8E92B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477340C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AFC0C88"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Fawkner</w:t>
            </w:r>
            <w:proofErr w:type="spellEnd"/>
            <w:r w:rsidRPr="003037D2">
              <w:rPr>
                <w:rFonts w:ascii="Garamond" w:hAnsi="Garamond"/>
                <w:b w:val="0"/>
                <w:bCs w:val="0"/>
                <w:sz w:val="20"/>
                <w:szCs w:val="20"/>
              </w:rPr>
              <w:t xml:space="preserve">, Antony </w:t>
            </w:r>
          </w:p>
        </w:tc>
        <w:tc>
          <w:tcPr>
            <w:tcW w:w="1125" w:type="dxa"/>
            <w:noWrap/>
            <w:hideMark/>
          </w:tcPr>
          <w:p w14:paraId="4279A5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Stafford </w:t>
            </w:r>
          </w:p>
        </w:tc>
        <w:tc>
          <w:tcPr>
            <w:tcW w:w="918" w:type="dxa"/>
            <w:noWrap/>
            <w:hideMark/>
          </w:tcPr>
          <w:p w14:paraId="4FDF84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1634</w:t>
            </w:r>
          </w:p>
        </w:tc>
        <w:tc>
          <w:tcPr>
            <w:tcW w:w="931" w:type="dxa"/>
            <w:noWrap/>
            <w:hideMark/>
          </w:tcPr>
          <w:p w14:paraId="4CDFE2E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4410CF9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3F8067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D1C77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78341B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2166B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129DB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DD16D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565E16F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2A44E8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464BB5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43B2D70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B892C7F"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Fawkner</w:t>
            </w:r>
            <w:proofErr w:type="spellEnd"/>
            <w:r w:rsidRPr="003037D2">
              <w:rPr>
                <w:rFonts w:ascii="Garamond" w:hAnsi="Garamond"/>
                <w:b w:val="0"/>
                <w:bCs w:val="0"/>
                <w:sz w:val="20"/>
                <w:szCs w:val="20"/>
              </w:rPr>
              <w:t xml:space="preserve">, Antony </w:t>
            </w:r>
          </w:p>
        </w:tc>
        <w:tc>
          <w:tcPr>
            <w:tcW w:w="1125" w:type="dxa"/>
            <w:noWrap/>
            <w:hideMark/>
          </w:tcPr>
          <w:p w14:paraId="487CD6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w:t>
            </w:r>
            <w:proofErr w:type="spellStart"/>
            <w:r w:rsidRPr="003037D2">
              <w:rPr>
                <w:rFonts w:ascii="Garamond" w:hAnsi="Garamond"/>
                <w:sz w:val="20"/>
                <w:szCs w:val="20"/>
              </w:rPr>
              <w:t>Allott</w:t>
            </w:r>
            <w:proofErr w:type="spellEnd"/>
            <w:r w:rsidRPr="003037D2">
              <w:rPr>
                <w:rFonts w:ascii="Garamond" w:hAnsi="Garamond"/>
                <w:sz w:val="20"/>
                <w:szCs w:val="20"/>
              </w:rPr>
              <w:t xml:space="preserve"> </w:t>
            </w:r>
          </w:p>
        </w:tc>
        <w:tc>
          <w:tcPr>
            <w:tcW w:w="918" w:type="dxa"/>
            <w:noWrap/>
            <w:hideMark/>
          </w:tcPr>
          <w:p w14:paraId="784E5D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1630</w:t>
            </w:r>
          </w:p>
        </w:tc>
        <w:tc>
          <w:tcPr>
            <w:tcW w:w="931" w:type="dxa"/>
            <w:noWrap/>
            <w:hideMark/>
          </w:tcPr>
          <w:p w14:paraId="716B867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5116E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8C8E9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EA1C6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7F3601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5DA31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EB207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EE716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024862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E060D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93F12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0FBFE8B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EF03C47"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Fawkner</w:t>
            </w:r>
            <w:proofErr w:type="spellEnd"/>
            <w:r w:rsidRPr="003037D2">
              <w:rPr>
                <w:rFonts w:ascii="Garamond" w:hAnsi="Garamond"/>
                <w:b w:val="0"/>
                <w:bCs w:val="0"/>
                <w:sz w:val="20"/>
                <w:szCs w:val="20"/>
              </w:rPr>
              <w:t xml:space="preserve">, Antony </w:t>
            </w:r>
          </w:p>
        </w:tc>
        <w:tc>
          <w:tcPr>
            <w:tcW w:w="1125" w:type="dxa"/>
            <w:noWrap/>
            <w:hideMark/>
          </w:tcPr>
          <w:p w14:paraId="214538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Elias </w:t>
            </w:r>
            <w:proofErr w:type="spellStart"/>
            <w:r w:rsidRPr="003037D2">
              <w:rPr>
                <w:rFonts w:ascii="Garamond" w:hAnsi="Garamond"/>
                <w:sz w:val="20"/>
                <w:szCs w:val="20"/>
              </w:rPr>
              <w:t>Peerse</w:t>
            </w:r>
            <w:proofErr w:type="spellEnd"/>
            <w:r w:rsidRPr="003037D2">
              <w:rPr>
                <w:rFonts w:ascii="Garamond" w:hAnsi="Garamond"/>
                <w:sz w:val="20"/>
                <w:szCs w:val="20"/>
              </w:rPr>
              <w:t xml:space="preserve"> </w:t>
            </w:r>
          </w:p>
        </w:tc>
        <w:tc>
          <w:tcPr>
            <w:tcW w:w="918" w:type="dxa"/>
            <w:noWrap/>
            <w:hideMark/>
          </w:tcPr>
          <w:p w14:paraId="779A1A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1635</w:t>
            </w:r>
          </w:p>
        </w:tc>
        <w:tc>
          <w:tcPr>
            <w:tcW w:w="931" w:type="dxa"/>
            <w:noWrap/>
            <w:hideMark/>
          </w:tcPr>
          <w:p w14:paraId="6E0611E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79E91DE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F2C61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49277F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621060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Assizes</w:t>
            </w:r>
          </w:p>
        </w:tc>
        <w:tc>
          <w:tcPr>
            <w:tcW w:w="981" w:type="dxa"/>
            <w:noWrap/>
            <w:hideMark/>
          </w:tcPr>
          <w:p w14:paraId="294928D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6B116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2B813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6AD68C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3CBFE5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3E8A9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6C19DB6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04F97E9"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Featley</w:t>
            </w:r>
            <w:proofErr w:type="spellEnd"/>
            <w:r w:rsidRPr="003037D2">
              <w:rPr>
                <w:rFonts w:ascii="Garamond" w:hAnsi="Garamond"/>
                <w:b w:val="0"/>
                <w:bCs w:val="0"/>
                <w:sz w:val="20"/>
                <w:szCs w:val="20"/>
              </w:rPr>
              <w:t>, John</w:t>
            </w:r>
          </w:p>
        </w:tc>
        <w:tc>
          <w:tcPr>
            <w:tcW w:w="1125" w:type="dxa"/>
            <w:noWrap/>
            <w:hideMark/>
          </w:tcPr>
          <w:p w14:paraId="1883A0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Richard Badger</w:t>
            </w:r>
          </w:p>
        </w:tc>
        <w:tc>
          <w:tcPr>
            <w:tcW w:w="918" w:type="dxa"/>
            <w:noWrap/>
            <w:hideMark/>
          </w:tcPr>
          <w:p w14:paraId="0CC0C7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1636</w:t>
            </w:r>
          </w:p>
        </w:tc>
        <w:tc>
          <w:tcPr>
            <w:tcW w:w="931" w:type="dxa"/>
            <w:noWrap/>
            <w:hideMark/>
          </w:tcPr>
          <w:p w14:paraId="5AA92D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7362C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46462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A34A2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50389E4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71D5C1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C63BF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9B901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197203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6091D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6B5EB8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603B651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704040C"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lastRenderedPageBreak/>
              <w:t>Featley</w:t>
            </w:r>
            <w:proofErr w:type="spellEnd"/>
            <w:r w:rsidRPr="003037D2">
              <w:rPr>
                <w:rFonts w:ascii="Garamond" w:hAnsi="Garamond"/>
                <w:b w:val="0"/>
                <w:bCs w:val="0"/>
                <w:sz w:val="20"/>
                <w:szCs w:val="20"/>
              </w:rPr>
              <w:t>, John</w:t>
            </w:r>
          </w:p>
        </w:tc>
        <w:tc>
          <w:tcPr>
            <w:tcW w:w="1125" w:type="dxa"/>
            <w:noWrap/>
            <w:hideMark/>
          </w:tcPr>
          <w:p w14:paraId="301C08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Nicholas Bourne </w:t>
            </w:r>
          </w:p>
        </w:tc>
        <w:tc>
          <w:tcPr>
            <w:tcW w:w="918" w:type="dxa"/>
            <w:noWrap/>
            <w:hideMark/>
          </w:tcPr>
          <w:p w14:paraId="3E7407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1629</w:t>
            </w:r>
          </w:p>
        </w:tc>
        <w:tc>
          <w:tcPr>
            <w:tcW w:w="931" w:type="dxa"/>
            <w:noWrap/>
            <w:hideMark/>
          </w:tcPr>
          <w:p w14:paraId="044680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FAF65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6E64EC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C68F0A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10E5E2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E21F31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778B6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D0D1F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0B7951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837D0F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057B8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221428B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1A1216E"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Field, Theophilus</w:t>
            </w:r>
          </w:p>
        </w:tc>
        <w:tc>
          <w:tcPr>
            <w:tcW w:w="1125" w:type="dxa"/>
            <w:noWrap/>
            <w:hideMark/>
          </w:tcPr>
          <w:p w14:paraId="7D8C54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Harper </w:t>
            </w:r>
          </w:p>
        </w:tc>
        <w:tc>
          <w:tcPr>
            <w:tcW w:w="918" w:type="dxa"/>
            <w:noWrap/>
            <w:hideMark/>
          </w:tcPr>
          <w:p w14:paraId="0B8511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1628</w:t>
            </w:r>
          </w:p>
        </w:tc>
        <w:tc>
          <w:tcPr>
            <w:tcW w:w="931" w:type="dxa"/>
            <w:noWrap/>
            <w:hideMark/>
          </w:tcPr>
          <w:p w14:paraId="0B095A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00EFA5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4A387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099DD1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Whitehall </w:t>
            </w:r>
          </w:p>
        </w:tc>
        <w:tc>
          <w:tcPr>
            <w:tcW w:w="1118" w:type="dxa"/>
            <w:noWrap/>
            <w:hideMark/>
          </w:tcPr>
          <w:p w14:paraId="79C43C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85371F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4493D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78C52B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Lent </w:t>
            </w:r>
          </w:p>
        </w:tc>
        <w:tc>
          <w:tcPr>
            <w:tcW w:w="1093" w:type="dxa"/>
            <w:noWrap/>
            <w:hideMark/>
          </w:tcPr>
          <w:p w14:paraId="3F34D8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973FF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40E372E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A6A0476"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Fleming, Giles </w:t>
            </w:r>
          </w:p>
        </w:tc>
        <w:tc>
          <w:tcPr>
            <w:tcW w:w="1125" w:type="dxa"/>
            <w:noWrap/>
            <w:hideMark/>
          </w:tcPr>
          <w:p w14:paraId="503A0D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w:t>
            </w:r>
            <w:proofErr w:type="spellStart"/>
            <w:r w:rsidRPr="003037D2">
              <w:rPr>
                <w:rFonts w:ascii="Garamond" w:hAnsi="Garamond"/>
                <w:sz w:val="20"/>
                <w:szCs w:val="20"/>
              </w:rPr>
              <w:t>Alchorn</w:t>
            </w:r>
            <w:proofErr w:type="spellEnd"/>
            <w:r w:rsidRPr="003037D2">
              <w:rPr>
                <w:rFonts w:ascii="Garamond" w:hAnsi="Garamond"/>
                <w:sz w:val="20"/>
                <w:szCs w:val="20"/>
              </w:rPr>
              <w:t xml:space="preserve"> </w:t>
            </w:r>
          </w:p>
        </w:tc>
        <w:tc>
          <w:tcPr>
            <w:tcW w:w="918" w:type="dxa"/>
            <w:noWrap/>
            <w:hideMark/>
          </w:tcPr>
          <w:p w14:paraId="5E32BF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1634</w:t>
            </w:r>
          </w:p>
        </w:tc>
        <w:tc>
          <w:tcPr>
            <w:tcW w:w="931" w:type="dxa"/>
            <w:noWrap/>
            <w:hideMark/>
          </w:tcPr>
          <w:p w14:paraId="5BF550F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D2F51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B5918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41FAE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St. Paul's </w:t>
            </w:r>
          </w:p>
        </w:tc>
        <w:tc>
          <w:tcPr>
            <w:tcW w:w="1118" w:type="dxa"/>
            <w:noWrap/>
            <w:hideMark/>
          </w:tcPr>
          <w:p w14:paraId="3E68A9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03372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0C1F9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C9F19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EB25E7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BDF76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6C50F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018E24C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0BD08E6"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Foster, Thomas</w:t>
            </w:r>
          </w:p>
        </w:tc>
        <w:tc>
          <w:tcPr>
            <w:tcW w:w="1125" w:type="dxa"/>
            <w:noWrap/>
            <w:hideMark/>
          </w:tcPr>
          <w:p w14:paraId="1F0B43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Michael Sparke </w:t>
            </w:r>
          </w:p>
        </w:tc>
        <w:tc>
          <w:tcPr>
            <w:tcW w:w="918" w:type="dxa"/>
            <w:noWrap/>
            <w:hideMark/>
          </w:tcPr>
          <w:p w14:paraId="0E3257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1631</w:t>
            </w:r>
          </w:p>
        </w:tc>
        <w:tc>
          <w:tcPr>
            <w:tcW w:w="931" w:type="dxa"/>
            <w:noWrap/>
            <w:hideMark/>
          </w:tcPr>
          <w:p w14:paraId="3C5722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5E4E87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9B636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E4D2C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41A24B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A26D9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F6042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ADF21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Year</w:t>
            </w:r>
          </w:p>
        </w:tc>
        <w:tc>
          <w:tcPr>
            <w:tcW w:w="965" w:type="dxa"/>
            <w:noWrap/>
            <w:hideMark/>
          </w:tcPr>
          <w:p w14:paraId="5D07016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0CD7D3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648CA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EA1BCA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5251B84"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Foster, Thomas</w:t>
            </w:r>
          </w:p>
        </w:tc>
        <w:tc>
          <w:tcPr>
            <w:tcW w:w="1125" w:type="dxa"/>
            <w:noWrap/>
            <w:hideMark/>
          </w:tcPr>
          <w:p w14:paraId="3B9D662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Haviland </w:t>
            </w:r>
          </w:p>
        </w:tc>
        <w:tc>
          <w:tcPr>
            <w:tcW w:w="918" w:type="dxa"/>
            <w:noWrap/>
            <w:hideMark/>
          </w:tcPr>
          <w:p w14:paraId="2064CB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1629</w:t>
            </w:r>
          </w:p>
        </w:tc>
        <w:tc>
          <w:tcPr>
            <w:tcW w:w="931" w:type="dxa"/>
            <w:noWrap/>
            <w:hideMark/>
          </w:tcPr>
          <w:p w14:paraId="55D60B0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F70D4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6838A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F540F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46EA62E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8E0DF7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5EA47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17D62B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0E51EC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7E45B7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E967F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28662DE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DCE20C9"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Freake</w:t>
            </w:r>
            <w:proofErr w:type="spellEnd"/>
            <w:r w:rsidRPr="003037D2">
              <w:rPr>
                <w:rFonts w:ascii="Garamond" w:hAnsi="Garamond"/>
                <w:b w:val="0"/>
                <w:bCs w:val="0"/>
                <w:sz w:val="20"/>
                <w:szCs w:val="20"/>
              </w:rPr>
              <w:t xml:space="preserve">, William </w:t>
            </w:r>
          </w:p>
        </w:tc>
        <w:tc>
          <w:tcPr>
            <w:tcW w:w="1125" w:type="dxa"/>
            <w:noWrap/>
            <w:hideMark/>
          </w:tcPr>
          <w:p w14:paraId="47CCB6F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Richard Harper</w:t>
            </w:r>
          </w:p>
        </w:tc>
        <w:tc>
          <w:tcPr>
            <w:tcW w:w="918" w:type="dxa"/>
            <w:noWrap/>
            <w:hideMark/>
          </w:tcPr>
          <w:p w14:paraId="13948D9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1639</w:t>
            </w:r>
          </w:p>
        </w:tc>
        <w:tc>
          <w:tcPr>
            <w:tcW w:w="931" w:type="dxa"/>
            <w:noWrap/>
            <w:hideMark/>
          </w:tcPr>
          <w:p w14:paraId="450945A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0FC209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1EFD0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82419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6BE273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98226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10D61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39686EF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767569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15651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771EB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641033F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2FCD5A8"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Freake</w:t>
            </w:r>
            <w:proofErr w:type="spellEnd"/>
            <w:r w:rsidRPr="003037D2">
              <w:rPr>
                <w:rFonts w:ascii="Garamond" w:hAnsi="Garamond"/>
                <w:b w:val="0"/>
                <w:bCs w:val="0"/>
                <w:sz w:val="20"/>
                <w:szCs w:val="20"/>
              </w:rPr>
              <w:t xml:space="preserve">, William </w:t>
            </w:r>
          </w:p>
        </w:tc>
        <w:tc>
          <w:tcPr>
            <w:tcW w:w="1125" w:type="dxa"/>
            <w:noWrap/>
            <w:hideMark/>
          </w:tcPr>
          <w:p w14:paraId="689D71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John Oakes</w:t>
            </w:r>
          </w:p>
        </w:tc>
        <w:tc>
          <w:tcPr>
            <w:tcW w:w="918" w:type="dxa"/>
            <w:noWrap/>
            <w:hideMark/>
          </w:tcPr>
          <w:p w14:paraId="7B24F67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1637</w:t>
            </w:r>
          </w:p>
        </w:tc>
        <w:tc>
          <w:tcPr>
            <w:tcW w:w="931" w:type="dxa"/>
            <w:noWrap/>
            <w:hideMark/>
          </w:tcPr>
          <w:p w14:paraId="5410C16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1D9261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29678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19C78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6AD2D1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4CE09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F44343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693BC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7CA247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88B4D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3349A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204FA3D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CA598B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Fuller, Thomas</w:t>
            </w:r>
          </w:p>
        </w:tc>
        <w:tc>
          <w:tcPr>
            <w:tcW w:w="1125" w:type="dxa"/>
            <w:noWrap/>
            <w:hideMark/>
          </w:tcPr>
          <w:p w14:paraId="57DF869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Nathaniel Butter</w:t>
            </w:r>
          </w:p>
        </w:tc>
        <w:tc>
          <w:tcPr>
            <w:tcW w:w="918" w:type="dxa"/>
            <w:noWrap/>
            <w:hideMark/>
          </w:tcPr>
          <w:p w14:paraId="353BCD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5234CA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4E5204D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B9123B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A1516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St. Paul's </w:t>
            </w:r>
          </w:p>
        </w:tc>
        <w:tc>
          <w:tcPr>
            <w:tcW w:w="1118" w:type="dxa"/>
            <w:noWrap/>
            <w:hideMark/>
          </w:tcPr>
          <w:p w14:paraId="26027F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8E6B4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5A1C6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3A4417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613382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end of plague </w:t>
            </w:r>
          </w:p>
        </w:tc>
        <w:tc>
          <w:tcPr>
            <w:tcW w:w="963" w:type="dxa"/>
            <w:noWrap/>
            <w:hideMark/>
          </w:tcPr>
          <w:p w14:paraId="101568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5239F51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A4D8D0E"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Fuller, William </w:t>
            </w:r>
          </w:p>
        </w:tc>
        <w:tc>
          <w:tcPr>
            <w:tcW w:w="1125" w:type="dxa"/>
            <w:noWrap/>
            <w:hideMark/>
          </w:tcPr>
          <w:p w14:paraId="7C2928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Robert Bostock</w:t>
            </w:r>
          </w:p>
        </w:tc>
        <w:tc>
          <w:tcPr>
            <w:tcW w:w="918" w:type="dxa"/>
            <w:noWrap/>
            <w:hideMark/>
          </w:tcPr>
          <w:p w14:paraId="51F17B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1628</w:t>
            </w:r>
          </w:p>
        </w:tc>
        <w:tc>
          <w:tcPr>
            <w:tcW w:w="931" w:type="dxa"/>
            <w:noWrap/>
            <w:hideMark/>
          </w:tcPr>
          <w:p w14:paraId="381B80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228B4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E9E9A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5A4B4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7AB489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AFC50A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CAF2F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7BC10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74CBB0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455112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174AC38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47B560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Fuller, William </w:t>
            </w:r>
          </w:p>
        </w:tc>
        <w:tc>
          <w:tcPr>
            <w:tcW w:w="1125" w:type="dxa"/>
            <w:noWrap/>
            <w:hideMark/>
          </w:tcPr>
          <w:p w14:paraId="5A9F537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Hodgets</w:t>
            </w:r>
            <w:proofErr w:type="spellEnd"/>
          </w:p>
        </w:tc>
        <w:tc>
          <w:tcPr>
            <w:tcW w:w="918" w:type="dxa"/>
            <w:noWrap/>
            <w:hideMark/>
          </w:tcPr>
          <w:p w14:paraId="2D527D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50B240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1670C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94BEFF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140F4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Castle </w:t>
            </w:r>
          </w:p>
        </w:tc>
        <w:tc>
          <w:tcPr>
            <w:tcW w:w="1118" w:type="dxa"/>
            <w:noWrap/>
            <w:hideMark/>
          </w:tcPr>
          <w:p w14:paraId="33F387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09629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BCFBD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B9AA7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670E66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E6F4A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E7CDD8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4541CC0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A3C0343"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Fulwar</w:t>
            </w:r>
            <w:proofErr w:type="spellEnd"/>
            <w:r w:rsidRPr="003037D2">
              <w:rPr>
                <w:rFonts w:ascii="Garamond" w:hAnsi="Garamond"/>
                <w:b w:val="0"/>
                <w:bCs w:val="0"/>
                <w:sz w:val="20"/>
                <w:szCs w:val="20"/>
              </w:rPr>
              <w:t>, Thomas</w:t>
            </w:r>
          </w:p>
        </w:tc>
        <w:tc>
          <w:tcPr>
            <w:tcW w:w="1125" w:type="dxa"/>
            <w:noWrap/>
            <w:hideMark/>
          </w:tcPr>
          <w:p w14:paraId="5B55E66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S.N.</w:t>
            </w:r>
          </w:p>
        </w:tc>
        <w:tc>
          <w:tcPr>
            <w:tcW w:w="918" w:type="dxa"/>
            <w:noWrap/>
            <w:hideMark/>
          </w:tcPr>
          <w:p w14:paraId="0975A9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01E9264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86E4B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A4CD8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108F8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Greys Inn </w:t>
            </w:r>
          </w:p>
        </w:tc>
        <w:tc>
          <w:tcPr>
            <w:tcW w:w="1118" w:type="dxa"/>
            <w:noWrap/>
            <w:hideMark/>
          </w:tcPr>
          <w:p w14:paraId="70327D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BFBDA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80A14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65CB10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3A43BC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3927D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5F64F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5A10213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83C18C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Gage, Thomas</w:t>
            </w:r>
          </w:p>
        </w:tc>
        <w:tc>
          <w:tcPr>
            <w:tcW w:w="1125" w:type="dxa"/>
            <w:noWrap/>
            <w:hideMark/>
          </w:tcPr>
          <w:p w14:paraId="048E8E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Humphrey Mosley </w:t>
            </w:r>
          </w:p>
        </w:tc>
        <w:tc>
          <w:tcPr>
            <w:tcW w:w="918" w:type="dxa"/>
            <w:noWrap/>
            <w:hideMark/>
          </w:tcPr>
          <w:p w14:paraId="6BFE0E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0C87FF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8598E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EB5FB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672560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St. Paul's </w:t>
            </w:r>
          </w:p>
        </w:tc>
        <w:tc>
          <w:tcPr>
            <w:tcW w:w="1118" w:type="dxa"/>
            <w:noWrap/>
            <w:hideMark/>
          </w:tcPr>
          <w:p w14:paraId="0B5A17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A4BA5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3072BE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52C0A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259797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39B65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B878B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3BE6724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7D65F0B"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lastRenderedPageBreak/>
              <w:t>Gamon</w:t>
            </w:r>
            <w:proofErr w:type="spellEnd"/>
            <w:r w:rsidRPr="003037D2">
              <w:rPr>
                <w:rFonts w:ascii="Garamond" w:hAnsi="Garamond"/>
                <w:b w:val="0"/>
                <w:bCs w:val="0"/>
                <w:sz w:val="20"/>
                <w:szCs w:val="20"/>
              </w:rPr>
              <w:t xml:space="preserve">, Hannibal </w:t>
            </w:r>
          </w:p>
        </w:tc>
        <w:tc>
          <w:tcPr>
            <w:tcW w:w="1125" w:type="dxa"/>
            <w:noWrap/>
            <w:hideMark/>
          </w:tcPr>
          <w:p w14:paraId="360907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Thomas Thorp</w:t>
            </w:r>
          </w:p>
        </w:tc>
        <w:tc>
          <w:tcPr>
            <w:tcW w:w="918" w:type="dxa"/>
            <w:noWrap/>
            <w:hideMark/>
          </w:tcPr>
          <w:p w14:paraId="137975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358AA7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353D6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26A686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733BA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0674F9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0885A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A1675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6AB4B2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312030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ADEA3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A42B3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41F574A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2BA3887"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Gamon</w:t>
            </w:r>
            <w:proofErr w:type="spellEnd"/>
            <w:r w:rsidRPr="003037D2">
              <w:rPr>
                <w:rFonts w:ascii="Garamond" w:hAnsi="Garamond"/>
                <w:b w:val="0"/>
                <w:bCs w:val="0"/>
                <w:sz w:val="20"/>
                <w:szCs w:val="20"/>
              </w:rPr>
              <w:t xml:space="preserve">, Hannibal </w:t>
            </w:r>
          </w:p>
        </w:tc>
        <w:tc>
          <w:tcPr>
            <w:tcW w:w="1125" w:type="dxa"/>
            <w:noWrap/>
            <w:hideMark/>
          </w:tcPr>
          <w:p w14:paraId="0D1751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Clark </w:t>
            </w:r>
          </w:p>
        </w:tc>
        <w:tc>
          <w:tcPr>
            <w:tcW w:w="918" w:type="dxa"/>
            <w:noWrap/>
            <w:hideMark/>
          </w:tcPr>
          <w:p w14:paraId="52A85A9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1629</w:t>
            </w:r>
          </w:p>
        </w:tc>
        <w:tc>
          <w:tcPr>
            <w:tcW w:w="931" w:type="dxa"/>
            <w:noWrap/>
            <w:hideMark/>
          </w:tcPr>
          <w:p w14:paraId="1FA827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10F82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B1295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3031E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19A692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64B53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2D9FB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6F9B8A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3D2D9D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9F8B9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5E735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5542BB1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0896A90"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Gamon</w:t>
            </w:r>
            <w:proofErr w:type="spellEnd"/>
            <w:r w:rsidRPr="003037D2">
              <w:rPr>
                <w:rFonts w:ascii="Garamond" w:hAnsi="Garamond"/>
                <w:b w:val="0"/>
                <w:bCs w:val="0"/>
                <w:sz w:val="20"/>
                <w:szCs w:val="20"/>
              </w:rPr>
              <w:t xml:space="preserve">, Hannibal </w:t>
            </w:r>
          </w:p>
        </w:tc>
        <w:tc>
          <w:tcPr>
            <w:tcW w:w="1125" w:type="dxa"/>
            <w:noWrap/>
            <w:hideMark/>
          </w:tcPr>
          <w:p w14:paraId="32C9D0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Grismand</w:t>
            </w:r>
            <w:proofErr w:type="spellEnd"/>
          </w:p>
        </w:tc>
        <w:tc>
          <w:tcPr>
            <w:tcW w:w="918" w:type="dxa"/>
            <w:noWrap/>
            <w:hideMark/>
          </w:tcPr>
          <w:p w14:paraId="035A70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1627</w:t>
            </w:r>
          </w:p>
        </w:tc>
        <w:tc>
          <w:tcPr>
            <w:tcW w:w="931" w:type="dxa"/>
            <w:noWrap/>
            <w:hideMark/>
          </w:tcPr>
          <w:p w14:paraId="3F88A1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77B45B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D290E2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B11F2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4A91C3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4F8FC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F08DB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1D8146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1993D23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56F377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20243CF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C10C86E"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Gardiner, Richard</w:t>
            </w:r>
          </w:p>
        </w:tc>
        <w:tc>
          <w:tcPr>
            <w:tcW w:w="1125" w:type="dxa"/>
            <w:noWrap/>
            <w:hideMark/>
          </w:tcPr>
          <w:p w14:paraId="2AE62B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 Royston </w:t>
            </w:r>
          </w:p>
        </w:tc>
        <w:tc>
          <w:tcPr>
            <w:tcW w:w="918" w:type="dxa"/>
            <w:noWrap/>
            <w:hideMark/>
          </w:tcPr>
          <w:p w14:paraId="5B0EA5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5BE0E1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D3DFCF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E1E712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0E72A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1F5C01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7B0FF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C5735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89F4E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229BC7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D321D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6A702D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578FE57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9444B57"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Gardiner, Richard</w:t>
            </w:r>
          </w:p>
        </w:tc>
        <w:tc>
          <w:tcPr>
            <w:tcW w:w="1125" w:type="dxa"/>
            <w:noWrap/>
            <w:hideMark/>
          </w:tcPr>
          <w:p w14:paraId="3C0B20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 Royston </w:t>
            </w:r>
          </w:p>
        </w:tc>
        <w:tc>
          <w:tcPr>
            <w:tcW w:w="918" w:type="dxa"/>
            <w:noWrap/>
            <w:hideMark/>
          </w:tcPr>
          <w:p w14:paraId="11EA847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6CE801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B83D2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2B316C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21584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2E9155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87C3F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18FF6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AE197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7B8917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inauguration </w:t>
            </w:r>
          </w:p>
        </w:tc>
        <w:tc>
          <w:tcPr>
            <w:tcW w:w="963" w:type="dxa"/>
            <w:noWrap/>
            <w:hideMark/>
          </w:tcPr>
          <w:p w14:paraId="55667B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495ECEB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66376C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Gardiner, Richard</w:t>
            </w:r>
          </w:p>
        </w:tc>
        <w:tc>
          <w:tcPr>
            <w:tcW w:w="1125" w:type="dxa"/>
            <w:noWrap/>
            <w:hideMark/>
          </w:tcPr>
          <w:p w14:paraId="70CF80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Matthew Hunt </w:t>
            </w:r>
          </w:p>
        </w:tc>
        <w:tc>
          <w:tcPr>
            <w:tcW w:w="918" w:type="dxa"/>
            <w:noWrap/>
            <w:hideMark/>
          </w:tcPr>
          <w:p w14:paraId="637397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1639</w:t>
            </w:r>
          </w:p>
        </w:tc>
        <w:tc>
          <w:tcPr>
            <w:tcW w:w="931" w:type="dxa"/>
            <w:noWrap/>
            <w:hideMark/>
          </w:tcPr>
          <w:p w14:paraId="6479B3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BF04E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CFE32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EE5009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Cathedral </w:t>
            </w:r>
          </w:p>
        </w:tc>
        <w:tc>
          <w:tcPr>
            <w:tcW w:w="1118" w:type="dxa"/>
            <w:noWrap/>
            <w:hideMark/>
          </w:tcPr>
          <w:p w14:paraId="325581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54C0B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1588D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5D34E1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50BA452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4FCE3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4AA03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7C7CBE9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52D26E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Gardiner, Richard</w:t>
            </w:r>
          </w:p>
        </w:tc>
        <w:tc>
          <w:tcPr>
            <w:tcW w:w="1125" w:type="dxa"/>
            <w:noWrap/>
            <w:hideMark/>
          </w:tcPr>
          <w:p w14:paraId="403995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William Davis </w:t>
            </w:r>
          </w:p>
        </w:tc>
        <w:tc>
          <w:tcPr>
            <w:tcW w:w="918" w:type="dxa"/>
            <w:noWrap/>
            <w:hideMark/>
          </w:tcPr>
          <w:p w14:paraId="7C1EA5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1638</w:t>
            </w:r>
          </w:p>
        </w:tc>
        <w:tc>
          <w:tcPr>
            <w:tcW w:w="931" w:type="dxa"/>
            <w:noWrap/>
            <w:hideMark/>
          </w:tcPr>
          <w:p w14:paraId="3ECD05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5A640A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AFD1E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B8BABE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Cathedral </w:t>
            </w:r>
          </w:p>
        </w:tc>
        <w:tc>
          <w:tcPr>
            <w:tcW w:w="1118" w:type="dxa"/>
            <w:noWrap/>
            <w:hideMark/>
          </w:tcPr>
          <w:p w14:paraId="684F5C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79C2D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D777A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7B9F58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Christmas </w:t>
            </w:r>
          </w:p>
        </w:tc>
        <w:tc>
          <w:tcPr>
            <w:tcW w:w="1093" w:type="dxa"/>
            <w:noWrap/>
            <w:hideMark/>
          </w:tcPr>
          <w:p w14:paraId="2B0A38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21D637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5F81A7E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8A981B3"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Gardiner, Richard</w:t>
            </w:r>
          </w:p>
        </w:tc>
        <w:tc>
          <w:tcPr>
            <w:tcW w:w="1125" w:type="dxa"/>
            <w:noWrap/>
            <w:hideMark/>
          </w:tcPr>
          <w:p w14:paraId="79E182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Francis Bowman</w:t>
            </w:r>
          </w:p>
        </w:tc>
        <w:tc>
          <w:tcPr>
            <w:tcW w:w="918" w:type="dxa"/>
            <w:noWrap/>
            <w:hideMark/>
          </w:tcPr>
          <w:p w14:paraId="5B64A7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1638</w:t>
            </w:r>
          </w:p>
        </w:tc>
        <w:tc>
          <w:tcPr>
            <w:tcW w:w="931" w:type="dxa"/>
            <w:noWrap/>
            <w:hideMark/>
          </w:tcPr>
          <w:p w14:paraId="3F79D0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3F3EE9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B9F1A4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1BF0E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299550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03A7F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F4768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316F61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 calendar - Easter</w:t>
            </w:r>
          </w:p>
        </w:tc>
        <w:tc>
          <w:tcPr>
            <w:tcW w:w="1093" w:type="dxa"/>
            <w:noWrap/>
            <w:hideMark/>
          </w:tcPr>
          <w:p w14:paraId="18F7E2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8B1FE9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01D8E61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C13EF5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Gardiner, Richard</w:t>
            </w:r>
          </w:p>
        </w:tc>
        <w:tc>
          <w:tcPr>
            <w:tcW w:w="1125" w:type="dxa"/>
            <w:noWrap/>
            <w:hideMark/>
          </w:tcPr>
          <w:p w14:paraId="73D09D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William Davis </w:t>
            </w:r>
          </w:p>
        </w:tc>
        <w:tc>
          <w:tcPr>
            <w:tcW w:w="918" w:type="dxa"/>
            <w:noWrap/>
            <w:hideMark/>
          </w:tcPr>
          <w:p w14:paraId="25274A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6F69C3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76B52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B4183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B5442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0A93A0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C88878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CC549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37B2B0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w:t>
            </w:r>
          </w:p>
        </w:tc>
        <w:tc>
          <w:tcPr>
            <w:tcW w:w="1093" w:type="dxa"/>
            <w:noWrap/>
            <w:hideMark/>
          </w:tcPr>
          <w:p w14:paraId="5D22E0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E06B1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4D22FF3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8FF1B0D"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Gataker</w:t>
            </w:r>
            <w:proofErr w:type="spellEnd"/>
            <w:r w:rsidRPr="003037D2">
              <w:rPr>
                <w:rFonts w:ascii="Garamond" w:hAnsi="Garamond"/>
                <w:b w:val="0"/>
                <w:bCs w:val="0"/>
                <w:sz w:val="20"/>
                <w:szCs w:val="20"/>
              </w:rPr>
              <w:t>, Thomas</w:t>
            </w:r>
          </w:p>
        </w:tc>
        <w:tc>
          <w:tcPr>
            <w:tcW w:w="1125" w:type="dxa"/>
            <w:noWrap/>
            <w:hideMark/>
          </w:tcPr>
          <w:p w14:paraId="6DBDAB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spellStart"/>
            <w:r w:rsidRPr="003037D2">
              <w:rPr>
                <w:rFonts w:ascii="Garamond" w:hAnsi="Garamond"/>
                <w:sz w:val="20"/>
                <w:szCs w:val="20"/>
              </w:rPr>
              <w:t>Fulke</w:t>
            </w:r>
            <w:proofErr w:type="spellEnd"/>
            <w:r w:rsidRPr="003037D2">
              <w:rPr>
                <w:rFonts w:ascii="Garamond" w:hAnsi="Garamond"/>
                <w:sz w:val="20"/>
                <w:szCs w:val="20"/>
              </w:rPr>
              <w:t xml:space="preserve"> Clifton </w:t>
            </w:r>
          </w:p>
        </w:tc>
        <w:tc>
          <w:tcPr>
            <w:tcW w:w="918" w:type="dxa"/>
            <w:noWrap/>
            <w:hideMark/>
          </w:tcPr>
          <w:p w14:paraId="2072B0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6AD8D1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AF14D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6378F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C79C3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Blackfriars </w:t>
            </w:r>
          </w:p>
        </w:tc>
        <w:tc>
          <w:tcPr>
            <w:tcW w:w="1118" w:type="dxa"/>
            <w:noWrap/>
            <w:hideMark/>
          </w:tcPr>
          <w:p w14:paraId="36516E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D01F9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FDE1D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072C919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53DADD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E806E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02817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477FC7E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2A5566A"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Gataker</w:t>
            </w:r>
            <w:proofErr w:type="spellEnd"/>
            <w:r w:rsidRPr="003037D2">
              <w:rPr>
                <w:rFonts w:ascii="Garamond" w:hAnsi="Garamond"/>
                <w:b w:val="0"/>
                <w:bCs w:val="0"/>
                <w:sz w:val="20"/>
                <w:szCs w:val="20"/>
              </w:rPr>
              <w:t>, Thomas</w:t>
            </w:r>
          </w:p>
        </w:tc>
        <w:tc>
          <w:tcPr>
            <w:tcW w:w="1125" w:type="dxa"/>
            <w:noWrap/>
            <w:hideMark/>
          </w:tcPr>
          <w:p w14:paraId="2BF109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Edward Blount </w:t>
            </w:r>
          </w:p>
        </w:tc>
        <w:tc>
          <w:tcPr>
            <w:tcW w:w="918" w:type="dxa"/>
            <w:noWrap/>
            <w:hideMark/>
          </w:tcPr>
          <w:p w14:paraId="58FD00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7D0021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924FF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B71EA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C4BF7A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596893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BF7A9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7289B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3BDB40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visitation </w:t>
            </w:r>
          </w:p>
        </w:tc>
        <w:tc>
          <w:tcPr>
            <w:tcW w:w="1093" w:type="dxa"/>
            <w:noWrap/>
            <w:hideMark/>
          </w:tcPr>
          <w:p w14:paraId="6535137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03836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FBEB79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C23CD12"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Gataker</w:t>
            </w:r>
            <w:proofErr w:type="spellEnd"/>
            <w:r w:rsidRPr="003037D2">
              <w:rPr>
                <w:rFonts w:ascii="Garamond" w:hAnsi="Garamond"/>
                <w:b w:val="0"/>
                <w:bCs w:val="0"/>
                <w:sz w:val="20"/>
                <w:szCs w:val="20"/>
              </w:rPr>
              <w:t>, Thomas</w:t>
            </w:r>
          </w:p>
        </w:tc>
        <w:tc>
          <w:tcPr>
            <w:tcW w:w="1125" w:type="dxa"/>
            <w:noWrap/>
            <w:hideMark/>
          </w:tcPr>
          <w:p w14:paraId="547EE63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William </w:t>
            </w:r>
            <w:proofErr w:type="spellStart"/>
            <w:r w:rsidRPr="003037D2">
              <w:rPr>
                <w:rFonts w:ascii="Garamond" w:hAnsi="Garamond"/>
                <w:sz w:val="20"/>
                <w:szCs w:val="20"/>
              </w:rPr>
              <w:t>Sheffard</w:t>
            </w:r>
            <w:proofErr w:type="spellEnd"/>
            <w:r w:rsidRPr="003037D2">
              <w:rPr>
                <w:rFonts w:ascii="Garamond" w:hAnsi="Garamond"/>
                <w:sz w:val="20"/>
                <w:szCs w:val="20"/>
              </w:rPr>
              <w:t xml:space="preserve"> </w:t>
            </w:r>
          </w:p>
        </w:tc>
        <w:tc>
          <w:tcPr>
            <w:tcW w:w="918" w:type="dxa"/>
            <w:noWrap/>
            <w:hideMark/>
          </w:tcPr>
          <w:p w14:paraId="235261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1621</w:t>
            </w:r>
          </w:p>
        </w:tc>
        <w:tc>
          <w:tcPr>
            <w:tcW w:w="931" w:type="dxa"/>
            <w:noWrap/>
            <w:hideMark/>
          </w:tcPr>
          <w:p w14:paraId="2A7B50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7CCCA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673C0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1A872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Sergeants Inn</w:t>
            </w:r>
          </w:p>
        </w:tc>
        <w:tc>
          <w:tcPr>
            <w:tcW w:w="1118" w:type="dxa"/>
            <w:noWrap/>
            <w:hideMark/>
          </w:tcPr>
          <w:p w14:paraId="36461E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B0B8D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53A9DF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74CC137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541439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6E888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1CBBA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159E29E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294DAD8"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lastRenderedPageBreak/>
              <w:t>Gauden</w:t>
            </w:r>
            <w:proofErr w:type="spellEnd"/>
            <w:r w:rsidRPr="003037D2">
              <w:rPr>
                <w:rFonts w:ascii="Garamond" w:hAnsi="Garamond"/>
                <w:b w:val="0"/>
                <w:bCs w:val="0"/>
                <w:sz w:val="20"/>
                <w:szCs w:val="20"/>
              </w:rPr>
              <w:t>, John</w:t>
            </w:r>
          </w:p>
        </w:tc>
        <w:tc>
          <w:tcPr>
            <w:tcW w:w="1125" w:type="dxa"/>
            <w:noWrap/>
            <w:hideMark/>
          </w:tcPr>
          <w:p w14:paraId="739C47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Andrew Crooke</w:t>
            </w:r>
          </w:p>
        </w:tc>
        <w:tc>
          <w:tcPr>
            <w:tcW w:w="918" w:type="dxa"/>
            <w:noWrap/>
            <w:hideMark/>
          </w:tcPr>
          <w:p w14:paraId="4D7166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12716A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41A68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4335A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12DBF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House of commons</w:t>
            </w:r>
          </w:p>
        </w:tc>
        <w:tc>
          <w:tcPr>
            <w:tcW w:w="1118" w:type="dxa"/>
            <w:noWrap/>
            <w:hideMark/>
          </w:tcPr>
          <w:p w14:paraId="332A01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D7660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15C46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BFEE2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7C473A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3AC9D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01D0D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16D4E30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FBB300D"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Gee, Edward</w:t>
            </w:r>
          </w:p>
        </w:tc>
        <w:tc>
          <w:tcPr>
            <w:tcW w:w="1125" w:type="dxa"/>
            <w:noWrap/>
            <w:hideMark/>
          </w:tcPr>
          <w:p w14:paraId="7B2F63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Nathaniel Butter</w:t>
            </w:r>
          </w:p>
        </w:tc>
        <w:tc>
          <w:tcPr>
            <w:tcW w:w="918" w:type="dxa"/>
            <w:noWrap/>
            <w:hideMark/>
          </w:tcPr>
          <w:p w14:paraId="64070F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7DD7D7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035" w:type="dxa"/>
            <w:noWrap/>
            <w:hideMark/>
          </w:tcPr>
          <w:p w14:paraId="5C6037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2365B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2A5629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4680B39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981" w:type="dxa"/>
            <w:noWrap/>
            <w:hideMark/>
          </w:tcPr>
          <w:p w14:paraId="52764BA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F41D8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3C1E90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7B98F1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5843D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D4A4F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09AFF1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0158D3C"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Gee, Edward</w:t>
            </w:r>
          </w:p>
        </w:tc>
        <w:tc>
          <w:tcPr>
            <w:tcW w:w="1125" w:type="dxa"/>
            <w:noWrap/>
            <w:hideMark/>
          </w:tcPr>
          <w:p w14:paraId="55D7F1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w:t>
            </w:r>
            <w:proofErr w:type="spellStart"/>
            <w:r w:rsidRPr="003037D2">
              <w:rPr>
                <w:rFonts w:ascii="Garamond" w:hAnsi="Garamond"/>
                <w:sz w:val="20"/>
                <w:szCs w:val="20"/>
              </w:rPr>
              <w:t>Mylbourne</w:t>
            </w:r>
            <w:proofErr w:type="spellEnd"/>
          </w:p>
        </w:tc>
        <w:tc>
          <w:tcPr>
            <w:tcW w:w="918" w:type="dxa"/>
            <w:noWrap/>
            <w:hideMark/>
          </w:tcPr>
          <w:p w14:paraId="585A24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153958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4130B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99D9EB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EDF9EA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53D5B5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898F5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F1042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1DE1032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5C43C3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EB832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B7CDF9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08805D7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5392824"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Gibson, Samuel </w:t>
            </w:r>
          </w:p>
        </w:tc>
        <w:tc>
          <w:tcPr>
            <w:tcW w:w="1125" w:type="dxa"/>
            <w:noWrap/>
            <w:hideMark/>
          </w:tcPr>
          <w:p w14:paraId="3CC5C0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William Barringer </w:t>
            </w:r>
          </w:p>
        </w:tc>
        <w:tc>
          <w:tcPr>
            <w:tcW w:w="918" w:type="dxa"/>
            <w:noWrap/>
            <w:hideMark/>
          </w:tcPr>
          <w:p w14:paraId="0978A2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73ED11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8CC14F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84CBF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35259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793C02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E29A9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F4B84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F2EBC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7EF1A7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visitation </w:t>
            </w:r>
          </w:p>
        </w:tc>
        <w:tc>
          <w:tcPr>
            <w:tcW w:w="963" w:type="dxa"/>
            <w:noWrap/>
            <w:hideMark/>
          </w:tcPr>
          <w:p w14:paraId="17B4A7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2CB8C35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F8EB908"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Gilpin</w:t>
            </w:r>
            <w:proofErr w:type="spellEnd"/>
            <w:r w:rsidRPr="003037D2">
              <w:rPr>
                <w:rFonts w:ascii="Garamond" w:hAnsi="Garamond"/>
                <w:b w:val="0"/>
                <w:bCs w:val="0"/>
                <w:sz w:val="20"/>
                <w:szCs w:val="20"/>
              </w:rPr>
              <w:t xml:space="preserve">, Bernard </w:t>
            </w:r>
          </w:p>
        </w:tc>
        <w:tc>
          <w:tcPr>
            <w:tcW w:w="1125" w:type="dxa"/>
            <w:noWrap/>
            <w:hideMark/>
          </w:tcPr>
          <w:p w14:paraId="615D4C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William Jones </w:t>
            </w:r>
          </w:p>
        </w:tc>
        <w:tc>
          <w:tcPr>
            <w:tcW w:w="918" w:type="dxa"/>
            <w:noWrap/>
            <w:hideMark/>
          </w:tcPr>
          <w:p w14:paraId="533CBC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5C0D43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03ECF8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4FEED8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2EC27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 Greenwich </w:t>
            </w:r>
          </w:p>
        </w:tc>
        <w:tc>
          <w:tcPr>
            <w:tcW w:w="1118" w:type="dxa"/>
            <w:noWrap/>
            <w:hideMark/>
          </w:tcPr>
          <w:p w14:paraId="28C4393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AD3BA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7A525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15A210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w:t>
            </w:r>
          </w:p>
        </w:tc>
        <w:tc>
          <w:tcPr>
            <w:tcW w:w="1093" w:type="dxa"/>
            <w:noWrap/>
            <w:hideMark/>
          </w:tcPr>
          <w:p w14:paraId="05618A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9F8E6B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6854906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72AC2E9"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Goffe</w:t>
            </w:r>
            <w:proofErr w:type="spellEnd"/>
            <w:r w:rsidRPr="003037D2">
              <w:rPr>
                <w:rFonts w:ascii="Garamond" w:hAnsi="Garamond"/>
                <w:b w:val="0"/>
                <w:bCs w:val="0"/>
                <w:sz w:val="20"/>
                <w:szCs w:val="20"/>
              </w:rPr>
              <w:t xml:space="preserve">, Thomas </w:t>
            </w:r>
          </w:p>
        </w:tc>
        <w:tc>
          <w:tcPr>
            <w:tcW w:w="1125" w:type="dxa"/>
            <w:noWrap/>
            <w:hideMark/>
          </w:tcPr>
          <w:p w14:paraId="4E844A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Ralph Mab </w:t>
            </w:r>
          </w:p>
        </w:tc>
        <w:tc>
          <w:tcPr>
            <w:tcW w:w="918" w:type="dxa"/>
            <w:noWrap/>
            <w:hideMark/>
          </w:tcPr>
          <w:p w14:paraId="4429D8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1627</w:t>
            </w:r>
          </w:p>
        </w:tc>
        <w:tc>
          <w:tcPr>
            <w:tcW w:w="931" w:type="dxa"/>
            <w:noWrap/>
            <w:hideMark/>
          </w:tcPr>
          <w:p w14:paraId="145156B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F7974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175D0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5FDEAE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7CE5FB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DDDA5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B1A50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1B7E434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55E840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Easter Week </w:t>
            </w:r>
          </w:p>
        </w:tc>
        <w:tc>
          <w:tcPr>
            <w:tcW w:w="963" w:type="dxa"/>
            <w:noWrap/>
            <w:hideMark/>
          </w:tcPr>
          <w:p w14:paraId="4A0622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2B8B939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F34B728"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Goodwin, John </w:t>
            </w:r>
          </w:p>
        </w:tc>
        <w:tc>
          <w:tcPr>
            <w:tcW w:w="1125" w:type="dxa"/>
            <w:noWrap/>
            <w:hideMark/>
          </w:tcPr>
          <w:p w14:paraId="746337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 Cole </w:t>
            </w:r>
          </w:p>
        </w:tc>
        <w:tc>
          <w:tcPr>
            <w:tcW w:w="918" w:type="dxa"/>
            <w:noWrap/>
            <w:hideMark/>
          </w:tcPr>
          <w:p w14:paraId="1D43A6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4746CA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035" w:type="dxa"/>
            <w:noWrap/>
            <w:hideMark/>
          </w:tcPr>
          <w:p w14:paraId="01DEA7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5D896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11D1D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04FAB9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19D78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12CC7C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1DF8886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1093" w:type="dxa"/>
            <w:noWrap/>
            <w:hideMark/>
          </w:tcPr>
          <w:p w14:paraId="629524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E9956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24CFB3F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4A9541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Goodwin, John </w:t>
            </w:r>
          </w:p>
        </w:tc>
        <w:tc>
          <w:tcPr>
            <w:tcW w:w="1125" w:type="dxa"/>
            <w:noWrap/>
            <w:hideMark/>
          </w:tcPr>
          <w:p w14:paraId="0F0B6FC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William </w:t>
            </w:r>
            <w:proofErr w:type="spellStart"/>
            <w:r w:rsidRPr="003037D2">
              <w:rPr>
                <w:rFonts w:ascii="Garamond" w:hAnsi="Garamond"/>
                <w:sz w:val="20"/>
                <w:szCs w:val="20"/>
              </w:rPr>
              <w:t>Larnar</w:t>
            </w:r>
            <w:proofErr w:type="spellEnd"/>
            <w:r w:rsidRPr="003037D2">
              <w:rPr>
                <w:rFonts w:ascii="Garamond" w:hAnsi="Garamond"/>
                <w:sz w:val="20"/>
                <w:szCs w:val="20"/>
              </w:rPr>
              <w:t xml:space="preserve"> </w:t>
            </w:r>
          </w:p>
        </w:tc>
        <w:tc>
          <w:tcPr>
            <w:tcW w:w="918" w:type="dxa"/>
            <w:noWrap/>
            <w:hideMark/>
          </w:tcPr>
          <w:p w14:paraId="44CB66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4A1F94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389E27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662A9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2120E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79CAF6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A5957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07D9E2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E28952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75EFF8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211AB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AE741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2C7592E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F36BE1A"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Goodwin, Thomas</w:t>
            </w:r>
          </w:p>
        </w:tc>
        <w:tc>
          <w:tcPr>
            <w:tcW w:w="1125" w:type="dxa"/>
            <w:noWrap/>
            <w:hideMark/>
          </w:tcPr>
          <w:p w14:paraId="0227C2F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Francis </w:t>
            </w:r>
            <w:proofErr w:type="spellStart"/>
            <w:r w:rsidRPr="003037D2">
              <w:rPr>
                <w:rFonts w:ascii="Garamond" w:hAnsi="Garamond"/>
                <w:sz w:val="20"/>
                <w:szCs w:val="20"/>
              </w:rPr>
              <w:t>Eglesfield</w:t>
            </w:r>
            <w:proofErr w:type="spellEnd"/>
            <w:r w:rsidRPr="003037D2">
              <w:rPr>
                <w:rFonts w:ascii="Garamond" w:hAnsi="Garamond"/>
                <w:sz w:val="20"/>
                <w:szCs w:val="20"/>
              </w:rPr>
              <w:t xml:space="preserve"> </w:t>
            </w:r>
          </w:p>
        </w:tc>
        <w:tc>
          <w:tcPr>
            <w:tcW w:w="918" w:type="dxa"/>
            <w:noWrap/>
            <w:hideMark/>
          </w:tcPr>
          <w:p w14:paraId="4A6F37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27A585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4027E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EC5222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BBC17E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House of Commons </w:t>
            </w:r>
          </w:p>
        </w:tc>
        <w:tc>
          <w:tcPr>
            <w:tcW w:w="1118" w:type="dxa"/>
            <w:noWrap/>
            <w:hideMark/>
          </w:tcPr>
          <w:p w14:paraId="69EE85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E9139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446D7E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CD4AE1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1626F8D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Event - feast</w:t>
            </w:r>
          </w:p>
        </w:tc>
        <w:tc>
          <w:tcPr>
            <w:tcW w:w="1093" w:type="dxa"/>
            <w:noWrap/>
            <w:hideMark/>
          </w:tcPr>
          <w:p w14:paraId="702596E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D1A7E8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01AFB5B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591A43A"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Gore, John </w:t>
            </w:r>
          </w:p>
        </w:tc>
        <w:tc>
          <w:tcPr>
            <w:tcW w:w="1125" w:type="dxa"/>
            <w:noWrap/>
            <w:hideMark/>
          </w:tcPr>
          <w:p w14:paraId="2F5605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w:t>
            </w:r>
            <w:proofErr w:type="spellStart"/>
            <w:r w:rsidRPr="003037D2">
              <w:rPr>
                <w:rFonts w:ascii="Garamond" w:hAnsi="Garamond"/>
                <w:sz w:val="20"/>
                <w:szCs w:val="20"/>
              </w:rPr>
              <w:t>Alchorn</w:t>
            </w:r>
            <w:proofErr w:type="spellEnd"/>
            <w:r w:rsidRPr="003037D2">
              <w:rPr>
                <w:rFonts w:ascii="Garamond" w:hAnsi="Garamond"/>
                <w:sz w:val="20"/>
                <w:szCs w:val="20"/>
              </w:rPr>
              <w:t xml:space="preserve"> </w:t>
            </w:r>
          </w:p>
        </w:tc>
        <w:tc>
          <w:tcPr>
            <w:tcW w:w="918" w:type="dxa"/>
            <w:noWrap/>
            <w:hideMark/>
          </w:tcPr>
          <w:p w14:paraId="1223ED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1638</w:t>
            </w:r>
          </w:p>
        </w:tc>
        <w:tc>
          <w:tcPr>
            <w:tcW w:w="931" w:type="dxa"/>
            <w:noWrap/>
            <w:hideMark/>
          </w:tcPr>
          <w:p w14:paraId="076A71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99749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BF7C6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B899B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St. Paul's </w:t>
            </w:r>
          </w:p>
        </w:tc>
        <w:tc>
          <w:tcPr>
            <w:tcW w:w="1118" w:type="dxa"/>
            <w:noWrap/>
            <w:hideMark/>
          </w:tcPr>
          <w:p w14:paraId="791568F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567FA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0FF4B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1CF378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35362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0EC0A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A545E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5456020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CDAA40A"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Gore, John </w:t>
            </w:r>
          </w:p>
        </w:tc>
        <w:tc>
          <w:tcPr>
            <w:tcW w:w="1125" w:type="dxa"/>
            <w:noWrap/>
            <w:hideMark/>
          </w:tcPr>
          <w:p w14:paraId="7AD3F1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w:t>
            </w:r>
            <w:proofErr w:type="spellStart"/>
            <w:r w:rsidRPr="003037D2">
              <w:rPr>
                <w:rFonts w:ascii="Garamond" w:hAnsi="Garamond"/>
                <w:sz w:val="20"/>
                <w:szCs w:val="20"/>
              </w:rPr>
              <w:t>Alchorn</w:t>
            </w:r>
            <w:proofErr w:type="spellEnd"/>
            <w:r w:rsidRPr="003037D2">
              <w:rPr>
                <w:rFonts w:ascii="Garamond" w:hAnsi="Garamond"/>
                <w:sz w:val="20"/>
                <w:szCs w:val="20"/>
              </w:rPr>
              <w:t xml:space="preserve"> </w:t>
            </w:r>
          </w:p>
        </w:tc>
        <w:tc>
          <w:tcPr>
            <w:tcW w:w="918" w:type="dxa"/>
            <w:noWrap/>
            <w:hideMark/>
          </w:tcPr>
          <w:p w14:paraId="2FF0DC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1639</w:t>
            </w:r>
          </w:p>
        </w:tc>
        <w:tc>
          <w:tcPr>
            <w:tcW w:w="931" w:type="dxa"/>
            <w:noWrap/>
            <w:hideMark/>
          </w:tcPr>
          <w:p w14:paraId="4639CBE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32506F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2C041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48B69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w:t>
            </w:r>
          </w:p>
        </w:tc>
        <w:tc>
          <w:tcPr>
            <w:tcW w:w="1118" w:type="dxa"/>
            <w:noWrap/>
            <w:hideMark/>
          </w:tcPr>
          <w:p w14:paraId="634B25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4F0DF3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7AF65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ECFB5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 year </w:t>
            </w:r>
          </w:p>
        </w:tc>
        <w:tc>
          <w:tcPr>
            <w:tcW w:w="965" w:type="dxa"/>
            <w:noWrap/>
            <w:hideMark/>
          </w:tcPr>
          <w:p w14:paraId="6166D2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0A9069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F6F1A7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410EEE9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29850AA"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Gore, John </w:t>
            </w:r>
          </w:p>
        </w:tc>
        <w:tc>
          <w:tcPr>
            <w:tcW w:w="1125" w:type="dxa"/>
            <w:noWrap/>
            <w:hideMark/>
          </w:tcPr>
          <w:p w14:paraId="285B2A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w:t>
            </w:r>
            <w:proofErr w:type="spellStart"/>
            <w:r w:rsidRPr="003037D2">
              <w:rPr>
                <w:rFonts w:ascii="Garamond" w:hAnsi="Garamond"/>
                <w:sz w:val="20"/>
                <w:szCs w:val="20"/>
              </w:rPr>
              <w:t>Alchorn</w:t>
            </w:r>
            <w:proofErr w:type="spellEnd"/>
            <w:r w:rsidRPr="003037D2">
              <w:rPr>
                <w:rFonts w:ascii="Garamond" w:hAnsi="Garamond"/>
                <w:sz w:val="20"/>
                <w:szCs w:val="20"/>
              </w:rPr>
              <w:t xml:space="preserve"> </w:t>
            </w:r>
          </w:p>
        </w:tc>
        <w:tc>
          <w:tcPr>
            <w:tcW w:w="918" w:type="dxa"/>
            <w:noWrap/>
            <w:hideMark/>
          </w:tcPr>
          <w:p w14:paraId="4C88B8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1639</w:t>
            </w:r>
          </w:p>
        </w:tc>
        <w:tc>
          <w:tcPr>
            <w:tcW w:w="931" w:type="dxa"/>
            <w:noWrap/>
            <w:hideMark/>
          </w:tcPr>
          <w:p w14:paraId="340DAC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0BAA04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4774F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039DB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St. Paul's </w:t>
            </w:r>
          </w:p>
        </w:tc>
        <w:tc>
          <w:tcPr>
            <w:tcW w:w="1118" w:type="dxa"/>
            <w:noWrap/>
            <w:hideMark/>
          </w:tcPr>
          <w:p w14:paraId="06AF23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7F375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1ED6A1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C0C89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 year </w:t>
            </w:r>
          </w:p>
        </w:tc>
        <w:tc>
          <w:tcPr>
            <w:tcW w:w="965" w:type="dxa"/>
            <w:noWrap/>
            <w:hideMark/>
          </w:tcPr>
          <w:p w14:paraId="7812C1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2A484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C721E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65356F4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4E42CC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Gore, John </w:t>
            </w:r>
          </w:p>
        </w:tc>
        <w:tc>
          <w:tcPr>
            <w:tcW w:w="1125" w:type="dxa"/>
            <w:noWrap/>
            <w:hideMark/>
          </w:tcPr>
          <w:p w14:paraId="7097069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w:t>
            </w:r>
            <w:proofErr w:type="spellStart"/>
            <w:r w:rsidRPr="003037D2">
              <w:rPr>
                <w:rFonts w:ascii="Garamond" w:hAnsi="Garamond"/>
                <w:sz w:val="20"/>
                <w:szCs w:val="20"/>
              </w:rPr>
              <w:t>Alchorn</w:t>
            </w:r>
            <w:proofErr w:type="spellEnd"/>
            <w:r w:rsidRPr="003037D2">
              <w:rPr>
                <w:rFonts w:ascii="Garamond" w:hAnsi="Garamond"/>
                <w:sz w:val="20"/>
                <w:szCs w:val="20"/>
              </w:rPr>
              <w:t xml:space="preserve"> </w:t>
            </w:r>
          </w:p>
        </w:tc>
        <w:tc>
          <w:tcPr>
            <w:tcW w:w="918" w:type="dxa"/>
            <w:noWrap/>
            <w:hideMark/>
          </w:tcPr>
          <w:p w14:paraId="6CE5AE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1634</w:t>
            </w:r>
          </w:p>
        </w:tc>
        <w:tc>
          <w:tcPr>
            <w:tcW w:w="931" w:type="dxa"/>
            <w:noWrap/>
            <w:hideMark/>
          </w:tcPr>
          <w:p w14:paraId="427541C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76903E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2C766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6B4DF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St. Paul's </w:t>
            </w:r>
          </w:p>
        </w:tc>
        <w:tc>
          <w:tcPr>
            <w:tcW w:w="1118" w:type="dxa"/>
            <w:noWrap/>
            <w:hideMark/>
          </w:tcPr>
          <w:p w14:paraId="53F2BD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26C6F8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4FE9C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6BC3A4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1E14B4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w:t>
            </w:r>
          </w:p>
        </w:tc>
        <w:tc>
          <w:tcPr>
            <w:tcW w:w="963" w:type="dxa"/>
            <w:noWrap/>
            <w:hideMark/>
          </w:tcPr>
          <w:p w14:paraId="1B5D4BE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11D9E37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DFABD86"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Gore, John </w:t>
            </w:r>
          </w:p>
        </w:tc>
        <w:tc>
          <w:tcPr>
            <w:tcW w:w="1125" w:type="dxa"/>
            <w:noWrap/>
            <w:hideMark/>
          </w:tcPr>
          <w:p w14:paraId="2745A9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w:t>
            </w:r>
            <w:proofErr w:type="spellStart"/>
            <w:r w:rsidRPr="003037D2">
              <w:rPr>
                <w:rFonts w:ascii="Garamond" w:hAnsi="Garamond"/>
                <w:sz w:val="20"/>
                <w:szCs w:val="20"/>
              </w:rPr>
              <w:t>Alchorn</w:t>
            </w:r>
            <w:proofErr w:type="spellEnd"/>
            <w:r w:rsidRPr="003037D2">
              <w:rPr>
                <w:rFonts w:ascii="Garamond" w:hAnsi="Garamond"/>
                <w:sz w:val="20"/>
                <w:szCs w:val="20"/>
              </w:rPr>
              <w:t xml:space="preserve"> </w:t>
            </w:r>
          </w:p>
        </w:tc>
        <w:tc>
          <w:tcPr>
            <w:tcW w:w="918" w:type="dxa"/>
            <w:noWrap/>
            <w:hideMark/>
          </w:tcPr>
          <w:p w14:paraId="36847BF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1639</w:t>
            </w:r>
          </w:p>
        </w:tc>
        <w:tc>
          <w:tcPr>
            <w:tcW w:w="931" w:type="dxa"/>
            <w:noWrap/>
            <w:hideMark/>
          </w:tcPr>
          <w:p w14:paraId="1393FB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F1349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2056D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553A0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St. Paul's </w:t>
            </w:r>
          </w:p>
        </w:tc>
        <w:tc>
          <w:tcPr>
            <w:tcW w:w="1118" w:type="dxa"/>
            <w:noWrap/>
            <w:hideMark/>
          </w:tcPr>
          <w:p w14:paraId="2448094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A99C3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7FE96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CDD649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5469712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w:t>
            </w:r>
          </w:p>
        </w:tc>
        <w:tc>
          <w:tcPr>
            <w:tcW w:w="963" w:type="dxa"/>
            <w:noWrap/>
            <w:hideMark/>
          </w:tcPr>
          <w:p w14:paraId="6C263C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2D68D9C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EF7F6B6"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Gore, John </w:t>
            </w:r>
          </w:p>
        </w:tc>
        <w:tc>
          <w:tcPr>
            <w:tcW w:w="1125" w:type="dxa"/>
            <w:noWrap/>
            <w:hideMark/>
          </w:tcPr>
          <w:p w14:paraId="39C0A3F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w:t>
            </w:r>
            <w:proofErr w:type="spellStart"/>
            <w:r w:rsidRPr="003037D2">
              <w:rPr>
                <w:rFonts w:ascii="Garamond" w:hAnsi="Garamond"/>
                <w:sz w:val="20"/>
                <w:szCs w:val="20"/>
              </w:rPr>
              <w:t>Alchorn</w:t>
            </w:r>
            <w:proofErr w:type="spellEnd"/>
            <w:r w:rsidRPr="003037D2">
              <w:rPr>
                <w:rFonts w:ascii="Garamond" w:hAnsi="Garamond"/>
                <w:sz w:val="20"/>
                <w:szCs w:val="20"/>
              </w:rPr>
              <w:t xml:space="preserve"> </w:t>
            </w:r>
          </w:p>
        </w:tc>
        <w:tc>
          <w:tcPr>
            <w:tcW w:w="918" w:type="dxa"/>
            <w:noWrap/>
            <w:hideMark/>
          </w:tcPr>
          <w:p w14:paraId="2E5E50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1632</w:t>
            </w:r>
          </w:p>
        </w:tc>
        <w:tc>
          <w:tcPr>
            <w:tcW w:w="931" w:type="dxa"/>
            <w:noWrap/>
            <w:hideMark/>
          </w:tcPr>
          <w:p w14:paraId="7339C98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0AF5C3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16BDF4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2618C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St. Paul's </w:t>
            </w:r>
          </w:p>
        </w:tc>
        <w:tc>
          <w:tcPr>
            <w:tcW w:w="1118" w:type="dxa"/>
            <w:noWrap/>
            <w:hideMark/>
          </w:tcPr>
          <w:p w14:paraId="236AE3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69A66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C4BE01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5E0BA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196872D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w:t>
            </w:r>
          </w:p>
        </w:tc>
        <w:tc>
          <w:tcPr>
            <w:tcW w:w="963" w:type="dxa"/>
            <w:noWrap/>
            <w:hideMark/>
          </w:tcPr>
          <w:p w14:paraId="5709C8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A02B09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A78874F"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Gore, John </w:t>
            </w:r>
          </w:p>
        </w:tc>
        <w:tc>
          <w:tcPr>
            <w:tcW w:w="1125" w:type="dxa"/>
            <w:noWrap/>
            <w:hideMark/>
          </w:tcPr>
          <w:p w14:paraId="6CEBA2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w:t>
            </w:r>
            <w:proofErr w:type="spellStart"/>
            <w:r w:rsidRPr="003037D2">
              <w:rPr>
                <w:rFonts w:ascii="Garamond" w:hAnsi="Garamond"/>
                <w:sz w:val="20"/>
                <w:szCs w:val="20"/>
              </w:rPr>
              <w:t>Alchorn</w:t>
            </w:r>
            <w:proofErr w:type="spellEnd"/>
            <w:r w:rsidRPr="003037D2">
              <w:rPr>
                <w:rFonts w:ascii="Garamond" w:hAnsi="Garamond"/>
                <w:sz w:val="20"/>
                <w:szCs w:val="20"/>
              </w:rPr>
              <w:t xml:space="preserve"> </w:t>
            </w:r>
          </w:p>
        </w:tc>
        <w:tc>
          <w:tcPr>
            <w:tcW w:w="918" w:type="dxa"/>
            <w:noWrap/>
            <w:hideMark/>
          </w:tcPr>
          <w:p w14:paraId="26C65A0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1634</w:t>
            </w:r>
          </w:p>
        </w:tc>
        <w:tc>
          <w:tcPr>
            <w:tcW w:w="931" w:type="dxa"/>
            <w:noWrap/>
            <w:hideMark/>
          </w:tcPr>
          <w:p w14:paraId="227786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5E7911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5A3F31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DB2A1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28D7C52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8B289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44E55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C3C10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274BF4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 calendar</w:t>
            </w:r>
          </w:p>
        </w:tc>
        <w:tc>
          <w:tcPr>
            <w:tcW w:w="963" w:type="dxa"/>
            <w:noWrap/>
            <w:hideMark/>
          </w:tcPr>
          <w:p w14:paraId="27E93E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69601D4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43C865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Gore, John </w:t>
            </w:r>
          </w:p>
        </w:tc>
        <w:tc>
          <w:tcPr>
            <w:tcW w:w="1125" w:type="dxa"/>
            <w:noWrap/>
            <w:hideMark/>
          </w:tcPr>
          <w:p w14:paraId="70F98A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w:t>
            </w:r>
            <w:proofErr w:type="spellStart"/>
            <w:r w:rsidRPr="003037D2">
              <w:rPr>
                <w:rFonts w:ascii="Garamond" w:hAnsi="Garamond"/>
                <w:sz w:val="20"/>
                <w:szCs w:val="20"/>
              </w:rPr>
              <w:t>Alchorn</w:t>
            </w:r>
            <w:proofErr w:type="spellEnd"/>
            <w:r w:rsidRPr="003037D2">
              <w:rPr>
                <w:rFonts w:ascii="Garamond" w:hAnsi="Garamond"/>
                <w:sz w:val="20"/>
                <w:szCs w:val="20"/>
              </w:rPr>
              <w:t xml:space="preserve"> </w:t>
            </w:r>
          </w:p>
        </w:tc>
        <w:tc>
          <w:tcPr>
            <w:tcW w:w="918" w:type="dxa"/>
            <w:noWrap/>
            <w:hideMark/>
          </w:tcPr>
          <w:p w14:paraId="3043F9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1638</w:t>
            </w:r>
          </w:p>
        </w:tc>
        <w:tc>
          <w:tcPr>
            <w:tcW w:w="931" w:type="dxa"/>
            <w:noWrap/>
            <w:hideMark/>
          </w:tcPr>
          <w:p w14:paraId="3AD677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0A4AB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84842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7398D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25E4D5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6E949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EB554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1D7EF6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2AB20B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B7D1D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9CEB0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766BFD8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75010F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Gouge, William </w:t>
            </w:r>
          </w:p>
        </w:tc>
        <w:tc>
          <w:tcPr>
            <w:tcW w:w="1125" w:type="dxa"/>
            <w:noWrap/>
            <w:hideMark/>
          </w:tcPr>
          <w:p w14:paraId="45A7F4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George Miller </w:t>
            </w:r>
          </w:p>
        </w:tc>
        <w:tc>
          <w:tcPr>
            <w:tcW w:w="918" w:type="dxa"/>
            <w:noWrap/>
            <w:hideMark/>
          </w:tcPr>
          <w:p w14:paraId="576270F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769528B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348FF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28D22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2321" w:type="dxa"/>
            <w:gridSpan w:val="2"/>
            <w:noWrap/>
            <w:hideMark/>
          </w:tcPr>
          <w:p w14:paraId="6B63C3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Before the artillery company </w:t>
            </w:r>
          </w:p>
        </w:tc>
        <w:tc>
          <w:tcPr>
            <w:tcW w:w="981" w:type="dxa"/>
            <w:noWrap/>
            <w:hideMark/>
          </w:tcPr>
          <w:p w14:paraId="6D4657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EA9D0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13B7B2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094F50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2DB7E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99C26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3E4283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7E9672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Gouge, William </w:t>
            </w:r>
          </w:p>
        </w:tc>
        <w:tc>
          <w:tcPr>
            <w:tcW w:w="1125" w:type="dxa"/>
            <w:noWrap/>
            <w:hideMark/>
          </w:tcPr>
          <w:p w14:paraId="40261D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Joshua Kirton and Thomas Warren </w:t>
            </w:r>
          </w:p>
        </w:tc>
        <w:tc>
          <w:tcPr>
            <w:tcW w:w="918" w:type="dxa"/>
            <w:noWrap/>
            <w:hideMark/>
          </w:tcPr>
          <w:p w14:paraId="1135612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1639</w:t>
            </w:r>
          </w:p>
        </w:tc>
        <w:tc>
          <w:tcPr>
            <w:tcW w:w="931" w:type="dxa"/>
            <w:noWrap/>
            <w:hideMark/>
          </w:tcPr>
          <w:p w14:paraId="47DDD2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3F227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BF4F6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FAE7F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045C6D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8EDBB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335554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01636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5F3B69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w:t>
            </w:r>
          </w:p>
        </w:tc>
        <w:tc>
          <w:tcPr>
            <w:tcW w:w="1093" w:type="dxa"/>
            <w:noWrap/>
            <w:hideMark/>
          </w:tcPr>
          <w:p w14:paraId="05520D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7EA55A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2B95C4B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2E7328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Gouge, William </w:t>
            </w:r>
          </w:p>
        </w:tc>
        <w:tc>
          <w:tcPr>
            <w:tcW w:w="1125" w:type="dxa"/>
            <w:noWrap/>
            <w:hideMark/>
          </w:tcPr>
          <w:p w14:paraId="0A8929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Joshua Kirton </w:t>
            </w:r>
          </w:p>
        </w:tc>
        <w:tc>
          <w:tcPr>
            <w:tcW w:w="918" w:type="dxa"/>
            <w:noWrap/>
            <w:hideMark/>
          </w:tcPr>
          <w:p w14:paraId="4B0F94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2FB852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4D4FD7C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B15D1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F23226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House of common</w:t>
            </w:r>
          </w:p>
        </w:tc>
        <w:tc>
          <w:tcPr>
            <w:tcW w:w="1118" w:type="dxa"/>
            <w:noWrap/>
            <w:hideMark/>
          </w:tcPr>
          <w:p w14:paraId="61EB90D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51FCC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FF3B49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5363EA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3B1530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Event - fast</w:t>
            </w:r>
          </w:p>
        </w:tc>
        <w:tc>
          <w:tcPr>
            <w:tcW w:w="1093" w:type="dxa"/>
            <w:noWrap/>
            <w:hideMark/>
          </w:tcPr>
          <w:p w14:paraId="36FE46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3D4F3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1E06FF9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BA94EA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Grant, John </w:t>
            </w:r>
          </w:p>
        </w:tc>
        <w:tc>
          <w:tcPr>
            <w:tcW w:w="1125" w:type="dxa"/>
            <w:noWrap/>
            <w:hideMark/>
          </w:tcPr>
          <w:p w14:paraId="193BBEF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w:t>
            </w:r>
            <w:proofErr w:type="spellStart"/>
            <w:r w:rsidRPr="003037D2">
              <w:rPr>
                <w:rFonts w:ascii="Garamond" w:hAnsi="Garamond"/>
                <w:sz w:val="20"/>
                <w:szCs w:val="20"/>
              </w:rPr>
              <w:t>Paybody</w:t>
            </w:r>
            <w:proofErr w:type="spellEnd"/>
            <w:r w:rsidRPr="003037D2">
              <w:rPr>
                <w:rFonts w:ascii="Garamond" w:hAnsi="Garamond"/>
                <w:sz w:val="20"/>
                <w:szCs w:val="20"/>
              </w:rPr>
              <w:t xml:space="preserve"> </w:t>
            </w:r>
          </w:p>
        </w:tc>
        <w:tc>
          <w:tcPr>
            <w:tcW w:w="918" w:type="dxa"/>
            <w:noWrap/>
            <w:hideMark/>
          </w:tcPr>
          <w:p w14:paraId="24195F6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7C6D8D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1E75D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3F617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2FDAFD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19503E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66B21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6E7316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E5EE2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092EEC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 calendar</w:t>
            </w:r>
          </w:p>
        </w:tc>
        <w:tc>
          <w:tcPr>
            <w:tcW w:w="963" w:type="dxa"/>
            <w:noWrap/>
            <w:hideMark/>
          </w:tcPr>
          <w:p w14:paraId="683395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6A75A39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D881216"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Gray</w:t>
            </w:r>
            <w:proofErr w:type="spellEnd"/>
            <w:r w:rsidRPr="003037D2">
              <w:rPr>
                <w:rFonts w:ascii="Garamond" w:hAnsi="Garamond"/>
                <w:b w:val="0"/>
                <w:bCs w:val="0"/>
                <w:sz w:val="20"/>
                <w:szCs w:val="20"/>
              </w:rPr>
              <w:t>, Francis</w:t>
            </w:r>
          </w:p>
        </w:tc>
        <w:tc>
          <w:tcPr>
            <w:tcW w:w="1125" w:type="dxa"/>
            <w:noWrap/>
            <w:hideMark/>
          </w:tcPr>
          <w:p w14:paraId="382A7B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w:t>
            </w:r>
            <w:proofErr w:type="spellStart"/>
            <w:r w:rsidRPr="003037D2">
              <w:rPr>
                <w:rFonts w:ascii="Garamond" w:hAnsi="Garamond"/>
                <w:sz w:val="20"/>
                <w:szCs w:val="20"/>
              </w:rPr>
              <w:t>Milbourne</w:t>
            </w:r>
            <w:proofErr w:type="spellEnd"/>
            <w:r w:rsidRPr="003037D2">
              <w:rPr>
                <w:rFonts w:ascii="Garamond" w:hAnsi="Garamond"/>
                <w:sz w:val="20"/>
                <w:szCs w:val="20"/>
              </w:rPr>
              <w:t xml:space="preserve"> </w:t>
            </w:r>
          </w:p>
        </w:tc>
        <w:tc>
          <w:tcPr>
            <w:tcW w:w="918" w:type="dxa"/>
            <w:noWrap/>
            <w:hideMark/>
          </w:tcPr>
          <w:p w14:paraId="50CC2A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1636</w:t>
            </w:r>
          </w:p>
        </w:tc>
        <w:tc>
          <w:tcPr>
            <w:tcW w:w="931" w:type="dxa"/>
            <w:noWrap/>
            <w:hideMark/>
          </w:tcPr>
          <w:p w14:paraId="438A50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C44C4D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53FA8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62836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5FC6D7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A567E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347B6E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1408A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641D37E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FF662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A1C4A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71E57B1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E112C2C"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Grent</w:t>
            </w:r>
            <w:proofErr w:type="spellEnd"/>
            <w:r w:rsidRPr="003037D2">
              <w:rPr>
                <w:rFonts w:ascii="Garamond" w:hAnsi="Garamond"/>
                <w:b w:val="0"/>
                <w:bCs w:val="0"/>
                <w:sz w:val="20"/>
                <w:szCs w:val="20"/>
              </w:rPr>
              <w:t xml:space="preserve">, John </w:t>
            </w:r>
          </w:p>
        </w:tc>
        <w:tc>
          <w:tcPr>
            <w:tcW w:w="1125" w:type="dxa"/>
            <w:noWrap/>
            <w:hideMark/>
          </w:tcPr>
          <w:p w14:paraId="33D871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Grismand</w:t>
            </w:r>
            <w:proofErr w:type="spellEnd"/>
          </w:p>
        </w:tc>
        <w:tc>
          <w:tcPr>
            <w:tcW w:w="918" w:type="dxa"/>
            <w:noWrap/>
            <w:hideMark/>
          </w:tcPr>
          <w:p w14:paraId="119262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1627</w:t>
            </w:r>
          </w:p>
        </w:tc>
        <w:tc>
          <w:tcPr>
            <w:tcW w:w="931" w:type="dxa"/>
            <w:noWrap/>
            <w:hideMark/>
          </w:tcPr>
          <w:p w14:paraId="37D87A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06E9D3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36273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2F66F6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431BFA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35419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C68886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01460A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7702094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42B2FA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7D001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DD9297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BAF22F4"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Griffith, Matthew</w:t>
            </w:r>
          </w:p>
        </w:tc>
        <w:tc>
          <w:tcPr>
            <w:tcW w:w="1125" w:type="dxa"/>
            <w:noWrap/>
            <w:hideMark/>
          </w:tcPr>
          <w:p w14:paraId="58DCB4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Richard Royston </w:t>
            </w:r>
          </w:p>
        </w:tc>
        <w:tc>
          <w:tcPr>
            <w:tcW w:w="918" w:type="dxa"/>
            <w:noWrap/>
            <w:hideMark/>
          </w:tcPr>
          <w:p w14:paraId="25F7D08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2F08744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261DD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F86CD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18D35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St. Paul's </w:t>
            </w:r>
          </w:p>
        </w:tc>
        <w:tc>
          <w:tcPr>
            <w:tcW w:w="1118" w:type="dxa"/>
            <w:noWrap/>
            <w:hideMark/>
          </w:tcPr>
          <w:p w14:paraId="014466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81B692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E9DBE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4910F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5C1CE6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BB2F4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B566E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E6CA73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F18B0D7"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Grosse, Alexander </w:t>
            </w:r>
          </w:p>
        </w:tc>
        <w:tc>
          <w:tcPr>
            <w:tcW w:w="1125" w:type="dxa"/>
            <w:noWrap/>
            <w:hideMark/>
          </w:tcPr>
          <w:p w14:paraId="0145168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Francis </w:t>
            </w:r>
            <w:proofErr w:type="spellStart"/>
            <w:r w:rsidRPr="003037D2">
              <w:rPr>
                <w:rFonts w:ascii="Garamond" w:hAnsi="Garamond"/>
                <w:sz w:val="20"/>
                <w:szCs w:val="20"/>
              </w:rPr>
              <w:t>Eaglesfield</w:t>
            </w:r>
            <w:proofErr w:type="spellEnd"/>
            <w:r w:rsidRPr="003037D2">
              <w:rPr>
                <w:rFonts w:ascii="Garamond" w:hAnsi="Garamond"/>
                <w:sz w:val="20"/>
                <w:szCs w:val="20"/>
              </w:rPr>
              <w:t xml:space="preserve"> </w:t>
            </w:r>
          </w:p>
        </w:tc>
        <w:tc>
          <w:tcPr>
            <w:tcW w:w="918" w:type="dxa"/>
            <w:noWrap/>
            <w:hideMark/>
          </w:tcPr>
          <w:p w14:paraId="527EEF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1640</w:t>
            </w:r>
          </w:p>
        </w:tc>
        <w:tc>
          <w:tcPr>
            <w:tcW w:w="931" w:type="dxa"/>
            <w:noWrap/>
            <w:hideMark/>
          </w:tcPr>
          <w:p w14:paraId="6AA47D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035" w:type="dxa"/>
            <w:noWrap/>
            <w:hideMark/>
          </w:tcPr>
          <w:p w14:paraId="437B888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53269F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A17A29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67C532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3303D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CACD8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DFA169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0E4271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2612E8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53D474B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957091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Grosse, Alexander </w:t>
            </w:r>
          </w:p>
        </w:tc>
        <w:tc>
          <w:tcPr>
            <w:tcW w:w="1125" w:type="dxa"/>
            <w:noWrap/>
            <w:hideMark/>
          </w:tcPr>
          <w:p w14:paraId="4B03E4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James Bowler </w:t>
            </w:r>
          </w:p>
        </w:tc>
        <w:tc>
          <w:tcPr>
            <w:tcW w:w="918" w:type="dxa"/>
            <w:noWrap/>
            <w:hideMark/>
          </w:tcPr>
          <w:p w14:paraId="6F6426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1632</w:t>
            </w:r>
          </w:p>
        </w:tc>
        <w:tc>
          <w:tcPr>
            <w:tcW w:w="931" w:type="dxa"/>
            <w:noWrap/>
            <w:hideMark/>
          </w:tcPr>
          <w:p w14:paraId="703173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035" w:type="dxa"/>
            <w:noWrap/>
            <w:hideMark/>
          </w:tcPr>
          <w:p w14:paraId="34174E7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D2A84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322399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33092C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1F75D4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9C130F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37FA5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6308C4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625E39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0D8C09C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88DFA3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Guild, William </w:t>
            </w:r>
          </w:p>
        </w:tc>
        <w:tc>
          <w:tcPr>
            <w:tcW w:w="1125" w:type="dxa"/>
            <w:noWrap/>
            <w:hideMark/>
          </w:tcPr>
          <w:p w14:paraId="19C55E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A. </w:t>
            </w:r>
            <w:proofErr w:type="spellStart"/>
            <w:r w:rsidRPr="003037D2">
              <w:rPr>
                <w:rFonts w:ascii="Garamond" w:hAnsi="Garamond"/>
                <w:sz w:val="20"/>
                <w:szCs w:val="20"/>
              </w:rPr>
              <w:t>Hunefield</w:t>
            </w:r>
            <w:proofErr w:type="spellEnd"/>
            <w:r w:rsidRPr="003037D2">
              <w:rPr>
                <w:rFonts w:ascii="Garamond" w:hAnsi="Garamond"/>
                <w:sz w:val="20"/>
                <w:szCs w:val="20"/>
              </w:rPr>
              <w:t xml:space="preserve"> </w:t>
            </w:r>
          </w:p>
        </w:tc>
        <w:tc>
          <w:tcPr>
            <w:tcW w:w="918" w:type="dxa"/>
            <w:noWrap/>
            <w:hideMark/>
          </w:tcPr>
          <w:p w14:paraId="43D7C4D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1639</w:t>
            </w:r>
          </w:p>
        </w:tc>
        <w:tc>
          <w:tcPr>
            <w:tcW w:w="931" w:type="dxa"/>
            <w:noWrap/>
            <w:hideMark/>
          </w:tcPr>
          <w:p w14:paraId="47A6AF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0B589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Gdansk </w:t>
            </w:r>
          </w:p>
        </w:tc>
        <w:tc>
          <w:tcPr>
            <w:tcW w:w="838" w:type="dxa"/>
            <w:noWrap/>
            <w:hideMark/>
          </w:tcPr>
          <w:p w14:paraId="2F6D9EE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B7523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77D3AF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EF3F0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F5C079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489B7B2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0FD05E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7C49F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D3321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287D7A5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05EB4C9"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Gumbleden</w:t>
            </w:r>
            <w:proofErr w:type="spellEnd"/>
            <w:r w:rsidRPr="003037D2">
              <w:rPr>
                <w:rFonts w:ascii="Garamond" w:hAnsi="Garamond"/>
                <w:b w:val="0"/>
                <w:bCs w:val="0"/>
                <w:sz w:val="20"/>
                <w:szCs w:val="20"/>
              </w:rPr>
              <w:t xml:space="preserve">, John </w:t>
            </w:r>
          </w:p>
        </w:tc>
        <w:tc>
          <w:tcPr>
            <w:tcW w:w="1125" w:type="dxa"/>
            <w:noWrap/>
            <w:hideMark/>
          </w:tcPr>
          <w:p w14:paraId="5C4A59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William Webb</w:t>
            </w:r>
          </w:p>
        </w:tc>
        <w:tc>
          <w:tcPr>
            <w:tcW w:w="918" w:type="dxa"/>
            <w:noWrap/>
            <w:hideMark/>
          </w:tcPr>
          <w:p w14:paraId="2B469C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1628</w:t>
            </w:r>
          </w:p>
        </w:tc>
        <w:tc>
          <w:tcPr>
            <w:tcW w:w="931" w:type="dxa"/>
            <w:noWrap/>
            <w:hideMark/>
          </w:tcPr>
          <w:p w14:paraId="4EE2C92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D4CF18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BDBBA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778E28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23B291D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4923C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928C2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BC763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6B461A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Easter Week </w:t>
            </w:r>
          </w:p>
        </w:tc>
        <w:tc>
          <w:tcPr>
            <w:tcW w:w="963" w:type="dxa"/>
            <w:noWrap/>
            <w:hideMark/>
          </w:tcPr>
          <w:p w14:paraId="7B668E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357E8AC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0CA30B1"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Hacket</w:t>
            </w:r>
            <w:proofErr w:type="spellEnd"/>
            <w:r w:rsidRPr="003037D2">
              <w:rPr>
                <w:rFonts w:ascii="Garamond" w:hAnsi="Garamond"/>
                <w:b w:val="0"/>
                <w:bCs w:val="0"/>
                <w:sz w:val="20"/>
                <w:szCs w:val="20"/>
              </w:rPr>
              <w:t>, Roger</w:t>
            </w:r>
          </w:p>
        </w:tc>
        <w:tc>
          <w:tcPr>
            <w:tcW w:w="1125" w:type="dxa"/>
            <w:noWrap/>
            <w:hideMark/>
          </w:tcPr>
          <w:p w14:paraId="17BAEA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Robert Wilson</w:t>
            </w:r>
          </w:p>
        </w:tc>
        <w:tc>
          <w:tcPr>
            <w:tcW w:w="918" w:type="dxa"/>
            <w:noWrap/>
            <w:hideMark/>
          </w:tcPr>
          <w:p w14:paraId="78B53A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1628</w:t>
            </w:r>
          </w:p>
        </w:tc>
        <w:tc>
          <w:tcPr>
            <w:tcW w:w="931" w:type="dxa"/>
            <w:noWrap/>
            <w:hideMark/>
          </w:tcPr>
          <w:p w14:paraId="5B7FD4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218F6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2B905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2F0C49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056837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A28EF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F8166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0248CB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3DA56D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E67CB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EED6D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2AE3CFA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29DFCEE"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Hakewill</w:t>
            </w:r>
            <w:proofErr w:type="spellEnd"/>
            <w:r w:rsidRPr="003037D2">
              <w:rPr>
                <w:rFonts w:ascii="Garamond" w:hAnsi="Garamond"/>
                <w:b w:val="0"/>
                <w:bCs w:val="0"/>
                <w:sz w:val="20"/>
                <w:szCs w:val="20"/>
              </w:rPr>
              <w:t>, George</w:t>
            </w:r>
          </w:p>
        </w:tc>
        <w:tc>
          <w:tcPr>
            <w:tcW w:w="1125" w:type="dxa"/>
            <w:noWrap/>
            <w:hideMark/>
          </w:tcPr>
          <w:p w14:paraId="11FD29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R. Allot</w:t>
            </w:r>
          </w:p>
        </w:tc>
        <w:tc>
          <w:tcPr>
            <w:tcW w:w="918" w:type="dxa"/>
            <w:noWrap/>
            <w:hideMark/>
          </w:tcPr>
          <w:p w14:paraId="381EA0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1632</w:t>
            </w:r>
          </w:p>
        </w:tc>
        <w:tc>
          <w:tcPr>
            <w:tcW w:w="931" w:type="dxa"/>
            <w:noWrap/>
            <w:hideMark/>
          </w:tcPr>
          <w:p w14:paraId="0A0D1C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33FD68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B940F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A2B1A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029DA2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47EDC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1D51B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279D7A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5F797E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2FB5F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097CE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743A2E3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0A2181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Hall, Joseph </w:t>
            </w:r>
          </w:p>
        </w:tc>
        <w:tc>
          <w:tcPr>
            <w:tcW w:w="1125" w:type="dxa"/>
            <w:noWrap/>
            <w:hideMark/>
          </w:tcPr>
          <w:p w14:paraId="65828C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 </w:t>
            </w:r>
            <w:proofErr w:type="spellStart"/>
            <w:r w:rsidRPr="003037D2">
              <w:rPr>
                <w:rFonts w:ascii="Garamond" w:hAnsi="Garamond"/>
                <w:sz w:val="20"/>
                <w:szCs w:val="20"/>
              </w:rPr>
              <w:t>Fetherstone</w:t>
            </w:r>
            <w:proofErr w:type="spellEnd"/>
          </w:p>
        </w:tc>
        <w:tc>
          <w:tcPr>
            <w:tcW w:w="918" w:type="dxa"/>
            <w:noWrap/>
            <w:hideMark/>
          </w:tcPr>
          <w:p w14:paraId="5C4213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6DEA54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1CAA78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68AB6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729B284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w:t>
            </w:r>
          </w:p>
        </w:tc>
        <w:tc>
          <w:tcPr>
            <w:tcW w:w="1118" w:type="dxa"/>
            <w:noWrap/>
            <w:hideMark/>
          </w:tcPr>
          <w:p w14:paraId="45643A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12DC7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45753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6518EC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083832E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F063C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D53D5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2B925F8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70C9773"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Hall, Joseph </w:t>
            </w:r>
          </w:p>
        </w:tc>
        <w:tc>
          <w:tcPr>
            <w:tcW w:w="1125" w:type="dxa"/>
            <w:noWrap/>
            <w:hideMark/>
          </w:tcPr>
          <w:p w14:paraId="391B07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Nathaniel Butter</w:t>
            </w:r>
          </w:p>
        </w:tc>
        <w:tc>
          <w:tcPr>
            <w:tcW w:w="918" w:type="dxa"/>
            <w:noWrap/>
            <w:hideMark/>
          </w:tcPr>
          <w:p w14:paraId="5CEC08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1635</w:t>
            </w:r>
          </w:p>
        </w:tc>
        <w:tc>
          <w:tcPr>
            <w:tcW w:w="931" w:type="dxa"/>
            <w:noWrap/>
            <w:hideMark/>
          </w:tcPr>
          <w:p w14:paraId="660915F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059DC56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0AB04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BDBFE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w:t>
            </w:r>
          </w:p>
        </w:tc>
        <w:tc>
          <w:tcPr>
            <w:tcW w:w="1118" w:type="dxa"/>
            <w:noWrap/>
            <w:hideMark/>
          </w:tcPr>
          <w:p w14:paraId="11C258E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7DA11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3DC60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85E26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3EEE0F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DE718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59EE3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50D4A95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966E66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Hall, Joseph </w:t>
            </w:r>
          </w:p>
        </w:tc>
        <w:tc>
          <w:tcPr>
            <w:tcW w:w="1125" w:type="dxa"/>
            <w:noWrap/>
            <w:hideMark/>
          </w:tcPr>
          <w:p w14:paraId="6BA0DD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Nathaniel Butter</w:t>
            </w:r>
          </w:p>
        </w:tc>
        <w:tc>
          <w:tcPr>
            <w:tcW w:w="918" w:type="dxa"/>
            <w:noWrap/>
            <w:hideMark/>
          </w:tcPr>
          <w:p w14:paraId="1550C0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1634</w:t>
            </w:r>
          </w:p>
        </w:tc>
        <w:tc>
          <w:tcPr>
            <w:tcW w:w="931" w:type="dxa"/>
            <w:noWrap/>
            <w:hideMark/>
          </w:tcPr>
          <w:p w14:paraId="55EF92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035" w:type="dxa"/>
            <w:noWrap/>
            <w:hideMark/>
          </w:tcPr>
          <w:p w14:paraId="62DA3B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91863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7BC4F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Whitehall </w:t>
            </w:r>
          </w:p>
        </w:tc>
        <w:tc>
          <w:tcPr>
            <w:tcW w:w="1118" w:type="dxa"/>
            <w:noWrap/>
            <w:hideMark/>
          </w:tcPr>
          <w:p w14:paraId="3E3F2A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Westminster</w:t>
            </w:r>
          </w:p>
        </w:tc>
        <w:tc>
          <w:tcPr>
            <w:tcW w:w="981" w:type="dxa"/>
            <w:noWrap/>
            <w:hideMark/>
          </w:tcPr>
          <w:p w14:paraId="183F72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House of Parliament </w:t>
            </w:r>
          </w:p>
        </w:tc>
        <w:tc>
          <w:tcPr>
            <w:tcW w:w="681" w:type="dxa"/>
            <w:noWrap/>
            <w:hideMark/>
          </w:tcPr>
          <w:p w14:paraId="55187BC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75174F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7B01AC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Easter Week </w:t>
            </w:r>
          </w:p>
        </w:tc>
        <w:tc>
          <w:tcPr>
            <w:tcW w:w="963" w:type="dxa"/>
            <w:noWrap/>
            <w:hideMark/>
          </w:tcPr>
          <w:p w14:paraId="0A3FE8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290F9BC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972618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Hall, Joseph </w:t>
            </w:r>
          </w:p>
        </w:tc>
        <w:tc>
          <w:tcPr>
            <w:tcW w:w="1125" w:type="dxa"/>
            <w:noWrap/>
            <w:hideMark/>
          </w:tcPr>
          <w:p w14:paraId="041349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 </w:t>
            </w:r>
            <w:proofErr w:type="spellStart"/>
            <w:r w:rsidRPr="003037D2">
              <w:rPr>
                <w:rFonts w:ascii="Garamond" w:hAnsi="Garamond"/>
                <w:sz w:val="20"/>
                <w:szCs w:val="20"/>
              </w:rPr>
              <w:t>Fetherstone</w:t>
            </w:r>
            <w:proofErr w:type="spellEnd"/>
          </w:p>
        </w:tc>
        <w:tc>
          <w:tcPr>
            <w:tcW w:w="918" w:type="dxa"/>
            <w:noWrap/>
            <w:hideMark/>
          </w:tcPr>
          <w:p w14:paraId="730A24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671DDE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7FE9FA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E4CF4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94BA8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Greys Inn </w:t>
            </w:r>
          </w:p>
        </w:tc>
        <w:tc>
          <w:tcPr>
            <w:tcW w:w="1118" w:type="dxa"/>
            <w:noWrap/>
            <w:hideMark/>
          </w:tcPr>
          <w:p w14:paraId="669717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D64431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A6E12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BCEA0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10E8B2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A03247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599D1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018ED0C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6D7AE4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Hall, Joseph </w:t>
            </w:r>
          </w:p>
        </w:tc>
        <w:tc>
          <w:tcPr>
            <w:tcW w:w="1125" w:type="dxa"/>
            <w:noWrap/>
            <w:hideMark/>
          </w:tcPr>
          <w:p w14:paraId="2B44DD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Nathaniel Butter</w:t>
            </w:r>
          </w:p>
        </w:tc>
        <w:tc>
          <w:tcPr>
            <w:tcW w:w="918" w:type="dxa"/>
            <w:noWrap/>
            <w:hideMark/>
          </w:tcPr>
          <w:p w14:paraId="0BFA70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1630</w:t>
            </w:r>
          </w:p>
        </w:tc>
        <w:tc>
          <w:tcPr>
            <w:tcW w:w="931" w:type="dxa"/>
            <w:noWrap/>
            <w:hideMark/>
          </w:tcPr>
          <w:p w14:paraId="21C443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153DA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90045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A7610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w:t>
            </w:r>
          </w:p>
        </w:tc>
        <w:tc>
          <w:tcPr>
            <w:tcW w:w="1118" w:type="dxa"/>
            <w:noWrap/>
            <w:hideMark/>
          </w:tcPr>
          <w:p w14:paraId="4E5445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1FEA4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0F3B2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01EBB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461218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 calendar - Lent</w:t>
            </w:r>
          </w:p>
        </w:tc>
        <w:tc>
          <w:tcPr>
            <w:tcW w:w="963" w:type="dxa"/>
            <w:noWrap/>
            <w:hideMark/>
          </w:tcPr>
          <w:p w14:paraId="3F5381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598EC0A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EECDFD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Hall, Joseph </w:t>
            </w:r>
          </w:p>
        </w:tc>
        <w:tc>
          <w:tcPr>
            <w:tcW w:w="1125" w:type="dxa"/>
            <w:noWrap/>
            <w:hideMark/>
          </w:tcPr>
          <w:p w14:paraId="40547B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Nathaniel Butter</w:t>
            </w:r>
          </w:p>
        </w:tc>
        <w:tc>
          <w:tcPr>
            <w:tcW w:w="918" w:type="dxa"/>
            <w:noWrap/>
            <w:hideMark/>
          </w:tcPr>
          <w:p w14:paraId="0410B42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1628</w:t>
            </w:r>
          </w:p>
        </w:tc>
        <w:tc>
          <w:tcPr>
            <w:tcW w:w="931" w:type="dxa"/>
            <w:noWrap/>
            <w:hideMark/>
          </w:tcPr>
          <w:p w14:paraId="0FDB4F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B8692F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4C196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1A750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Westminster </w:t>
            </w:r>
          </w:p>
        </w:tc>
        <w:tc>
          <w:tcPr>
            <w:tcW w:w="1118" w:type="dxa"/>
            <w:noWrap/>
            <w:hideMark/>
          </w:tcPr>
          <w:p w14:paraId="7AC883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97779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78475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F97203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53BBB7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Event - fast</w:t>
            </w:r>
          </w:p>
        </w:tc>
        <w:tc>
          <w:tcPr>
            <w:tcW w:w="1093" w:type="dxa"/>
            <w:noWrap/>
            <w:hideMark/>
          </w:tcPr>
          <w:p w14:paraId="636B064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BDBC7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2704E3E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4827574"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Hall, Joseph </w:t>
            </w:r>
          </w:p>
        </w:tc>
        <w:tc>
          <w:tcPr>
            <w:tcW w:w="1125" w:type="dxa"/>
            <w:noWrap/>
            <w:hideMark/>
          </w:tcPr>
          <w:p w14:paraId="2BE0BD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Nathaniel Butter</w:t>
            </w:r>
          </w:p>
        </w:tc>
        <w:tc>
          <w:tcPr>
            <w:tcW w:w="918" w:type="dxa"/>
            <w:noWrap/>
            <w:hideMark/>
          </w:tcPr>
          <w:p w14:paraId="67CD1A3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42734E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C9395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4DBC9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ECC8B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Whitehall </w:t>
            </w:r>
          </w:p>
        </w:tc>
        <w:tc>
          <w:tcPr>
            <w:tcW w:w="1118" w:type="dxa"/>
            <w:noWrap/>
            <w:hideMark/>
          </w:tcPr>
          <w:p w14:paraId="28202D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57F839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7E8E3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C63A19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153BCB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206EB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E8031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2B67BE2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1A7730E"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Hall, Joseph </w:t>
            </w:r>
          </w:p>
        </w:tc>
        <w:tc>
          <w:tcPr>
            <w:tcW w:w="1125" w:type="dxa"/>
            <w:noWrap/>
            <w:hideMark/>
          </w:tcPr>
          <w:p w14:paraId="0FF58F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George Winder</w:t>
            </w:r>
          </w:p>
        </w:tc>
        <w:tc>
          <w:tcPr>
            <w:tcW w:w="918" w:type="dxa"/>
            <w:noWrap/>
            <w:hideMark/>
          </w:tcPr>
          <w:p w14:paraId="5A9553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2DB942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372A8F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6BEE6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493064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Chapel </w:t>
            </w:r>
          </w:p>
        </w:tc>
        <w:tc>
          <w:tcPr>
            <w:tcW w:w="1118" w:type="dxa"/>
            <w:noWrap/>
            <w:hideMark/>
          </w:tcPr>
          <w:p w14:paraId="6763B4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716E1C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3E091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818" w:type="dxa"/>
            <w:gridSpan w:val="2"/>
            <w:noWrap/>
            <w:hideMark/>
          </w:tcPr>
          <w:p w14:paraId="193889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w:t>
            </w:r>
          </w:p>
        </w:tc>
        <w:tc>
          <w:tcPr>
            <w:tcW w:w="1093" w:type="dxa"/>
            <w:noWrap/>
            <w:hideMark/>
          </w:tcPr>
          <w:p w14:paraId="29009B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75ED0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6D7EDA4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5F7B484"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Hall, Joseph </w:t>
            </w:r>
          </w:p>
        </w:tc>
        <w:tc>
          <w:tcPr>
            <w:tcW w:w="1125" w:type="dxa"/>
            <w:noWrap/>
            <w:hideMark/>
          </w:tcPr>
          <w:p w14:paraId="4AD502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Nathaniel Butter</w:t>
            </w:r>
          </w:p>
        </w:tc>
        <w:tc>
          <w:tcPr>
            <w:tcW w:w="918" w:type="dxa"/>
            <w:noWrap/>
            <w:hideMark/>
          </w:tcPr>
          <w:p w14:paraId="68D073F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1FFE2EF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55C77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76E89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6A028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w:t>
            </w:r>
          </w:p>
        </w:tc>
        <w:tc>
          <w:tcPr>
            <w:tcW w:w="1118" w:type="dxa"/>
            <w:noWrap/>
            <w:hideMark/>
          </w:tcPr>
          <w:p w14:paraId="295042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71420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A2581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BECA88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10B40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7AAE5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2212B1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6995E51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6880C1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Hall, Joseph </w:t>
            </w:r>
          </w:p>
        </w:tc>
        <w:tc>
          <w:tcPr>
            <w:tcW w:w="1125" w:type="dxa"/>
            <w:noWrap/>
            <w:hideMark/>
          </w:tcPr>
          <w:p w14:paraId="1C43A5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Nathaniel Butter</w:t>
            </w:r>
          </w:p>
        </w:tc>
        <w:tc>
          <w:tcPr>
            <w:tcW w:w="918" w:type="dxa"/>
            <w:noWrap/>
            <w:hideMark/>
          </w:tcPr>
          <w:p w14:paraId="6A3E15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6AD54F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449597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CF8FD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7173DE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Whitehall </w:t>
            </w:r>
          </w:p>
        </w:tc>
        <w:tc>
          <w:tcPr>
            <w:tcW w:w="1118" w:type="dxa"/>
            <w:noWrap/>
            <w:hideMark/>
          </w:tcPr>
          <w:p w14:paraId="31AE00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B5858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74DA4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8BE1DF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08FD0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82CE4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D47E1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17EA2CA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682A59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Hall, Joseph </w:t>
            </w:r>
          </w:p>
        </w:tc>
        <w:tc>
          <w:tcPr>
            <w:tcW w:w="1125" w:type="dxa"/>
            <w:noWrap/>
            <w:hideMark/>
          </w:tcPr>
          <w:p w14:paraId="4D1713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Nathaniel Butter</w:t>
            </w:r>
          </w:p>
        </w:tc>
        <w:tc>
          <w:tcPr>
            <w:tcW w:w="918" w:type="dxa"/>
            <w:noWrap/>
            <w:hideMark/>
          </w:tcPr>
          <w:p w14:paraId="0945B6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526B9A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521166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16572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BF475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w:t>
            </w:r>
          </w:p>
        </w:tc>
        <w:tc>
          <w:tcPr>
            <w:tcW w:w="1118" w:type="dxa"/>
            <w:noWrap/>
            <w:hideMark/>
          </w:tcPr>
          <w:p w14:paraId="3C47F6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FB785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E98AA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1CB80A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671377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0DF85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A00B3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0C30A8A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DC0645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Hall, William </w:t>
            </w:r>
          </w:p>
        </w:tc>
        <w:tc>
          <w:tcPr>
            <w:tcW w:w="1125" w:type="dxa"/>
            <w:noWrap/>
            <w:hideMark/>
          </w:tcPr>
          <w:p w14:paraId="28D6AE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Samuel Brown</w:t>
            </w:r>
          </w:p>
        </w:tc>
        <w:tc>
          <w:tcPr>
            <w:tcW w:w="918" w:type="dxa"/>
            <w:noWrap/>
            <w:hideMark/>
          </w:tcPr>
          <w:p w14:paraId="4EEE94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31CC19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E04E2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C7E66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83809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58BFE7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521FB8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3BB9A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1F1A51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4FBB9F4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inauguration </w:t>
            </w:r>
          </w:p>
        </w:tc>
        <w:tc>
          <w:tcPr>
            <w:tcW w:w="963" w:type="dxa"/>
            <w:noWrap/>
            <w:hideMark/>
          </w:tcPr>
          <w:p w14:paraId="6BD958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7900754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1C31C5C"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Hampton, Christopher</w:t>
            </w:r>
          </w:p>
        </w:tc>
        <w:tc>
          <w:tcPr>
            <w:tcW w:w="1125" w:type="dxa"/>
            <w:noWrap/>
            <w:hideMark/>
          </w:tcPr>
          <w:p w14:paraId="7523BB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Society of Stationers</w:t>
            </w:r>
          </w:p>
        </w:tc>
        <w:tc>
          <w:tcPr>
            <w:tcW w:w="918" w:type="dxa"/>
            <w:noWrap/>
            <w:hideMark/>
          </w:tcPr>
          <w:p w14:paraId="76D9514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0A1022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8097A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Dublin </w:t>
            </w:r>
          </w:p>
        </w:tc>
        <w:tc>
          <w:tcPr>
            <w:tcW w:w="838" w:type="dxa"/>
            <w:noWrap/>
            <w:hideMark/>
          </w:tcPr>
          <w:p w14:paraId="0E9ED2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DF981E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Parliament </w:t>
            </w:r>
          </w:p>
        </w:tc>
        <w:tc>
          <w:tcPr>
            <w:tcW w:w="1118" w:type="dxa"/>
            <w:noWrap/>
            <w:hideMark/>
          </w:tcPr>
          <w:p w14:paraId="67F9F46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B22F4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71287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6CF5E7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30BBB6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C5758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DFA5E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6F6FA37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1A025AC"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Hampton, Christopher</w:t>
            </w:r>
          </w:p>
        </w:tc>
        <w:tc>
          <w:tcPr>
            <w:tcW w:w="1125" w:type="dxa"/>
            <w:noWrap/>
            <w:hideMark/>
          </w:tcPr>
          <w:p w14:paraId="17D1FB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Society of Stationers</w:t>
            </w:r>
          </w:p>
        </w:tc>
        <w:tc>
          <w:tcPr>
            <w:tcW w:w="918" w:type="dxa"/>
            <w:noWrap/>
            <w:hideMark/>
          </w:tcPr>
          <w:p w14:paraId="6D9C95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2B10FE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5FCAE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Dublin </w:t>
            </w:r>
          </w:p>
        </w:tc>
        <w:tc>
          <w:tcPr>
            <w:tcW w:w="838" w:type="dxa"/>
            <w:noWrap/>
            <w:hideMark/>
          </w:tcPr>
          <w:p w14:paraId="09B6B31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10200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04D74B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2851C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79D40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6BB65A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1E36F1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CEE2D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84A24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3684FB1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8DE4F3E"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Hampton, William</w:t>
            </w:r>
          </w:p>
        </w:tc>
        <w:tc>
          <w:tcPr>
            <w:tcW w:w="1125" w:type="dxa"/>
            <w:noWrap/>
            <w:hideMark/>
          </w:tcPr>
          <w:p w14:paraId="7392B6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Matthew </w:t>
            </w:r>
            <w:proofErr w:type="spellStart"/>
            <w:r w:rsidRPr="003037D2">
              <w:rPr>
                <w:rFonts w:ascii="Garamond" w:hAnsi="Garamond"/>
                <w:sz w:val="20"/>
                <w:szCs w:val="20"/>
              </w:rPr>
              <w:t>Lawe</w:t>
            </w:r>
            <w:proofErr w:type="spellEnd"/>
          </w:p>
        </w:tc>
        <w:tc>
          <w:tcPr>
            <w:tcW w:w="918" w:type="dxa"/>
            <w:noWrap/>
            <w:hideMark/>
          </w:tcPr>
          <w:p w14:paraId="5E7794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1627</w:t>
            </w:r>
          </w:p>
        </w:tc>
        <w:tc>
          <w:tcPr>
            <w:tcW w:w="931" w:type="dxa"/>
            <w:noWrap/>
            <w:hideMark/>
          </w:tcPr>
          <w:p w14:paraId="2C95F5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0003F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49A93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91A4F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31610B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30B8E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D61CE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C36CF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6DCBFBC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5868F4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6347BF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6A65453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6A16FF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Harding, John </w:t>
            </w:r>
          </w:p>
        </w:tc>
        <w:tc>
          <w:tcPr>
            <w:tcW w:w="1125" w:type="dxa"/>
            <w:noWrap/>
            <w:hideMark/>
          </w:tcPr>
          <w:p w14:paraId="1A50D2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Roger Jackson </w:t>
            </w:r>
          </w:p>
        </w:tc>
        <w:tc>
          <w:tcPr>
            <w:tcW w:w="918" w:type="dxa"/>
            <w:noWrap/>
            <w:hideMark/>
          </w:tcPr>
          <w:p w14:paraId="299E258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3312B5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FBCCF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964865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08218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Westminster </w:t>
            </w:r>
          </w:p>
        </w:tc>
        <w:tc>
          <w:tcPr>
            <w:tcW w:w="1118" w:type="dxa"/>
            <w:noWrap/>
            <w:hideMark/>
          </w:tcPr>
          <w:p w14:paraId="7A0464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57EC9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BF95CD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686C01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127A7B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FEF34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6B2F4C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6D3F34D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A1C4CE8"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Hardwick, William </w:t>
            </w:r>
          </w:p>
        </w:tc>
        <w:tc>
          <w:tcPr>
            <w:tcW w:w="1125" w:type="dxa"/>
            <w:noWrap/>
            <w:hideMark/>
          </w:tcPr>
          <w:p w14:paraId="3ABF2D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Richard Cartwright </w:t>
            </w:r>
          </w:p>
        </w:tc>
        <w:tc>
          <w:tcPr>
            <w:tcW w:w="918" w:type="dxa"/>
            <w:noWrap/>
            <w:hideMark/>
          </w:tcPr>
          <w:p w14:paraId="53429E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1638</w:t>
            </w:r>
          </w:p>
        </w:tc>
        <w:tc>
          <w:tcPr>
            <w:tcW w:w="931" w:type="dxa"/>
            <w:noWrap/>
            <w:hideMark/>
          </w:tcPr>
          <w:p w14:paraId="3DCD94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2C9F4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8A7E5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C099F6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6835CB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2C607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228ABE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5D56EE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6AF605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visitation </w:t>
            </w:r>
          </w:p>
        </w:tc>
        <w:tc>
          <w:tcPr>
            <w:tcW w:w="963" w:type="dxa"/>
            <w:noWrap/>
            <w:hideMark/>
          </w:tcPr>
          <w:p w14:paraId="7B39A36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7FE18B3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CDABE0D"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Harris, John </w:t>
            </w:r>
          </w:p>
        </w:tc>
        <w:tc>
          <w:tcPr>
            <w:tcW w:w="1125" w:type="dxa"/>
            <w:noWrap/>
            <w:hideMark/>
          </w:tcPr>
          <w:p w14:paraId="5EB9B72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G. </w:t>
            </w:r>
            <w:proofErr w:type="spellStart"/>
            <w:r w:rsidRPr="003037D2">
              <w:rPr>
                <w:rFonts w:ascii="Garamond" w:hAnsi="Garamond"/>
                <w:sz w:val="20"/>
                <w:szCs w:val="20"/>
              </w:rPr>
              <w:t>Lathum</w:t>
            </w:r>
            <w:proofErr w:type="spellEnd"/>
            <w:r w:rsidRPr="003037D2">
              <w:rPr>
                <w:rFonts w:ascii="Garamond" w:hAnsi="Garamond"/>
                <w:sz w:val="20"/>
                <w:szCs w:val="20"/>
              </w:rPr>
              <w:t xml:space="preserve"> </w:t>
            </w:r>
          </w:p>
        </w:tc>
        <w:tc>
          <w:tcPr>
            <w:tcW w:w="918" w:type="dxa"/>
            <w:noWrap/>
            <w:hideMark/>
          </w:tcPr>
          <w:p w14:paraId="15B39F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1629</w:t>
            </w:r>
          </w:p>
        </w:tc>
        <w:tc>
          <w:tcPr>
            <w:tcW w:w="931" w:type="dxa"/>
            <w:noWrap/>
            <w:hideMark/>
          </w:tcPr>
          <w:p w14:paraId="26F3CB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1E42E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9CD3D3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1B1FCA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House of Commons</w:t>
            </w:r>
          </w:p>
        </w:tc>
        <w:tc>
          <w:tcPr>
            <w:tcW w:w="1118" w:type="dxa"/>
            <w:noWrap/>
            <w:hideMark/>
          </w:tcPr>
          <w:p w14:paraId="1435BF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981" w:type="dxa"/>
            <w:noWrap/>
            <w:hideMark/>
          </w:tcPr>
          <w:p w14:paraId="6D0613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D1D77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0E7226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4C3C1A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Event - fast</w:t>
            </w:r>
          </w:p>
        </w:tc>
        <w:tc>
          <w:tcPr>
            <w:tcW w:w="1093" w:type="dxa"/>
            <w:noWrap/>
            <w:hideMark/>
          </w:tcPr>
          <w:p w14:paraId="38C9C3F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F703D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0421D1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AA65868"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Harris, Malachi</w:t>
            </w:r>
          </w:p>
        </w:tc>
        <w:tc>
          <w:tcPr>
            <w:tcW w:w="1125" w:type="dxa"/>
            <w:noWrap/>
            <w:hideMark/>
          </w:tcPr>
          <w:p w14:paraId="2A9A53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S.N.</w:t>
            </w:r>
          </w:p>
        </w:tc>
        <w:tc>
          <w:tcPr>
            <w:tcW w:w="918" w:type="dxa"/>
            <w:noWrap/>
            <w:hideMark/>
          </w:tcPr>
          <w:p w14:paraId="7D8F32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1639</w:t>
            </w:r>
          </w:p>
        </w:tc>
        <w:tc>
          <w:tcPr>
            <w:tcW w:w="931" w:type="dxa"/>
            <w:noWrap/>
            <w:hideMark/>
          </w:tcPr>
          <w:p w14:paraId="7994189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17FC4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Hamburg</w:t>
            </w:r>
          </w:p>
        </w:tc>
        <w:tc>
          <w:tcPr>
            <w:tcW w:w="838" w:type="dxa"/>
            <w:noWrap/>
            <w:hideMark/>
          </w:tcPr>
          <w:p w14:paraId="5D98A7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444CF1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56DFE81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6D792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71537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3EE7A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w:t>
            </w:r>
          </w:p>
        </w:tc>
        <w:tc>
          <w:tcPr>
            <w:tcW w:w="965" w:type="dxa"/>
            <w:noWrap/>
            <w:hideMark/>
          </w:tcPr>
          <w:p w14:paraId="6EEC5B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C7F614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DC456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7F52397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3629414"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Harris, Paul </w:t>
            </w:r>
          </w:p>
        </w:tc>
        <w:tc>
          <w:tcPr>
            <w:tcW w:w="1125" w:type="dxa"/>
            <w:noWrap/>
            <w:hideMark/>
          </w:tcPr>
          <w:p w14:paraId="27D7C1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James </w:t>
            </w:r>
            <w:proofErr w:type="spellStart"/>
            <w:r w:rsidRPr="003037D2">
              <w:rPr>
                <w:rFonts w:ascii="Garamond" w:hAnsi="Garamond"/>
                <w:sz w:val="20"/>
                <w:szCs w:val="20"/>
              </w:rPr>
              <w:t>Mesens</w:t>
            </w:r>
            <w:proofErr w:type="spellEnd"/>
          </w:p>
        </w:tc>
        <w:tc>
          <w:tcPr>
            <w:tcW w:w="918" w:type="dxa"/>
            <w:noWrap/>
            <w:hideMark/>
          </w:tcPr>
          <w:p w14:paraId="1B1C68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1639</w:t>
            </w:r>
          </w:p>
        </w:tc>
        <w:tc>
          <w:tcPr>
            <w:tcW w:w="931" w:type="dxa"/>
            <w:noWrap/>
            <w:hideMark/>
          </w:tcPr>
          <w:p w14:paraId="2BD715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556D0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Antwerp </w:t>
            </w:r>
          </w:p>
        </w:tc>
        <w:tc>
          <w:tcPr>
            <w:tcW w:w="838" w:type="dxa"/>
            <w:noWrap/>
            <w:hideMark/>
          </w:tcPr>
          <w:p w14:paraId="1E933E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1DD0B6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680C1CF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3C08E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D27524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688CA4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769143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DCD2D5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35217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43D7E65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072FD2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Harris, Robert </w:t>
            </w:r>
          </w:p>
        </w:tc>
        <w:tc>
          <w:tcPr>
            <w:tcW w:w="1125" w:type="dxa"/>
            <w:noWrap/>
            <w:hideMark/>
          </w:tcPr>
          <w:p w14:paraId="266560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Bartlet</w:t>
            </w:r>
            <w:proofErr w:type="spellEnd"/>
          </w:p>
        </w:tc>
        <w:tc>
          <w:tcPr>
            <w:tcW w:w="918" w:type="dxa"/>
            <w:noWrap/>
            <w:hideMark/>
          </w:tcPr>
          <w:p w14:paraId="1A438B8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1631</w:t>
            </w:r>
          </w:p>
        </w:tc>
        <w:tc>
          <w:tcPr>
            <w:tcW w:w="931" w:type="dxa"/>
            <w:noWrap/>
            <w:hideMark/>
          </w:tcPr>
          <w:p w14:paraId="2C4CC5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84C80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49EFFE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70356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760943F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C80E4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7DB002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7A2EB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103A4AE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758AE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03106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64B792D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CAB822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Harris, Robert </w:t>
            </w:r>
          </w:p>
        </w:tc>
        <w:tc>
          <w:tcPr>
            <w:tcW w:w="1125" w:type="dxa"/>
            <w:noWrap/>
            <w:hideMark/>
          </w:tcPr>
          <w:p w14:paraId="6AABD12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Bartlet</w:t>
            </w:r>
            <w:proofErr w:type="spellEnd"/>
            <w:r w:rsidRPr="003037D2">
              <w:rPr>
                <w:rFonts w:ascii="Garamond" w:hAnsi="Garamond"/>
                <w:sz w:val="20"/>
                <w:szCs w:val="20"/>
              </w:rPr>
              <w:t xml:space="preserve"> </w:t>
            </w:r>
          </w:p>
        </w:tc>
        <w:tc>
          <w:tcPr>
            <w:tcW w:w="918" w:type="dxa"/>
            <w:noWrap/>
            <w:hideMark/>
          </w:tcPr>
          <w:p w14:paraId="5C83A29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4101DB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F42BA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DEDF0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C2B4F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54842D5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DCD37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4C402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1EA55E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936DF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9307B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3F8A3F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50AAA9C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1887CC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Harris, Robert </w:t>
            </w:r>
          </w:p>
        </w:tc>
        <w:tc>
          <w:tcPr>
            <w:tcW w:w="1125" w:type="dxa"/>
            <w:noWrap/>
            <w:hideMark/>
          </w:tcPr>
          <w:p w14:paraId="1C2877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Bartlet</w:t>
            </w:r>
            <w:proofErr w:type="spellEnd"/>
            <w:r w:rsidRPr="003037D2">
              <w:rPr>
                <w:rFonts w:ascii="Garamond" w:hAnsi="Garamond"/>
                <w:sz w:val="20"/>
                <w:szCs w:val="20"/>
              </w:rPr>
              <w:t xml:space="preserve"> </w:t>
            </w:r>
          </w:p>
        </w:tc>
        <w:tc>
          <w:tcPr>
            <w:tcW w:w="918" w:type="dxa"/>
            <w:noWrap/>
            <w:hideMark/>
          </w:tcPr>
          <w:p w14:paraId="577498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2F0228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0D46D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0720F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2BCC98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7F8CFF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F1FF9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8AB9EF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1AFE59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2AAC04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4391B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DD287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071701E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E40BD5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Harris, Robert </w:t>
            </w:r>
          </w:p>
        </w:tc>
        <w:tc>
          <w:tcPr>
            <w:tcW w:w="1125" w:type="dxa"/>
            <w:noWrap/>
            <w:hideMark/>
          </w:tcPr>
          <w:p w14:paraId="54ABAD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Bartlet</w:t>
            </w:r>
            <w:proofErr w:type="spellEnd"/>
            <w:r w:rsidRPr="003037D2">
              <w:rPr>
                <w:rFonts w:ascii="Garamond" w:hAnsi="Garamond"/>
                <w:sz w:val="20"/>
                <w:szCs w:val="20"/>
              </w:rPr>
              <w:t xml:space="preserve"> </w:t>
            </w:r>
          </w:p>
        </w:tc>
        <w:tc>
          <w:tcPr>
            <w:tcW w:w="918" w:type="dxa"/>
            <w:noWrap/>
            <w:hideMark/>
          </w:tcPr>
          <w:p w14:paraId="5938A3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6CDE13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E943F6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85160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24F217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7677BE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ACF566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F33364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AB692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29239A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5DDB37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539D7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5DD5658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8B1896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Harris, Robert </w:t>
            </w:r>
          </w:p>
        </w:tc>
        <w:tc>
          <w:tcPr>
            <w:tcW w:w="1125" w:type="dxa"/>
            <w:noWrap/>
            <w:hideMark/>
          </w:tcPr>
          <w:p w14:paraId="6DF150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Bartlet</w:t>
            </w:r>
            <w:proofErr w:type="spellEnd"/>
          </w:p>
        </w:tc>
        <w:tc>
          <w:tcPr>
            <w:tcW w:w="918" w:type="dxa"/>
            <w:noWrap/>
            <w:hideMark/>
          </w:tcPr>
          <w:p w14:paraId="5DA419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7B764C4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45865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4E43842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F32E3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House of Commons </w:t>
            </w:r>
          </w:p>
        </w:tc>
        <w:tc>
          <w:tcPr>
            <w:tcW w:w="1118" w:type="dxa"/>
            <w:noWrap/>
            <w:hideMark/>
          </w:tcPr>
          <w:p w14:paraId="2E47E8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7B71D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6EFD4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19B27C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6F4CF1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Event - fast</w:t>
            </w:r>
          </w:p>
        </w:tc>
        <w:tc>
          <w:tcPr>
            <w:tcW w:w="1093" w:type="dxa"/>
            <w:noWrap/>
            <w:hideMark/>
          </w:tcPr>
          <w:p w14:paraId="75DEAC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A8F12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33A6CC5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EA614F6"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Hayes, William </w:t>
            </w:r>
          </w:p>
        </w:tc>
        <w:tc>
          <w:tcPr>
            <w:tcW w:w="1125" w:type="dxa"/>
            <w:noWrap/>
            <w:hideMark/>
          </w:tcPr>
          <w:p w14:paraId="247EFE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James Short </w:t>
            </w:r>
          </w:p>
        </w:tc>
        <w:tc>
          <w:tcPr>
            <w:tcW w:w="918" w:type="dxa"/>
            <w:noWrap/>
            <w:hideMark/>
          </w:tcPr>
          <w:p w14:paraId="36F38C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385CB3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76A04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935E4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398AE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5359E7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B022F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DE312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6B38CDF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7D4395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4D829A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3C2CF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2AB5395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0F8DB14"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Herle</w:t>
            </w:r>
            <w:proofErr w:type="spellEnd"/>
            <w:r w:rsidRPr="003037D2">
              <w:rPr>
                <w:rFonts w:ascii="Garamond" w:hAnsi="Garamond"/>
                <w:b w:val="0"/>
                <w:bCs w:val="0"/>
                <w:sz w:val="20"/>
                <w:szCs w:val="20"/>
              </w:rPr>
              <w:t xml:space="preserve">, Charles </w:t>
            </w:r>
          </w:p>
        </w:tc>
        <w:tc>
          <w:tcPr>
            <w:tcW w:w="1125" w:type="dxa"/>
            <w:noWrap/>
            <w:hideMark/>
          </w:tcPr>
          <w:p w14:paraId="05F942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Bartlet</w:t>
            </w:r>
            <w:proofErr w:type="spellEnd"/>
            <w:r w:rsidRPr="003037D2">
              <w:rPr>
                <w:rFonts w:ascii="Garamond" w:hAnsi="Garamond"/>
                <w:sz w:val="20"/>
                <w:szCs w:val="20"/>
              </w:rPr>
              <w:t xml:space="preserve"> </w:t>
            </w:r>
          </w:p>
        </w:tc>
        <w:tc>
          <w:tcPr>
            <w:tcW w:w="918" w:type="dxa"/>
            <w:noWrap/>
            <w:hideMark/>
          </w:tcPr>
          <w:p w14:paraId="468146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6867D1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1E206F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7315C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BBABF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Westminster </w:t>
            </w:r>
          </w:p>
        </w:tc>
        <w:tc>
          <w:tcPr>
            <w:tcW w:w="2099" w:type="dxa"/>
            <w:gridSpan w:val="2"/>
            <w:noWrap/>
            <w:hideMark/>
          </w:tcPr>
          <w:p w14:paraId="165895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House of Common s</w:t>
            </w:r>
          </w:p>
        </w:tc>
        <w:tc>
          <w:tcPr>
            <w:tcW w:w="681" w:type="dxa"/>
            <w:noWrap/>
            <w:hideMark/>
          </w:tcPr>
          <w:p w14:paraId="5F77FB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190B184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59AFA0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fast </w:t>
            </w:r>
          </w:p>
        </w:tc>
        <w:tc>
          <w:tcPr>
            <w:tcW w:w="1093" w:type="dxa"/>
            <w:noWrap/>
            <w:hideMark/>
          </w:tcPr>
          <w:p w14:paraId="41B220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9A2EE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0C43D38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564A0E3"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Heron, Edward </w:t>
            </w:r>
          </w:p>
        </w:tc>
        <w:tc>
          <w:tcPr>
            <w:tcW w:w="1125" w:type="dxa"/>
            <w:noWrap/>
            <w:hideMark/>
          </w:tcPr>
          <w:p w14:paraId="007CCA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spellStart"/>
            <w:r w:rsidRPr="003037D2">
              <w:rPr>
                <w:rFonts w:ascii="Garamond" w:hAnsi="Garamond"/>
                <w:sz w:val="20"/>
                <w:szCs w:val="20"/>
              </w:rPr>
              <w:t>Franis</w:t>
            </w:r>
            <w:proofErr w:type="spellEnd"/>
            <w:r w:rsidRPr="003037D2">
              <w:rPr>
                <w:rFonts w:ascii="Garamond" w:hAnsi="Garamond"/>
                <w:sz w:val="20"/>
                <w:szCs w:val="20"/>
              </w:rPr>
              <w:t xml:space="preserve"> Constable </w:t>
            </w:r>
          </w:p>
        </w:tc>
        <w:tc>
          <w:tcPr>
            <w:tcW w:w="918" w:type="dxa"/>
            <w:noWrap/>
            <w:hideMark/>
          </w:tcPr>
          <w:p w14:paraId="4E6CC1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1621</w:t>
            </w:r>
          </w:p>
        </w:tc>
        <w:tc>
          <w:tcPr>
            <w:tcW w:w="931" w:type="dxa"/>
            <w:noWrap/>
            <w:hideMark/>
          </w:tcPr>
          <w:p w14:paraId="3D4D27E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40012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1C217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E1AD6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569D01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05CB7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FFA6E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256522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33FA0A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A7D74D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9F7A3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5CDC3DB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1177FBF"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Herring, Theodore</w:t>
            </w:r>
          </w:p>
        </w:tc>
        <w:tc>
          <w:tcPr>
            <w:tcW w:w="1125" w:type="dxa"/>
            <w:noWrap/>
            <w:hideMark/>
          </w:tcPr>
          <w:p w14:paraId="1D8C8C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Nicholas Bourne </w:t>
            </w:r>
          </w:p>
        </w:tc>
        <w:tc>
          <w:tcPr>
            <w:tcW w:w="918" w:type="dxa"/>
            <w:noWrap/>
            <w:hideMark/>
          </w:tcPr>
          <w:p w14:paraId="33FF29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5EE869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512BE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B2D0AA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9FF15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Blackfriars </w:t>
            </w:r>
          </w:p>
        </w:tc>
        <w:tc>
          <w:tcPr>
            <w:tcW w:w="1118" w:type="dxa"/>
            <w:noWrap/>
            <w:hideMark/>
          </w:tcPr>
          <w:p w14:paraId="29D809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00211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A5624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818" w:type="dxa"/>
            <w:gridSpan w:val="2"/>
            <w:noWrap/>
            <w:hideMark/>
          </w:tcPr>
          <w:p w14:paraId="65CCB69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thanksgiving </w:t>
            </w:r>
          </w:p>
        </w:tc>
        <w:tc>
          <w:tcPr>
            <w:tcW w:w="1093" w:type="dxa"/>
            <w:noWrap/>
            <w:hideMark/>
          </w:tcPr>
          <w:p w14:paraId="798574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FCD95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7A0B8BF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839349C"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Hieron</w:t>
            </w:r>
            <w:proofErr w:type="spellEnd"/>
            <w:r w:rsidRPr="003037D2">
              <w:rPr>
                <w:rFonts w:ascii="Garamond" w:hAnsi="Garamond"/>
                <w:b w:val="0"/>
                <w:bCs w:val="0"/>
                <w:sz w:val="20"/>
                <w:szCs w:val="20"/>
              </w:rPr>
              <w:t xml:space="preserve">, Samuel </w:t>
            </w:r>
          </w:p>
        </w:tc>
        <w:tc>
          <w:tcPr>
            <w:tcW w:w="1125" w:type="dxa"/>
            <w:noWrap/>
            <w:hideMark/>
          </w:tcPr>
          <w:p w14:paraId="15A3F9F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S.N.</w:t>
            </w:r>
          </w:p>
        </w:tc>
        <w:tc>
          <w:tcPr>
            <w:tcW w:w="918" w:type="dxa"/>
            <w:noWrap/>
            <w:hideMark/>
          </w:tcPr>
          <w:p w14:paraId="4EB898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1ABA5E1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7AB8493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Holland </w:t>
            </w:r>
          </w:p>
        </w:tc>
        <w:tc>
          <w:tcPr>
            <w:tcW w:w="838" w:type="dxa"/>
            <w:noWrap/>
            <w:hideMark/>
          </w:tcPr>
          <w:p w14:paraId="0ADD60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9CEDE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4028078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AB5E2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EC1BF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39E312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visitation </w:t>
            </w:r>
          </w:p>
        </w:tc>
        <w:tc>
          <w:tcPr>
            <w:tcW w:w="1093" w:type="dxa"/>
            <w:noWrap/>
            <w:hideMark/>
          </w:tcPr>
          <w:p w14:paraId="5736BF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A5C829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20D5AE6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8054EC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Hill, Augustine </w:t>
            </w:r>
          </w:p>
        </w:tc>
        <w:tc>
          <w:tcPr>
            <w:tcW w:w="1125" w:type="dxa"/>
            <w:noWrap/>
            <w:hideMark/>
          </w:tcPr>
          <w:p w14:paraId="6EAC36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Nicholas Bourne </w:t>
            </w:r>
          </w:p>
        </w:tc>
        <w:tc>
          <w:tcPr>
            <w:tcW w:w="918" w:type="dxa"/>
            <w:noWrap/>
            <w:hideMark/>
          </w:tcPr>
          <w:p w14:paraId="5FB6C9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1640</w:t>
            </w:r>
          </w:p>
        </w:tc>
        <w:tc>
          <w:tcPr>
            <w:tcW w:w="931" w:type="dxa"/>
            <w:noWrap/>
            <w:hideMark/>
          </w:tcPr>
          <w:p w14:paraId="025CDF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FEAE3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13774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77E906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St. Paul's </w:t>
            </w:r>
          </w:p>
        </w:tc>
        <w:tc>
          <w:tcPr>
            <w:tcW w:w="1118" w:type="dxa"/>
            <w:noWrap/>
            <w:hideMark/>
          </w:tcPr>
          <w:p w14:paraId="0D7670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3CF30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E88D4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325A4C3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D29D8F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974EA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55D8C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106EDBB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091366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Hill, Augustine </w:t>
            </w:r>
          </w:p>
        </w:tc>
        <w:tc>
          <w:tcPr>
            <w:tcW w:w="1125" w:type="dxa"/>
            <w:noWrap/>
            <w:hideMark/>
          </w:tcPr>
          <w:p w14:paraId="1DE01C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Nicholas Bourne </w:t>
            </w:r>
          </w:p>
        </w:tc>
        <w:tc>
          <w:tcPr>
            <w:tcW w:w="918" w:type="dxa"/>
            <w:noWrap/>
            <w:hideMark/>
          </w:tcPr>
          <w:p w14:paraId="39B51E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1640</w:t>
            </w:r>
          </w:p>
        </w:tc>
        <w:tc>
          <w:tcPr>
            <w:tcW w:w="931" w:type="dxa"/>
            <w:noWrap/>
            <w:hideMark/>
          </w:tcPr>
          <w:p w14:paraId="745EF7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A47DB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1B8FC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20BC6F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780025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8B110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BE2E9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B22D8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 year </w:t>
            </w:r>
          </w:p>
        </w:tc>
        <w:tc>
          <w:tcPr>
            <w:tcW w:w="965" w:type="dxa"/>
            <w:noWrap/>
            <w:hideMark/>
          </w:tcPr>
          <w:p w14:paraId="12C7BE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3DA47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80770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1D8F516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7EF7783"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Hill, Thomas </w:t>
            </w:r>
          </w:p>
        </w:tc>
        <w:tc>
          <w:tcPr>
            <w:tcW w:w="1125" w:type="dxa"/>
            <w:noWrap/>
            <w:hideMark/>
          </w:tcPr>
          <w:p w14:paraId="08C89E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Bellamie</w:t>
            </w:r>
            <w:proofErr w:type="spellEnd"/>
          </w:p>
        </w:tc>
        <w:tc>
          <w:tcPr>
            <w:tcW w:w="918" w:type="dxa"/>
            <w:noWrap/>
            <w:hideMark/>
          </w:tcPr>
          <w:p w14:paraId="1370B5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65E238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2982A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2A973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9AFBB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House of commons </w:t>
            </w:r>
          </w:p>
        </w:tc>
        <w:tc>
          <w:tcPr>
            <w:tcW w:w="1118" w:type="dxa"/>
            <w:noWrap/>
            <w:hideMark/>
          </w:tcPr>
          <w:p w14:paraId="35C747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90B42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FF42A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50F53C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80DED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Event - fast</w:t>
            </w:r>
          </w:p>
        </w:tc>
        <w:tc>
          <w:tcPr>
            <w:tcW w:w="1093" w:type="dxa"/>
            <w:noWrap/>
            <w:hideMark/>
          </w:tcPr>
          <w:p w14:paraId="594C24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9188AB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0CA8C47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E33712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Hoard, Samuel </w:t>
            </w:r>
          </w:p>
        </w:tc>
        <w:tc>
          <w:tcPr>
            <w:tcW w:w="1125" w:type="dxa"/>
            <w:noWrap/>
            <w:hideMark/>
          </w:tcPr>
          <w:p w14:paraId="3687D11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Clark </w:t>
            </w:r>
          </w:p>
        </w:tc>
        <w:tc>
          <w:tcPr>
            <w:tcW w:w="918" w:type="dxa"/>
            <w:noWrap/>
            <w:hideMark/>
          </w:tcPr>
          <w:p w14:paraId="136DFC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1637</w:t>
            </w:r>
          </w:p>
        </w:tc>
        <w:tc>
          <w:tcPr>
            <w:tcW w:w="931" w:type="dxa"/>
            <w:noWrap/>
            <w:hideMark/>
          </w:tcPr>
          <w:p w14:paraId="7D69B49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B41D2D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742F8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2F5155C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5E548E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CFC1F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F6163F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764412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visitation </w:t>
            </w:r>
          </w:p>
        </w:tc>
        <w:tc>
          <w:tcPr>
            <w:tcW w:w="1093" w:type="dxa"/>
            <w:noWrap/>
            <w:hideMark/>
          </w:tcPr>
          <w:p w14:paraId="2C7B462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04045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6A43124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1864CB8"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Hodges, Thomas </w:t>
            </w:r>
          </w:p>
        </w:tc>
        <w:tc>
          <w:tcPr>
            <w:tcW w:w="1125" w:type="dxa"/>
            <w:noWrap/>
            <w:hideMark/>
          </w:tcPr>
          <w:p w14:paraId="583A04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Bartlet</w:t>
            </w:r>
            <w:proofErr w:type="spellEnd"/>
            <w:r w:rsidRPr="003037D2">
              <w:rPr>
                <w:rFonts w:ascii="Garamond" w:hAnsi="Garamond"/>
                <w:sz w:val="20"/>
                <w:szCs w:val="20"/>
              </w:rPr>
              <w:t xml:space="preserve"> </w:t>
            </w:r>
          </w:p>
        </w:tc>
        <w:tc>
          <w:tcPr>
            <w:tcW w:w="918" w:type="dxa"/>
            <w:noWrap/>
            <w:hideMark/>
          </w:tcPr>
          <w:p w14:paraId="44D959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615878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A2124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488E6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3092E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2099" w:type="dxa"/>
            <w:gridSpan w:val="2"/>
            <w:noWrap/>
            <w:hideMark/>
          </w:tcPr>
          <w:p w14:paraId="6254C9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House of Commons</w:t>
            </w:r>
          </w:p>
        </w:tc>
        <w:tc>
          <w:tcPr>
            <w:tcW w:w="681" w:type="dxa"/>
            <w:noWrap/>
            <w:hideMark/>
          </w:tcPr>
          <w:p w14:paraId="69C171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3D331A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6C97BD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fast </w:t>
            </w:r>
          </w:p>
        </w:tc>
        <w:tc>
          <w:tcPr>
            <w:tcW w:w="1093" w:type="dxa"/>
            <w:noWrap/>
            <w:hideMark/>
          </w:tcPr>
          <w:p w14:paraId="145C3C4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1822E9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288AB7C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A2208F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Hodson, Phineas </w:t>
            </w:r>
          </w:p>
        </w:tc>
        <w:tc>
          <w:tcPr>
            <w:tcW w:w="1125" w:type="dxa"/>
            <w:noWrap/>
            <w:hideMark/>
          </w:tcPr>
          <w:p w14:paraId="76BDA7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Edward Blount </w:t>
            </w:r>
          </w:p>
        </w:tc>
        <w:tc>
          <w:tcPr>
            <w:tcW w:w="918" w:type="dxa"/>
            <w:noWrap/>
            <w:hideMark/>
          </w:tcPr>
          <w:p w14:paraId="64CC919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1628</w:t>
            </w:r>
          </w:p>
        </w:tc>
        <w:tc>
          <w:tcPr>
            <w:tcW w:w="931" w:type="dxa"/>
            <w:noWrap/>
            <w:hideMark/>
          </w:tcPr>
          <w:p w14:paraId="16FACA2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E2990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BAAE4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61049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29E73D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71C09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9B6D7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7675CE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207805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Event - fast</w:t>
            </w:r>
          </w:p>
        </w:tc>
        <w:tc>
          <w:tcPr>
            <w:tcW w:w="1093" w:type="dxa"/>
            <w:noWrap/>
            <w:hideMark/>
          </w:tcPr>
          <w:p w14:paraId="37670D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7782E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494EC45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CBA3DF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Hodson, Phineas </w:t>
            </w:r>
          </w:p>
        </w:tc>
        <w:tc>
          <w:tcPr>
            <w:tcW w:w="1125" w:type="dxa"/>
            <w:noWrap/>
            <w:hideMark/>
          </w:tcPr>
          <w:p w14:paraId="3FE713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Hannah Barret </w:t>
            </w:r>
          </w:p>
        </w:tc>
        <w:tc>
          <w:tcPr>
            <w:tcW w:w="918" w:type="dxa"/>
            <w:noWrap/>
            <w:hideMark/>
          </w:tcPr>
          <w:p w14:paraId="1EEF83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65A031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D9CC5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24CF68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D9B50A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Court - Denmark House</w:t>
            </w:r>
          </w:p>
        </w:tc>
        <w:tc>
          <w:tcPr>
            <w:tcW w:w="1118" w:type="dxa"/>
            <w:noWrap/>
            <w:hideMark/>
          </w:tcPr>
          <w:p w14:paraId="3A729A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9AFF6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E9762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209F3B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17B7E3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0497A9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10DA22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DCEBE2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Holdsworth, Richard </w:t>
            </w:r>
          </w:p>
        </w:tc>
        <w:tc>
          <w:tcPr>
            <w:tcW w:w="1125" w:type="dxa"/>
            <w:noWrap/>
            <w:hideMark/>
          </w:tcPr>
          <w:p w14:paraId="2F60DC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Roger Daniel </w:t>
            </w:r>
          </w:p>
        </w:tc>
        <w:tc>
          <w:tcPr>
            <w:tcW w:w="918" w:type="dxa"/>
            <w:noWrap/>
            <w:hideMark/>
          </w:tcPr>
          <w:p w14:paraId="31EE11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15300E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FB754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73979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22F5E9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4EF8A1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34E346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A3DBA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D287A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64FE83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inauguration </w:t>
            </w:r>
          </w:p>
        </w:tc>
        <w:tc>
          <w:tcPr>
            <w:tcW w:w="963" w:type="dxa"/>
            <w:noWrap/>
            <w:hideMark/>
          </w:tcPr>
          <w:p w14:paraId="130B3C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1B7AAC0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311F9BF"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Holdsworth, Richard </w:t>
            </w:r>
          </w:p>
        </w:tc>
        <w:tc>
          <w:tcPr>
            <w:tcW w:w="1125" w:type="dxa"/>
            <w:noWrap/>
            <w:hideMark/>
          </w:tcPr>
          <w:p w14:paraId="13A6F6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Roger Daniel </w:t>
            </w:r>
          </w:p>
        </w:tc>
        <w:tc>
          <w:tcPr>
            <w:tcW w:w="918" w:type="dxa"/>
            <w:noWrap/>
            <w:hideMark/>
          </w:tcPr>
          <w:p w14:paraId="07588A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6AB3BB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C300D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A8F81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5E76D5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0FF043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F59CC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30C1B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287BD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2C74A34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inauguration </w:t>
            </w:r>
          </w:p>
        </w:tc>
        <w:tc>
          <w:tcPr>
            <w:tcW w:w="963" w:type="dxa"/>
            <w:noWrap/>
            <w:hideMark/>
          </w:tcPr>
          <w:p w14:paraId="11A900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75A2FDE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C266527"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Holyday, </w:t>
            </w:r>
            <w:proofErr w:type="spellStart"/>
            <w:r w:rsidRPr="003037D2">
              <w:rPr>
                <w:rFonts w:ascii="Garamond" w:hAnsi="Garamond"/>
                <w:b w:val="0"/>
                <w:bCs w:val="0"/>
                <w:sz w:val="20"/>
                <w:szCs w:val="20"/>
              </w:rPr>
              <w:t>Barten</w:t>
            </w:r>
            <w:proofErr w:type="spellEnd"/>
            <w:r w:rsidRPr="003037D2">
              <w:rPr>
                <w:rFonts w:ascii="Garamond" w:hAnsi="Garamond"/>
                <w:b w:val="0"/>
                <w:bCs w:val="0"/>
                <w:sz w:val="20"/>
                <w:szCs w:val="20"/>
              </w:rPr>
              <w:t xml:space="preserve"> </w:t>
            </w:r>
          </w:p>
        </w:tc>
        <w:tc>
          <w:tcPr>
            <w:tcW w:w="1125" w:type="dxa"/>
            <w:noWrap/>
            <w:hideMark/>
          </w:tcPr>
          <w:p w14:paraId="780376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spellStart"/>
            <w:r w:rsidRPr="003037D2">
              <w:rPr>
                <w:rFonts w:ascii="Garamond" w:hAnsi="Garamond"/>
                <w:sz w:val="20"/>
                <w:szCs w:val="20"/>
              </w:rPr>
              <w:t>Nathaniell</w:t>
            </w:r>
            <w:proofErr w:type="spellEnd"/>
            <w:r w:rsidRPr="003037D2">
              <w:rPr>
                <w:rFonts w:ascii="Garamond" w:hAnsi="Garamond"/>
                <w:sz w:val="20"/>
                <w:szCs w:val="20"/>
              </w:rPr>
              <w:t xml:space="preserve"> Butter</w:t>
            </w:r>
          </w:p>
        </w:tc>
        <w:tc>
          <w:tcPr>
            <w:tcW w:w="918" w:type="dxa"/>
            <w:noWrap/>
            <w:hideMark/>
          </w:tcPr>
          <w:p w14:paraId="37E573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78974F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5FC4EF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11581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10A69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1784FE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415B0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F2C4B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14C67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7B3B7E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463B1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FADB26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2245BF1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8F45088"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Howell, Thomas </w:t>
            </w:r>
          </w:p>
        </w:tc>
        <w:tc>
          <w:tcPr>
            <w:tcW w:w="1125" w:type="dxa"/>
            <w:noWrap/>
            <w:hideMark/>
          </w:tcPr>
          <w:p w14:paraId="1FC226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Waterson </w:t>
            </w:r>
          </w:p>
        </w:tc>
        <w:tc>
          <w:tcPr>
            <w:tcW w:w="918" w:type="dxa"/>
            <w:noWrap/>
            <w:hideMark/>
          </w:tcPr>
          <w:p w14:paraId="7647412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269CA2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204C8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C7F0C7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10DB6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661595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51C2B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4C347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29390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022A69F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302F51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6DE984D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8C08B87"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Hunt, James </w:t>
            </w:r>
          </w:p>
        </w:tc>
        <w:tc>
          <w:tcPr>
            <w:tcW w:w="1125" w:type="dxa"/>
            <w:noWrap/>
            <w:hideMark/>
          </w:tcPr>
          <w:p w14:paraId="3DB5A0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Bates </w:t>
            </w:r>
          </w:p>
        </w:tc>
        <w:tc>
          <w:tcPr>
            <w:tcW w:w="918" w:type="dxa"/>
            <w:noWrap/>
            <w:hideMark/>
          </w:tcPr>
          <w:p w14:paraId="7BD721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072097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85000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03E76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7617A9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Old Baily </w:t>
            </w:r>
          </w:p>
        </w:tc>
        <w:tc>
          <w:tcPr>
            <w:tcW w:w="1118" w:type="dxa"/>
            <w:noWrap/>
            <w:hideMark/>
          </w:tcPr>
          <w:p w14:paraId="71A9731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CB1E9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05745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F0068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5DAE19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B107C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273C2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60016BE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29AAE9C"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Hurste</w:t>
            </w:r>
            <w:proofErr w:type="spellEnd"/>
            <w:r w:rsidRPr="003037D2">
              <w:rPr>
                <w:rFonts w:ascii="Garamond" w:hAnsi="Garamond"/>
                <w:b w:val="0"/>
                <w:bCs w:val="0"/>
                <w:sz w:val="20"/>
                <w:szCs w:val="20"/>
              </w:rPr>
              <w:t xml:space="preserve">, Thomas </w:t>
            </w:r>
          </w:p>
        </w:tc>
        <w:tc>
          <w:tcPr>
            <w:tcW w:w="1125" w:type="dxa"/>
            <w:noWrap/>
            <w:hideMark/>
          </w:tcPr>
          <w:p w14:paraId="732963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Clark </w:t>
            </w:r>
          </w:p>
        </w:tc>
        <w:tc>
          <w:tcPr>
            <w:tcW w:w="918" w:type="dxa"/>
            <w:noWrap/>
            <w:hideMark/>
          </w:tcPr>
          <w:p w14:paraId="15DFB98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1637</w:t>
            </w:r>
          </w:p>
        </w:tc>
        <w:tc>
          <w:tcPr>
            <w:tcW w:w="931" w:type="dxa"/>
            <w:noWrap/>
            <w:hideMark/>
          </w:tcPr>
          <w:p w14:paraId="42DC75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E9BA3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3C9FE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746FE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Lincoln's Inn </w:t>
            </w:r>
          </w:p>
        </w:tc>
        <w:tc>
          <w:tcPr>
            <w:tcW w:w="1118" w:type="dxa"/>
            <w:noWrap/>
            <w:hideMark/>
          </w:tcPr>
          <w:p w14:paraId="49A909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4D32C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45329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657B04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3B73A7F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EFFFF8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DFBCD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13D5C9F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194787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Hyatt, James </w:t>
            </w:r>
          </w:p>
        </w:tc>
        <w:tc>
          <w:tcPr>
            <w:tcW w:w="1125" w:type="dxa"/>
            <w:noWrap/>
            <w:hideMark/>
          </w:tcPr>
          <w:p w14:paraId="27DD81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spellStart"/>
            <w:r w:rsidRPr="003037D2">
              <w:rPr>
                <w:rFonts w:ascii="Garamond" w:hAnsi="Garamond"/>
                <w:sz w:val="20"/>
                <w:szCs w:val="20"/>
              </w:rPr>
              <w:t>Willaim</w:t>
            </w:r>
            <w:proofErr w:type="spellEnd"/>
            <w:r w:rsidRPr="003037D2">
              <w:rPr>
                <w:rFonts w:ascii="Garamond" w:hAnsi="Garamond"/>
                <w:sz w:val="20"/>
                <w:szCs w:val="20"/>
              </w:rPr>
              <w:t xml:space="preserve"> </w:t>
            </w:r>
            <w:proofErr w:type="spellStart"/>
            <w:r w:rsidRPr="003037D2">
              <w:rPr>
                <w:rFonts w:ascii="Garamond" w:hAnsi="Garamond"/>
                <w:sz w:val="20"/>
                <w:szCs w:val="20"/>
              </w:rPr>
              <w:t>Stansby</w:t>
            </w:r>
            <w:proofErr w:type="spellEnd"/>
            <w:r w:rsidRPr="003037D2">
              <w:rPr>
                <w:rFonts w:ascii="Garamond" w:hAnsi="Garamond"/>
                <w:sz w:val="20"/>
                <w:szCs w:val="20"/>
              </w:rPr>
              <w:t xml:space="preserve"> </w:t>
            </w:r>
          </w:p>
        </w:tc>
        <w:tc>
          <w:tcPr>
            <w:tcW w:w="918" w:type="dxa"/>
            <w:noWrap/>
            <w:hideMark/>
          </w:tcPr>
          <w:p w14:paraId="77CBA3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5A4FF3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84819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1012F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757780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049552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F9189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D600D8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8F309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0EB77C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021AC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6D8BC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4E19280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BB1BCBC"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I.F. </w:t>
            </w:r>
          </w:p>
        </w:tc>
        <w:tc>
          <w:tcPr>
            <w:tcW w:w="1125" w:type="dxa"/>
            <w:noWrap/>
            <w:hideMark/>
          </w:tcPr>
          <w:p w14:paraId="3CA22E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Matthew Simmons </w:t>
            </w:r>
          </w:p>
        </w:tc>
        <w:tc>
          <w:tcPr>
            <w:tcW w:w="918" w:type="dxa"/>
            <w:noWrap/>
            <w:hideMark/>
          </w:tcPr>
          <w:p w14:paraId="34CC58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1635</w:t>
            </w:r>
          </w:p>
        </w:tc>
        <w:tc>
          <w:tcPr>
            <w:tcW w:w="931" w:type="dxa"/>
            <w:noWrap/>
            <w:hideMark/>
          </w:tcPr>
          <w:p w14:paraId="1E7482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6AE2C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2EFF26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A33BA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4D8993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1DC8C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4FC9A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19B011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5" w:type="dxa"/>
            <w:noWrap/>
            <w:hideMark/>
          </w:tcPr>
          <w:p w14:paraId="12AEE23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1093" w:type="dxa"/>
            <w:noWrap/>
            <w:hideMark/>
          </w:tcPr>
          <w:p w14:paraId="5A2920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6D114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25C06CD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620E603"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I.F. </w:t>
            </w:r>
          </w:p>
        </w:tc>
        <w:tc>
          <w:tcPr>
            <w:tcW w:w="1125" w:type="dxa"/>
            <w:noWrap/>
            <w:hideMark/>
          </w:tcPr>
          <w:p w14:paraId="2724E2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William Jones </w:t>
            </w:r>
          </w:p>
        </w:tc>
        <w:tc>
          <w:tcPr>
            <w:tcW w:w="918" w:type="dxa"/>
            <w:noWrap/>
            <w:hideMark/>
          </w:tcPr>
          <w:p w14:paraId="4D17C0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1635</w:t>
            </w:r>
          </w:p>
        </w:tc>
        <w:tc>
          <w:tcPr>
            <w:tcW w:w="931" w:type="dxa"/>
            <w:noWrap/>
            <w:hideMark/>
          </w:tcPr>
          <w:p w14:paraId="234CC27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2CDB7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8F774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82A56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5B4D19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7D428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10FB9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343CFD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5" w:type="dxa"/>
            <w:noWrap/>
            <w:hideMark/>
          </w:tcPr>
          <w:p w14:paraId="4B89D0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1093" w:type="dxa"/>
            <w:noWrap/>
            <w:hideMark/>
          </w:tcPr>
          <w:p w14:paraId="0100B9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3D677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37FE33F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21D45FE"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I.F. </w:t>
            </w:r>
          </w:p>
        </w:tc>
        <w:tc>
          <w:tcPr>
            <w:tcW w:w="1125" w:type="dxa"/>
            <w:noWrap/>
            <w:hideMark/>
          </w:tcPr>
          <w:p w14:paraId="181312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Greenesmith</w:t>
            </w:r>
            <w:proofErr w:type="spellEnd"/>
            <w:r w:rsidRPr="003037D2">
              <w:rPr>
                <w:rFonts w:ascii="Garamond" w:hAnsi="Garamond"/>
                <w:sz w:val="20"/>
                <w:szCs w:val="20"/>
              </w:rPr>
              <w:t xml:space="preserve"> </w:t>
            </w:r>
          </w:p>
        </w:tc>
        <w:tc>
          <w:tcPr>
            <w:tcW w:w="918" w:type="dxa"/>
            <w:noWrap/>
            <w:hideMark/>
          </w:tcPr>
          <w:p w14:paraId="2EB7C0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1636</w:t>
            </w:r>
          </w:p>
        </w:tc>
        <w:tc>
          <w:tcPr>
            <w:tcW w:w="931" w:type="dxa"/>
            <w:noWrap/>
            <w:hideMark/>
          </w:tcPr>
          <w:p w14:paraId="5A7268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22097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75833E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DCC8F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6BBBEF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3E06D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3CDEE6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E40A2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5" w:type="dxa"/>
            <w:noWrap/>
            <w:hideMark/>
          </w:tcPr>
          <w:p w14:paraId="5096315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1093" w:type="dxa"/>
            <w:noWrap/>
            <w:hideMark/>
          </w:tcPr>
          <w:p w14:paraId="2CEF44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222B17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65DF585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E1B49A4"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I.M. </w:t>
            </w:r>
          </w:p>
        </w:tc>
        <w:tc>
          <w:tcPr>
            <w:tcW w:w="1125" w:type="dxa"/>
            <w:noWrap/>
            <w:hideMark/>
          </w:tcPr>
          <w:p w14:paraId="67E4EF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 Young </w:t>
            </w:r>
          </w:p>
        </w:tc>
        <w:tc>
          <w:tcPr>
            <w:tcW w:w="918" w:type="dxa"/>
            <w:noWrap/>
            <w:hideMark/>
          </w:tcPr>
          <w:p w14:paraId="54B36A5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1633</w:t>
            </w:r>
          </w:p>
        </w:tc>
        <w:tc>
          <w:tcPr>
            <w:tcW w:w="931" w:type="dxa"/>
            <w:noWrap/>
            <w:hideMark/>
          </w:tcPr>
          <w:p w14:paraId="020444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8D076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06169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4174A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6C8C35F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9FFF5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B8705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15DDB7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75D0FAF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6D3A05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240C0B0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44E205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Jackson, John </w:t>
            </w:r>
          </w:p>
        </w:tc>
        <w:tc>
          <w:tcPr>
            <w:tcW w:w="1125" w:type="dxa"/>
            <w:noWrap/>
            <w:hideMark/>
          </w:tcPr>
          <w:p w14:paraId="043B45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Daniel </w:t>
            </w:r>
            <w:proofErr w:type="spellStart"/>
            <w:r w:rsidRPr="003037D2">
              <w:rPr>
                <w:rFonts w:ascii="Garamond" w:hAnsi="Garamond"/>
                <w:sz w:val="20"/>
                <w:szCs w:val="20"/>
              </w:rPr>
              <w:t>Milbourne</w:t>
            </w:r>
            <w:proofErr w:type="spellEnd"/>
            <w:r w:rsidRPr="003037D2">
              <w:rPr>
                <w:rFonts w:ascii="Garamond" w:hAnsi="Garamond"/>
                <w:sz w:val="20"/>
                <w:szCs w:val="20"/>
              </w:rPr>
              <w:t xml:space="preserve"> </w:t>
            </w:r>
          </w:p>
        </w:tc>
        <w:tc>
          <w:tcPr>
            <w:tcW w:w="918" w:type="dxa"/>
            <w:noWrap/>
            <w:hideMark/>
          </w:tcPr>
          <w:p w14:paraId="70DF89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4AA304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ADE24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7340F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5351B44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Spittle </w:t>
            </w:r>
          </w:p>
        </w:tc>
        <w:tc>
          <w:tcPr>
            <w:tcW w:w="1118" w:type="dxa"/>
            <w:noWrap/>
            <w:hideMark/>
          </w:tcPr>
          <w:p w14:paraId="007CFE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62BFE4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0C719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211BC7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41BE82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Easter Week </w:t>
            </w:r>
          </w:p>
        </w:tc>
        <w:tc>
          <w:tcPr>
            <w:tcW w:w="963" w:type="dxa"/>
            <w:noWrap/>
            <w:hideMark/>
          </w:tcPr>
          <w:p w14:paraId="44A25E6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0C7FD7B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D0EF5AF"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Jackson, Thomas </w:t>
            </w:r>
          </w:p>
        </w:tc>
        <w:tc>
          <w:tcPr>
            <w:tcW w:w="1125" w:type="dxa"/>
            <w:noWrap/>
            <w:hideMark/>
          </w:tcPr>
          <w:p w14:paraId="41F42F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Matt </w:t>
            </w:r>
            <w:proofErr w:type="spellStart"/>
            <w:r w:rsidRPr="003037D2">
              <w:rPr>
                <w:rFonts w:ascii="Garamond" w:hAnsi="Garamond"/>
                <w:sz w:val="20"/>
                <w:szCs w:val="20"/>
              </w:rPr>
              <w:t>Walbanke</w:t>
            </w:r>
            <w:proofErr w:type="spellEnd"/>
            <w:r w:rsidRPr="003037D2">
              <w:rPr>
                <w:rFonts w:ascii="Garamond" w:hAnsi="Garamond"/>
                <w:sz w:val="20"/>
                <w:szCs w:val="20"/>
              </w:rPr>
              <w:t xml:space="preserve"> </w:t>
            </w:r>
          </w:p>
        </w:tc>
        <w:tc>
          <w:tcPr>
            <w:tcW w:w="918" w:type="dxa"/>
            <w:noWrap/>
            <w:hideMark/>
          </w:tcPr>
          <w:p w14:paraId="4FE1C8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23DBEDB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73C262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99187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EFDB8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Cathedral </w:t>
            </w:r>
          </w:p>
        </w:tc>
        <w:tc>
          <w:tcPr>
            <w:tcW w:w="1118" w:type="dxa"/>
            <w:noWrap/>
            <w:hideMark/>
          </w:tcPr>
          <w:p w14:paraId="368BA2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5DFE3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9390D9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CCC112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7BBC07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76742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F6C65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50C8407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F8361FF"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James, Richard </w:t>
            </w:r>
          </w:p>
        </w:tc>
        <w:tc>
          <w:tcPr>
            <w:tcW w:w="1125" w:type="dxa"/>
            <w:noWrap/>
            <w:hideMark/>
          </w:tcPr>
          <w:p w14:paraId="0E5337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Robert Allot</w:t>
            </w:r>
          </w:p>
        </w:tc>
        <w:tc>
          <w:tcPr>
            <w:tcW w:w="918" w:type="dxa"/>
            <w:noWrap/>
            <w:hideMark/>
          </w:tcPr>
          <w:p w14:paraId="297D39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1629</w:t>
            </w:r>
          </w:p>
        </w:tc>
        <w:tc>
          <w:tcPr>
            <w:tcW w:w="931" w:type="dxa"/>
            <w:noWrap/>
            <w:hideMark/>
          </w:tcPr>
          <w:p w14:paraId="440B04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5A652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8C9A0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A0EEA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694F6B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6D4A7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71A0A3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818" w:type="dxa"/>
            <w:gridSpan w:val="2"/>
            <w:noWrap/>
            <w:hideMark/>
          </w:tcPr>
          <w:p w14:paraId="4D0603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 calendar - Easter</w:t>
            </w:r>
          </w:p>
        </w:tc>
        <w:tc>
          <w:tcPr>
            <w:tcW w:w="1093" w:type="dxa"/>
            <w:noWrap/>
            <w:hideMark/>
          </w:tcPr>
          <w:p w14:paraId="7AD038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1262E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20FEEFC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D5DBD18"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James, Richard </w:t>
            </w:r>
          </w:p>
        </w:tc>
        <w:tc>
          <w:tcPr>
            <w:tcW w:w="1125" w:type="dxa"/>
            <w:noWrap/>
            <w:hideMark/>
          </w:tcPr>
          <w:p w14:paraId="002C0D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Nathaniel Butter</w:t>
            </w:r>
          </w:p>
        </w:tc>
        <w:tc>
          <w:tcPr>
            <w:tcW w:w="918" w:type="dxa"/>
            <w:noWrap/>
            <w:hideMark/>
          </w:tcPr>
          <w:p w14:paraId="350DA6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1632</w:t>
            </w:r>
          </w:p>
        </w:tc>
        <w:tc>
          <w:tcPr>
            <w:tcW w:w="931" w:type="dxa"/>
            <w:noWrap/>
            <w:hideMark/>
          </w:tcPr>
          <w:p w14:paraId="67C9FF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B63A5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8D715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7E56C4F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College </w:t>
            </w:r>
          </w:p>
        </w:tc>
        <w:tc>
          <w:tcPr>
            <w:tcW w:w="1118" w:type="dxa"/>
            <w:noWrap/>
            <w:hideMark/>
          </w:tcPr>
          <w:p w14:paraId="61CFF3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1AE1A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F3C0D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0DD60F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election </w:t>
            </w:r>
          </w:p>
        </w:tc>
        <w:tc>
          <w:tcPr>
            <w:tcW w:w="1093" w:type="dxa"/>
            <w:noWrap/>
            <w:hideMark/>
          </w:tcPr>
          <w:p w14:paraId="682410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AA46D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0E4D6D0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F40CD53"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Jay, George </w:t>
            </w:r>
          </w:p>
        </w:tc>
        <w:tc>
          <w:tcPr>
            <w:tcW w:w="1125" w:type="dxa"/>
            <w:noWrap/>
            <w:hideMark/>
          </w:tcPr>
          <w:p w14:paraId="2411DFE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Harper </w:t>
            </w:r>
          </w:p>
        </w:tc>
        <w:tc>
          <w:tcPr>
            <w:tcW w:w="918" w:type="dxa"/>
            <w:noWrap/>
            <w:hideMark/>
          </w:tcPr>
          <w:p w14:paraId="5CC7EA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7C6CB5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718DD2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8D9BE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4789B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21ECBB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1DBC4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71A08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7CC9AA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5F9662E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75DDE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737AF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0134CA2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B5D4F28"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Jay, George </w:t>
            </w:r>
          </w:p>
        </w:tc>
        <w:tc>
          <w:tcPr>
            <w:tcW w:w="1125" w:type="dxa"/>
            <w:noWrap/>
            <w:hideMark/>
          </w:tcPr>
          <w:p w14:paraId="55B29D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Augustine </w:t>
            </w:r>
            <w:proofErr w:type="spellStart"/>
            <w:r w:rsidRPr="003037D2">
              <w:rPr>
                <w:rFonts w:ascii="Garamond" w:hAnsi="Garamond"/>
                <w:sz w:val="20"/>
                <w:szCs w:val="20"/>
              </w:rPr>
              <w:t>Mathewes</w:t>
            </w:r>
            <w:proofErr w:type="spellEnd"/>
            <w:r w:rsidRPr="003037D2">
              <w:rPr>
                <w:rFonts w:ascii="Garamond" w:hAnsi="Garamond"/>
                <w:sz w:val="20"/>
                <w:szCs w:val="20"/>
              </w:rPr>
              <w:t xml:space="preserve"> </w:t>
            </w:r>
          </w:p>
        </w:tc>
        <w:tc>
          <w:tcPr>
            <w:tcW w:w="918" w:type="dxa"/>
            <w:noWrap/>
            <w:hideMark/>
          </w:tcPr>
          <w:p w14:paraId="4056ED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1632</w:t>
            </w:r>
          </w:p>
        </w:tc>
        <w:tc>
          <w:tcPr>
            <w:tcW w:w="931" w:type="dxa"/>
            <w:noWrap/>
            <w:hideMark/>
          </w:tcPr>
          <w:p w14:paraId="61E70A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7959D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1D896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2D0A85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 Greenwich </w:t>
            </w:r>
          </w:p>
        </w:tc>
        <w:tc>
          <w:tcPr>
            <w:tcW w:w="1118" w:type="dxa"/>
            <w:noWrap/>
            <w:hideMark/>
          </w:tcPr>
          <w:p w14:paraId="07A4DA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A4F28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9CAEA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688185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BE8BA3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A3C56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7D4FE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0501557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13ADBA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Jay, George </w:t>
            </w:r>
          </w:p>
        </w:tc>
        <w:tc>
          <w:tcPr>
            <w:tcW w:w="1125" w:type="dxa"/>
            <w:noWrap/>
            <w:hideMark/>
          </w:tcPr>
          <w:p w14:paraId="2A089D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Harper </w:t>
            </w:r>
          </w:p>
        </w:tc>
        <w:tc>
          <w:tcPr>
            <w:tcW w:w="918" w:type="dxa"/>
            <w:noWrap/>
            <w:hideMark/>
          </w:tcPr>
          <w:p w14:paraId="279155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0D92DE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66F6A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B4C4C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9300F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13E157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6F396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9D4B8E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818" w:type="dxa"/>
            <w:gridSpan w:val="2"/>
            <w:noWrap/>
            <w:hideMark/>
          </w:tcPr>
          <w:p w14:paraId="40C642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1093" w:type="dxa"/>
            <w:noWrap/>
            <w:hideMark/>
          </w:tcPr>
          <w:p w14:paraId="10E36E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01A1E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50F67C0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F395CED"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Jewel, John </w:t>
            </w:r>
          </w:p>
        </w:tc>
        <w:tc>
          <w:tcPr>
            <w:tcW w:w="1125" w:type="dxa"/>
            <w:noWrap/>
            <w:hideMark/>
          </w:tcPr>
          <w:p w14:paraId="76AEC1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S.N. </w:t>
            </w:r>
          </w:p>
        </w:tc>
        <w:tc>
          <w:tcPr>
            <w:tcW w:w="918" w:type="dxa"/>
            <w:noWrap/>
            <w:hideMark/>
          </w:tcPr>
          <w:p w14:paraId="292F33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12CEAF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E301F7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732E6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6B8FC6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w:t>
            </w:r>
          </w:p>
        </w:tc>
        <w:tc>
          <w:tcPr>
            <w:tcW w:w="1118" w:type="dxa"/>
            <w:noWrap/>
            <w:hideMark/>
          </w:tcPr>
          <w:p w14:paraId="71B891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0BD51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9E36C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74CFF3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68C877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DA70C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C8B8EE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159FE46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B01DEC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Johnson, Ro. </w:t>
            </w:r>
          </w:p>
        </w:tc>
        <w:tc>
          <w:tcPr>
            <w:tcW w:w="1125" w:type="dxa"/>
            <w:noWrap/>
            <w:hideMark/>
          </w:tcPr>
          <w:p w14:paraId="31CC73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Pyper</w:t>
            </w:r>
            <w:proofErr w:type="spellEnd"/>
            <w:r w:rsidRPr="003037D2">
              <w:rPr>
                <w:rFonts w:ascii="Garamond" w:hAnsi="Garamond"/>
                <w:sz w:val="20"/>
                <w:szCs w:val="20"/>
              </w:rPr>
              <w:t xml:space="preserve"> </w:t>
            </w:r>
          </w:p>
        </w:tc>
        <w:tc>
          <w:tcPr>
            <w:tcW w:w="918" w:type="dxa"/>
            <w:noWrap/>
            <w:hideMark/>
          </w:tcPr>
          <w:p w14:paraId="0B6E3A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1621</w:t>
            </w:r>
          </w:p>
        </w:tc>
        <w:tc>
          <w:tcPr>
            <w:tcW w:w="931" w:type="dxa"/>
            <w:noWrap/>
            <w:hideMark/>
          </w:tcPr>
          <w:p w14:paraId="1ED4F7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B1DDFE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422E38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79807B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St. Paul's </w:t>
            </w:r>
          </w:p>
        </w:tc>
        <w:tc>
          <w:tcPr>
            <w:tcW w:w="1118" w:type="dxa"/>
            <w:noWrap/>
            <w:hideMark/>
          </w:tcPr>
          <w:p w14:paraId="510351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76542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2A3786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644F3A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4E9257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cross sermon </w:t>
            </w:r>
          </w:p>
        </w:tc>
        <w:tc>
          <w:tcPr>
            <w:tcW w:w="963" w:type="dxa"/>
            <w:noWrap/>
            <w:hideMark/>
          </w:tcPr>
          <w:p w14:paraId="5F45D8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00F9537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209F0E7"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Johnson, Robert</w:t>
            </w:r>
          </w:p>
        </w:tc>
        <w:tc>
          <w:tcPr>
            <w:tcW w:w="1125" w:type="dxa"/>
            <w:noWrap/>
            <w:hideMark/>
          </w:tcPr>
          <w:p w14:paraId="426B8B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Bird </w:t>
            </w:r>
          </w:p>
        </w:tc>
        <w:tc>
          <w:tcPr>
            <w:tcW w:w="918" w:type="dxa"/>
            <w:noWrap/>
            <w:hideMark/>
          </w:tcPr>
          <w:p w14:paraId="32C8606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1633</w:t>
            </w:r>
          </w:p>
        </w:tc>
        <w:tc>
          <w:tcPr>
            <w:tcW w:w="931" w:type="dxa"/>
            <w:noWrap/>
            <w:hideMark/>
          </w:tcPr>
          <w:p w14:paraId="4C27E5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1A9B52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696CA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1E328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328C0F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23572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77AF4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63011D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3CCCC8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72412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DE6F95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0101A19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8036DD7"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Johnson, Robert</w:t>
            </w:r>
          </w:p>
        </w:tc>
        <w:tc>
          <w:tcPr>
            <w:tcW w:w="1125" w:type="dxa"/>
            <w:noWrap/>
            <w:hideMark/>
          </w:tcPr>
          <w:p w14:paraId="3699D6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Bird </w:t>
            </w:r>
          </w:p>
        </w:tc>
        <w:tc>
          <w:tcPr>
            <w:tcW w:w="918" w:type="dxa"/>
            <w:noWrap/>
            <w:hideMark/>
          </w:tcPr>
          <w:p w14:paraId="46B798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0C6A3B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28734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7E960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F1DDF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480E356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4242C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AD69F2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76A401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0CDC06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FF97C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1172C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326F289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6A1513C"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Johnson, Robert</w:t>
            </w:r>
          </w:p>
        </w:tc>
        <w:tc>
          <w:tcPr>
            <w:tcW w:w="1125" w:type="dxa"/>
            <w:noWrap/>
            <w:hideMark/>
          </w:tcPr>
          <w:p w14:paraId="65B63E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Bird </w:t>
            </w:r>
          </w:p>
        </w:tc>
        <w:tc>
          <w:tcPr>
            <w:tcW w:w="918" w:type="dxa"/>
            <w:noWrap/>
            <w:hideMark/>
          </w:tcPr>
          <w:p w14:paraId="1B93C87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0F7D50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589C4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13A3D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24388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03DE9C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E32436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950CB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6BACAA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5A0C40F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32493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D2C2A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49C40F9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D73E8BD"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Johnson, Robert</w:t>
            </w:r>
          </w:p>
        </w:tc>
        <w:tc>
          <w:tcPr>
            <w:tcW w:w="1125" w:type="dxa"/>
            <w:noWrap/>
            <w:hideMark/>
          </w:tcPr>
          <w:p w14:paraId="12B47E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Bird </w:t>
            </w:r>
          </w:p>
        </w:tc>
        <w:tc>
          <w:tcPr>
            <w:tcW w:w="918" w:type="dxa"/>
            <w:noWrap/>
            <w:hideMark/>
          </w:tcPr>
          <w:p w14:paraId="3178922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1638</w:t>
            </w:r>
          </w:p>
        </w:tc>
        <w:tc>
          <w:tcPr>
            <w:tcW w:w="931" w:type="dxa"/>
            <w:noWrap/>
            <w:hideMark/>
          </w:tcPr>
          <w:p w14:paraId="798B4D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039C8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3C903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18A1D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2AA30B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BEE27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A64FE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5F84963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7C82D5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23BF75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18C2D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786CD88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19702D4"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Kellett, Edward </w:t>
            </w:r>
          </w:p>
        </w:tc>
        <w:tc>
          <w:tcPr>
            <w:tcW w:w="1125" w:type="dxa"/>
            <w:noWrap/>
            <w:hideMark/>
          </w:tcPr>
          <w:p w14:paraId="195432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Richard Thrale </w:t>
            </w:r>
          </w:p>
        </w:tc>
        <w:tc>
          <w:tcPr>
            <w:tcW w:w="918" w:type="dxa"/>
            <w:noWrap/>
            <w:hideMark/>
          </w:tcPr>
          <w:p w14:paraId="4E303C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1628</w:t>
            </w:r>
          </w:p>
        </w:tc>
        <w:tc>
          <w:tcPr>
            <w:tcW w:w="931" w:type="dxa"/>
            <w:noWrap/>
            <w:hideMark/>
          </w:tcPr>
          <w:p w14:paraId="2B9954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45575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D7D7C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2256C5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50BB12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3BC46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8F568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59C69A3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33164B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w:t>
            </w:r>
          </w:p>
        </w:tc>
        <w:tc>
          <w:tcPr>
            <w:tcW w:w="1093" w:type="dxa"/>
            <w:noWrap/>
            <w:hideMark/>
          </w:tcPr>
          <w:p w14:paraId="794A18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A902F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5AEDAF0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2BBC78E"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Kem, Samuel </w:t>
            </w:r>
          </w:p>
        </w:tc>
        <w:tc>
          <w:tcPr>
            <w:tcW w:w="1125" w:type="dxa"/>
            <w:noWrap/>
            <w:hideMark/>
          </w:tcPr>
          <w:p w14:paraId="78E346A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Richard Oulton </w:t>
            </w:r>
          </w:p>
        </w:tc>
        <w:tc>
          <w:tcPr>
            <w:tcW w:w="918" w:type="dxa"/>
            <w:noWrap/>
            <w:hideMark/>
          </w:tcPr>
          <w:p w14:paraId="421AA47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1640</w:t>
            </w:r>
          </w:p>
        </w:tc>
        <w:tc>
          <w:tcPr>
            <w:tcW w:w="931" w:type="dxa"/>
            <w:noWrap/>
            <w:hideMark/>
          </w:tcPr>
          <w:p w14:paraId="1323C5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E61F3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ECF13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91A27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1B6AFE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2BF83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81286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9B41B1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D8007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3B7A0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68EAF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69B3454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B61BC0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King, Henry </w:t>
            </w:r>
          </w:p>
        </w:tc>
        <w:tc>
          <w:tcPr>
            <w:tcW w:w="1125" w:type="dxa"/>
            <w:noWrap/>
            <w:hideMark/>
          </w:tcPr>
          <w:p w14:paraId="1F77096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Marriot </w:t>
            </w:r>
          </w:p>
        </w:tc>
        <w:tc>
          <w:tcPr>
            <w:tcW w:w="918" w:type="dxa"/>
            <w:noWrap/>
            <w:hideMark/>
          </w:tcPr>
          <w:p w14:paraId="34B052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6B4733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594689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97DAF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75D37BC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Spittle </w:t>
            </w:r>
          </w:p>
        </w:tc>
        <w:tc>
          <w:tcPr>
            <w:tcW w:w="1118" w:type="dxa"/>
            <w:noWrap/>
            <w:hideMark/>
          </w:tcPr>
          <w:p w14:paraId="4D4069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B1160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4BAD7E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2911" w:type="dxa"/>
            <w:gridSpan w:val="3"/>
            <w:noWrap/>
            <w:hideMark/>
          </w:tcPr>
          <w:p w14:paraId="2EF8E3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 calendar - Easter week</w:t>
            </w:r>
          </w:p>
        </w:tc>
        <w:tc>
          <w:tcPr>
            <w:tcW w:w="963" w:type="dxa"/>
            <w:noWrap/>
            <w:hideMark/>
          </w:tcPr>
          <w:p w14:paraId="1D33DD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2ACE8CD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D74EE83"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King, Henry </w:t>
            </w:r>
          </w:p>
        </w:tc>
        <w:tc>
          <w:tcPr>
            <w:tcW w:w="1125" w:type="dxa"/>
            <w:noWrap/>
            <w:hideMark/>
          </w:tcPr>
          <w:p w14:paraId="29EEE2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William Barret </w:t>
            </w:r>
          </w:p>
        </w:tc>
        <w:tc>
          <w:tcPr>
            <w:tcW w:w="918" w:type="dxa"/>
            <w:noWrap/>
            <w:hideMark/>
          </w:tcPr>
          <w:p w14:paraId="4C8333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1621</w:t>
            </w:r>
          </w:p>
        </w:tc>
        <w:tc>
          <w:tcPr>
            <w:tcW w:w="931" w:type="dxa"/>
            <w:noWrap/>
            <w:hideMark/>
          </w:tcPr>
          <w:p w14:paraId="606413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A4B1B6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E6775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2238C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38C13D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8704C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72996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516D6A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6D9C8A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980A2D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6F4723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018EAB4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0FDB3F3"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King, Henry </w:t>
            </w:r>
          </w:p>
        </w:tc>
        <w:tc>
          <w:tcPr>
            <w:tcW w:w="1125" w:type="dxa"/>
            <w:noWrap/>
            <w:hideMark/>
          </w:tcPr>
          <w:p w14:paraId="2FED52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Edward Griffin </w:t>
            </w:r>
          </w:p>
        </w:tc>
        <w:tc>
          <w:tcPr>
            <w:tcW w:w="918" w:type="dxa"/>
            <w:noWrap/>
            <w:hideMark/>
          </w:tcPr>
          <w:p w14:paraId="3E89E28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1640</w:t>
            </w:r>
          </w:p>
        </w:tc>
        <w:tc>
          <w:tcPr>
            <w:tcW w:w="931" w:type="dxa"/>
            <w:noWrap/>
            <w:hideMark/>
          </w:tcPr>
          <w:p w14:paraId="4AC374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754C7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A7CAC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BF0ED5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St. Paul's </w:t>
            </w:r>
          </w:p>
        </w:tc>
        <w:tc>
          <w:tcPr>
            <w:tcW w:w="1118" w:type="dxa"/>
            <w:noWrap/>
            <w:hideMark/>
          </w:tcPr>
          <w:p w14:paraId="24CD8DC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CC4D2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5BCFB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5E177E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4656B1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anniversary </w:t>
            </w:r>
          </w:p>
        </w:tc>
        <w:tc>
          <w:tcPr>
            <w:tcW w:w="963" w:type="dxa"/>
            <w:noWrap/>
            <w:hideMark/>
          </w:tcPr>
          <w:p w14:paraId="06EE5D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2797EBB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94C615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King, John </w:t>
            </w:r>
          </w:p>
        </w:tc>
        <w:tc>
          <w:tcPr>
            <w:tcW w:w="1125" w:type="dxa"/>
            <w:noWrap/>
            <w:hideMark/>
          </w:tcPr>
          <w:p w14:paraId="623EE4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Elizabeth Adams </w:t>
            </w:r>
          </w:p>
        </w:tc>
        <w:tc>
          <w:tcPr>
            <w:tcW w:w="918" w:type="dxa"/>
            <w:noWrap/>
            <w:hideMark/>
          </w:tcPr>
          <w:p w14:paraId="21D999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33E751B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C3785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90917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CDF21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571794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EBA80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3E748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AD49C8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3984EA7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B22A1E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AAA05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5B2C3B0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A39F32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King, William </w:t>
            </w:r>
          </w:p>
        </w:tc>
        <w:tc>
          <w:tcPr>
            <w:tcW w:w="1125" w:type="dxa"/>
            <w:noWrap/>
            <w:hideMark/>
          </w:tcPr>
          <w:p w14:paraId="6C317FF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George </w:t>
            </w:r>
            <w:proofErr w:type="spellStart"/>
            <w:r w:rsidRPr="003037D2">
              <w:rPr>
                <w:rFonts w:ascii="Garamond" w:hAnsi="Garamond"/>
                <w:sz w:val="20"/>
                <w:szCs w:val="20"/>
              </w:rPr>
              <w:t>Eld</w:t>
            </w:r>
            <w:proofErr w:type="spellEnd"/>
            <w:r w:rsidRPr="003037D2">
              <w:rPr>
                <w:rFonts w:ascii="Garamond" w:hAnsi="Garamond"/>
                <w:sz w:val="20"/>
                <w:szCs w:val="20"/>
              </w:rPr>
              <w:t xml:space="preserve"> </w:t>
            </w:r>
          </w:p>
        </w:tc>
        <w:tc>
          <w:tcPr>
            <w:tcW w:w="918" w:type="dxa"/>
            <w:noWrap/>
            <w:hideMark/>
          </w:tcPr>
          <w:p w14:paraId="420844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522F84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3EB91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F28244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42052E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Prison - the King's Bench </w:t>
            </w:r>
          </w:p>
        </w:tc>
        <w:tc>
          <w:tcPr>
            <w:tcW w:w="1118" w:type="dxa"/>
            <w:noWrap/>
            <w:hideMark/>
          </w:tcPr>
          <w:p w14:paraId="5BC897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96394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C4B1B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2864D3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3F1DB78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216E3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32B32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6395369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AE20DD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King, William </w:t>
            </w:r>
          </w:p>
        </w:tc>
        <w:tc>
          <w:tcPr>
            <w:tcW w:w="1125" w:type="dxa"/>
            <w:noWrap/>
            <w:hideMark/>
          </w:tcPr>
          <w:p w14:paraId="5D3A63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Miles Flesher</w:t>
            </w:r>
          </w:p>
        </w:tc>
        <w:tc>
          <w:tcPr>
            <w:tcW w:w="918" w:type="dxa"/>
            <w:noWrap/>
            <w:hideMark/>
          </w:tcPr>
          <w:p w14:paraId="24164F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1636</w:t>
            </w:r>
          </w:p>
        </w:tc>
        <w:tc>
          <w:tcPr>
            <w:tcW w:w="931" w:type="dxa"/>
            <w:noWrap/>
            <w:hideMark/>
          </w:tcPr>
          <w:p w14:paraId="06F9C9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7BCB0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CBF6C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6ADFB1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Prison - the King's Bench </w:t>
            </w:r>
          </w:p>
        </w:tc>
        <w:tc>
          <w:tcPr>
            <w:tcW w:w="1118" w:type="dxa"/>
            <w:noWrap/>
            <w:hideMark/>
          </w:tcPr>
          <w:p w14:paraId="4B8675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04829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B65AFF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371D53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7B0BEA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32055E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A8CB8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0156050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E5CEB3E"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King, William </w:t>
            </w:r>
          </w:p>
        </w:tc>
        <w:tc>
          <w:tcPr>
            <w:tcW w:w="1125" w:type="dxa"/>
            <w:noWrap/>
            <w:hideMark/>
          </w:tcPr>
          <w:p w14:paraId="7DB98A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Francis </w:t>
            </w:r>
            <w:proofErr w:type="spellStart"/>
            <w:r w:rsidRPr="003037D2">
              <w:rPr>
                <w:rFonts w:ascii="Garamond" w:hAnsi="Garamond"/>
                <w:sz w:val="20"/>
                <w:szCs w:val="20"/>
              </w:rPr>
              <w:t>Coules</w:t>
            </w:r>
            <w:proofErr w:type="spellEnd"/>
            <w:r w:rsidRPr="003037D2">
              <w:rPr>
                <w:rFonts w:ascii="Garamond" w:hAnsi="Garamond"/>
                <w:sz w:val="20"/>
                <w:szCs w:val="20"/>
              </w:rPr>
              <w:t xml:space="preserve"> </w:t>
            </w:r>
          </w:p>
        </w:tc>
        <w:tc>
          <w:tcPr>
            <w:tcW w:w="918" w:type="dxa"/>
            <w:noWrap/>
            <w:hideMark/>
          </w:tcPr>
          <w:p w14:paraId="5213AB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1630</w:t>
            </w:r>
          </w:p>
        </w:tc>
        <w:tc>
          <w:tcPr>
            <w:tcW w:w="931" w:type="dxa"/>
            <w:noWrap/>
            <w:hideMark/>
          </w:tcPr>
          <w:p w14:paraId="57A320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832F8C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67E5A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786D93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Prison - the King's Bench </w:t>
            </w:r>
          </w:p>
        </w:tc>
        <w:tc>
          <w:tcPr>
            <w:tcW w:w="1118" w:type="dxa"/>
            <w:noWrap/>
            <w:hideMark/>
          </w:tcPr>
          <w:p w14:paraId="1ECE13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2C723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CA023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767F73E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128EC69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A65DF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142F8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382D31F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C0AD91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King, William </w:t>
            </w:r>
          </w:p>
        </w:tc>
        <w:tc>
          <w:tcPr>
            <w:tcW w:w="1125" w:type="dxa"/>
            <w:noWrap/>
            <w:hideMark/>
          </w:tcPr>
          <w:p w14:paraId="273667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Francis </w:t>
            </w:r>
            <w:proofErr w:type="spellStart"/>
            <w:r w:rsidRPr="003037D2">
              <w:rPr>
                <w:rFonts w:ascii="Garamond" w:hAnsi="Garamond"/>
                <w:sz w:val="20"/>
                <w:szCs w:val="20"/>
              </w:rPr>
              <w:t>Coules</w:t>
            </w:r>
            <w:proofErr w:type="spellEnd"/>
            <w:r w:rsidRPr="003037D2">
              <w:rPr>
                <w:rFonts w:ascii="Garamond" w:hAnsi="Garamond"/>
                <w:sz w:val="20"/>
                <w:szCs w:val="20"/>
              </w:rPr>
              <w:t xml:space="preserve"> </w:t>
            </w:r>
          </w:p>
        </w:tc>
        <w:tc>
          <w:tcPr>
            <w:tcW w:w="918" w:type="dxa"/>
            <w:noWrap/>
            <w:hideMark/>
          </w:tcPr>
          <w:p w14:paraId="6D2CC6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1633</w:t>
            </w:r>
          </w:p>
        </w:tc>
        <w:tc>
          <w:tcPr>
            <w:tcW w:w="931" w:type="dxa"/>
            <w:noWrap/>
            <w:hideMark/>
          </w:tcPr>
          <w:p w14:paraId="69C44C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AC1AB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2E420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4AE9D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Prison - the King's Bench </w:t>
            </w:r>
          </w:p>
        </w:tc>
        <w:tc>
          <w:tcPr>
            <w:tcW w:w="1118" w:type="dxa"/>
            <w:noWrap/>
            <w:hideMark/>
          </w:tcPr>
          <w:p w14:paraId="19EB0C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95A45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73BFF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63D271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1B482E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B3687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609FC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634C7FC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8E267CF"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Kingsmill, Thomas </w:t>
            </w:r>
          </w:p>
        </w:tc>
        <w:tc>
          <w:tcPr>
            <w:tcW w:w="1125" w:type="dxa"/>
            <w:noWrap/>
            <w:hideMark/>
          </w:tcPr>
          <w:p w14:paraId="60B547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Richard Collins </w:t>
            </w:r>
          </w:p>
        </w:tc>
        <w:tc>
          <w:tcPr>
            <w:tcW w:w="918" w:type="dxa"/>
            <w:noWrap/>
            <w:hideMark/>
          </w:tcPr>
          <w:p w14:paraId="2595B6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1631</w:t>
            </w:r>
          </w:p>
        </w:tc>
        <w:tc>
          <w:tcPr>
            <w:tcW w:w="931" w:type="dxa"/>
            <w:noWrap/>
            <w:hideMark/>
          </w:tcPr>
          <w:p w14:paraId="7B977B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7D74B8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1C8388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92D86F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Cathedral </w:t>
            </w:r>
          </w:p>
        </w:tc>
        <w:tc>
          <w:tcPr>
            <w:tcW w:w="1118" w:type="dxa"/>
            <w:noWrap/>
            <w:hideMark/>
          </w:tcPr>
          <w:p w14:paraId="629F3EC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237ED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6994A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41D54B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2ECF2C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CDC9D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69B6A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13C3DCC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8CEB0CA"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Langford, George </w:t>
            </w:r>
          </w:p>
        </w:tc>
        <w:tc>
          <w:tcPr>
            <w:tcW w:w="1125" w:type="dxa"/>
            <w:noWrap/>
            <w:hideMark/>
          </w:tcPr>
          <w:p w14:paraId="7C60F16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Clarke </w:t>
            </w:r>
          </w:p>
        </w:tc>
        <w:tc>
          <w:tcPr>
            <w:tcW w:w="918" w:type="dxa"/>
            <w:noWrap/>
            <w:hideMark/>
          </w:tcPr>
          <w:p w14:paraId="2E19C2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1621</w:t>
            </w:r>
          </w:p>
        </w:tc>
        <w:tc>
          <w:tcPr>
            <w:tcW w:w="931" w:type="dxa"/>
            <w:noWrap/>
            <w:hideMark/>
          </w:tcPr>
          <w:p w14:paraId="2D54F5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035" w:type="dxa"/>
            <w:noWrap/>
            <w:hideMark/>
          </w:tcPr>
          <w:p w14:paraId="2F4D5F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642D6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D26E4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280617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CBA2C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D512B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0E07B6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58E943C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7D9C5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8738B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3B703F9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BF963F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Laud, William </w:t>
            </w:r>
          </w:p>
        </w:tc>
        <w:tc>
          <w:tcPr>
            <w:tcW w:w="1125" w:type="dxa"/>
            <w:noWrap/>
            <w:hideMark/>
          </w:tcPr>
          <w:p w14:paraId="097D7C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Bill </w:t>
            </w:r>
          </w:p>
        </w:tc>
        <w:tc>
          <w:tcPr>
            <w:tcW w:w="918" w:type="dxa"/>
            <w:noWrap/>
            <w:hideMark/>
          </w:tcPr>
          <w:p w14:paraId="2E0C35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2573B72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345A7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23CDD9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740E18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Whitehall </w:t>
            </w:r>
          </w:p>
        </w:tc>
        <w:tc>
          <w:tcPr>
            <w:tcW w:w="1118" w:type="dxa"/>
            <w:noWrap/>
            <w:hideMark/>
          </w:tcPr>
          <w:p w14:paraId="5BBE03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3A175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4293A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CB860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08679F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inauguration </w:t>
            </w:r>
          </w:p>
        </w:tc>
        <w:tc>
          <w:tcPr>
            <w:tcW w:w="963" w:type="dxa"/>
            <w:noWrap/>
            <w:hideMark/>
          </w:tcPr>
          <w:p w14:paraId="0A6E10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073906F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C44F74C"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Laud, William </w:t>
            </w:r>
          </w:p>
        </w:tc>
        <w:tc>
          <w:tcPr>
            <w:tcW w:w="1125" w:type="dxa"/>
            <w:noWrap/>
            <w:hideMark/>
          </w:tcPr>
          <w:p w14:paraId="5CCFFE3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Richard Badger</w:t>
            </w:r>
          </w:p>
        </w:tc>
        <w:tc>
          <w:tcPr>
            <w:tcW w:w="918" w:type="dxa"/>
            <w:noWrap/>
            <w:hideMark/>
          </w:tcPr>
          <w:p w14:paraId="32587B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07865F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9140D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155310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C458B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Whitehall </w:t>
            </w:r>
          </w:p>
        </w:tc>
        <w:tc>
          <w:tcPr>
            <w:tcW w:w="1118" w:type="dxa"/>
            <w:noWrap/>
            <w:hideMark/>
          </w:tcPr>
          <w:p w14:paraId="72FC87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CE20E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7632B4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627F4D4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48C58A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Event - fast</w:t>
            </w:r>
          </w:p>
        </w:tc>
        <w:tc>
          <w:tcPr>
            <w:tcW w:w="1093" w:type="dxa"/>
            <w:noWrap/>
            <w:hideMark/>
          </w:tcPr>
          <w:p w14:paraId="5D5A1A9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4BB79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03908AC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1CC44DC"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Laud, William </w:t>
            </w:r>
          </w:p>
        </w:tc>
        <w:tc>
          <w:tcPr>
            <w:tcW w:w="1125" w:type="dxa"/>
            <w:noWrap/>
            <w:hideMark/>
          </w:tcPr>
          <w:p w14:paraId="047A88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Richard Badger</w:t>
            </w:r>
          </w:p>
        </w:tc>
        <w:tc>
          <w:tcPr>
            <w:tcW w:w="918" w:type="dxa"/>
            <w:noWrap/>
            <w:hideMark/>
          </w:tcPr>
          <w:p w14:paraId="6BDA76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1628</w:t>
            </w:r>
          </w:p>
        </w:tc>
        <w:tc>
          <w:tcPr>
            <w:tcW w:w="931" w:type="dxa"/>
            <w:noWrap/>
            <w:hideMark/>
          </w:tcPr>
          <w:p w14:paraId="36FFAB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96B68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88DC74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2232F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Westminster </w:t>
            </w:r>
          </w:p>
        </w:tc>
        <w:tc>
          <w:tcPr>
            <w:tcW w:w="1118" w:type="dxa"/>
            <w:noWrap/>
            <w:hideMark/>
          </w:tcPr>
          <w:p w14:paraId="4AF0CE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32A8B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230B7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20D4D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5363F7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opening of parliament </w:t>
            </w:r>
          </w:p>
        </w:tc>
        <w:tc>
          <w:tcPr>
            <w:tcW w:w="963" w:type="dxa"/>
            <w:noWrap/>
            <w:hideMark/>
          </w:tcPr>
          <w:p w14:paraId="3D1FAF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6CEAB5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B297D17"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Laud, William </w:t>
            </w:r>
          </w:p>
        </w:tc>
        <w:tc>
          <w:tcPr>
            <w:tcW w:w="1125" w:type="dxa"/>
            <w:noWrap/>
            <w:hideMark/>
          </w:tcPr>
          <w:p w14:paraId="61B0B2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Bill </w:t>
            </w:r>
          </w:p>
        </w:tc>
        <w:tc>
          <w:tcPr>
            <w:tcW w:w="918" w:type="dxa"/>
            <w:noWrap/>
            <w:hideMark/>
          </w:tcPr>
          <w:p w14:paraId="52AB56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12195B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1E0AD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35C05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C3972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Westminster </w:t>
            </w:r>
          </w:p>
        </w:tc>
        <w:tc>
          <w:tcPr>
            <w:tcW w:w="1118" w:type="dxa"/>
            <w:noWrap/>
            <w:hideMark/>
          </w:tcPr>
          <w:p w14:paraId="12E2B3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E0D83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77F85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233C9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57C5BA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opening of parliament </w:t>
            </w:r>
          </w:p>
        </w:tc>
        <w:tc>
          <w:tcPr>
            <w:tcW w:w="963" w:type="dxa"/>
            <w:noWrap/>
            <w:hideMark/>
          </w:tcPr>
          <w:p w14:paraId="57A382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67A33E8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1902776"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Laurence, Thomas </w:t>
            </w:r>
          </w:p>
        </w:tc>
        <w:tc>
          <w:tcPr>
            <w:tcW w:w="1125" w:type="dxa"/>
            <w:noWrap/>
            <w:hideMark/>
          </w:tcPr>
          <w:p w14:paraId="0246A1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Richard Badger</w:t>
            </w:r>
          </w:p>
        </w:tc>
        <w:tc>
          <w:tcPr>
            <w:tcW w:w="918" w:type="dxa"/>
            <w:noWrap/>
            <w:hideMark/>
          </w:tcPr>
          <w:p w14:paraId="6AA2F8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1637</w:t>
            </w:r>
          </w:p>
        </w:tc>
        <w:tc>
          <w:tcPr>
            <w:tcW w:w="931" w:type="dxa"/>
            <w:noWrap/>
            <w:hideMark/>
          </w:tcPr>
          <w:p w14:paraId="091F1C0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981DB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5BD84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295AE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Whitehall </w:t>
            </w:r>
          </w:p>
        </w:tc>
        <w:tc>
          <w:tcPr>
            <w:tcW w:w="1118" w:type="dxa"/>
            <w:noWrap/>
            <w:hideMark/>
          </w:tcPr>
          <w:p w14:paraId="23456D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97434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A1005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13AEB2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2FF14DF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7484A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B4EC3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5CDE350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CA21043"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Lawrence, George</w:t>
            </w:r>
          </w:p>
        </w:tc>
        <w:tc>
          <w:tcPr>
            <w:tcW w:w="1125" w:type="dxa"/>
            <w:noWrap/>
            <w:hideMark/>
          </w:tcPr>
          <w:p w14:paraId="7056D1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 </w:t>
            </w:r>
            <w:proofErr w:type="spellStart"/>
            <w:r w:rsidRPr="003037D2">
              <w:rPr>
                <w:rFonts w:ascii="Garamond" w:hAnsi="Garamond"/>
                <w:sz w:val="20"/>
                <w:szCs w:val="20"/>
              </w:rPr>
              <w:t>Harford</w:t>
            </w:r>
            <w:proofErr w:type="spellEnd"/>
            <w:r w:rsidRPr="003037D2">
              <w:rPr>
                <w:rFonts w:ascii="Garamond" w:hAnsi="Garamond"/>
                <w:sz w:val="20"/>
                <w:szCs w:val="20"/>
              </w:rPr>
              <w:t xml:space="preserve"> </w:t>
            </w:r>
          </w:p>
        </w:tc>
        <w:tc>
          <w:tcPr>
            <w:tcW w:w="918" w:type="dxa"/>
            <w:noWrap/>
            <w:hideMark/>
          </w:tcPr>
          <w:p w14:paraId="4D9DC8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39253A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035" w:type="dxa"/>
            <w:noWrap/>
            <w:hideMark/>
          </w:tcPr>
          <w:p w14:paraId="64542E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C8639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44D7AC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7B6BD3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2A079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1613DD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A8D8EE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03B050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E0DC9E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20820C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6955A3C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3A62DDB"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Layfield</w:t>
            </w:r>
            <w:proofErr w:type="spellEnd"/>
            <w:r w:rsidRPr="003037D2">
              <w:rPr>
                <w:rFonts w:ascii="Garamond" w:hAnsi="Garamond"/>
                <w:b w:val="0"/>
                <w:bCs w:val="0"/>
                <w:sz w:val="20"/>
                <w:szCs w:val="20"/>
              </w:rPr>
              <w:t xml:space="preserve">, </w:t>
            </w:r>
            <w:proofErr w:type="spellStart"/>
            <w:r w:rsidRPr="003037D2">
              <w:rPr>
                <w:rFonts w:ascii="Garamond" w:hAnsi="Garamond"/>
                <w:b w:val="0"/>
                <w:bCs w:val="0"/>
                <w:sz w:val="20"/>
                <w:szCs w:val="20"/>
              </w:rPr>
              <w:t>Edumund</w:t>
            </w:r>
            <w:proofErr w:type="spellEnd"/>
            <w:r w:rsidRPr="003037D2">
              <w:rPr>
                <w:rFonts w:ascii="Garamond" w:hAnsi="Garamond"/>
                <w:b w:val="0"/>
                <w:bCs w:val="0"/>
                <w:sz w:val="20"/>
                <w:szCs w:val="20"/>
              </w:rPr>
              <w:t xml:space="preserve"> </w:t>
            </w:r>
          </w:p>
        </w:tc>
        <w:tc>
          <w:tcPr>
            <w:tcW w:w="1125" w:type="dxa"/>
            <w:noWrap/>
            <w:hideMark/>
          </w:tcPr>
          <w:p w14:paraId="293A07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Nicolas Bourne </w:t>
            </w:r>
          </w:p>
        </w:tc>
        <w:tc>
          <w:tcPr>
            <w:tcW w:w="918" w:type="dxa"/>
            <w:noWrap/>
            <w:hideMark/>
          </w:tcPr>
          <w:p w14:paraId="3234C9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1630</w:t>
            </w:r>
          </w:p>
        </w:tc>
        <w:tc>
          <w:tcPr>
            <w:tcW w:w="931" w:type="dxa"/>
            <w:noWrap/>
            <w:hideMark/>
          </w:tcPr>
          <w:p w14:paraId="2E2F06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D24E9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C16E7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45CEDD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2C22DC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061AE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E7DB4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79164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2FCB20E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1EBA3A2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41C2BE5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5794A03"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Layfield</w:t>
            </w:r>
            <w:proofErr w:type="spellEnd"/>
            <w:r w:rsidRPr="003037D2">
              <w:rPr>
                <w:rFonts w:ascii="Garamond" w:hAnsi="Garamond"/>
                <w:b w:val="0"/>
                <w:bCs w:val="0"/>
                <w:sz w:val="20"/>
                <w:szCs w:val="20"/>
              </w:rPr>
              <w:t xml:space="preserve">, </w:t>
            </w:r>
            <w:proofErr w:type="spellStart"/>
            <w:r w:rsidRPr="003037D2">
              <w:rPr>
                <w:rFonts w:ascii="Garamond" w:hAnsi="Garamond"/>
                <w:b w:val="0"/>
                <w:bCs w:val="0"/>
                <w:sz w:val="20"/>
                <w:szCs w:val="20"/>
              </w:rPr>
              <w:t>Edumund</w:t>
            </w:r>
            <w:proofErr w:type="spellEnd"/>
            <w:r w:rsidRPr="003037D2">
              <w:rPr>
                <w:rFonts w:ascii="Garamond" w:hAnsi="Garamond"/>
                <w:b w:val="0"/>
                <w:bCs w:val="0"/>
                <w:sz w:val="20"/>
                <w:szCs w:val="20"/>
              </w:rPr>
              <w:t xml:space="preserve"> </w:t>
            </w:r>
          </w:p>
        </w:tc>
        <w:tc>
          <w:tcPr>
            <w:tcW w:w="1125" w:type="dxa"/>
            <w:noWrap/>
            <w:hideMark/>
          </w:tcPr>
          <w:p w14:paraId="69190F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G. Gibbs </w:t>
            </w:r>
          </w:p>
        </w:tc>
        <w:tc>
          <w:tcPr>
            <w:tcW w:w="918" w:type="dxa"/>
            <w:noWrap/>
            <w:hideMark/>
          </w:tcPr>
          <w:p w14:paraId="0172E87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1632</w:t>
            </w:r>
          </w:p>
        </w:tc>
        <w:tc>
          <w:tcPr>
            <w:tcW w:w="931" w:type="dxa"/>
            <w:noWrap/>
            <w:hideMark/>
          </w:tcPr>
          <w:p w14:paraId="304C61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D4B81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4A415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5DAA6E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20418AA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D707B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F32B0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6A878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482009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102A4C6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4A2CA7A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70C4FFD"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Lee, Richard </w:t>
            </w:r>
          </w:p>
        </w:tc>
        <w:tc>
          <w:tcPr>
            <w:tcW w:w="1125" w:type="dxa"/>
            <w:noWrap/>
            <w:hideMark/>
          </w:tcPr>
          <w:p w14:paraId="5E6594F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Samuel Man </w:t>
            </w:r>
          </w:p>
        </w:tc>
        <w:tc>
          <w:tcPr>
            <w:tcW w:w="918" w:type="dxa"/>
            <w:noWrap/>
            <w:hideMark/>
          </w:tcPr>
          <w:p w14:paraId="7A0FE1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4E433B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450CF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B248B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3FB38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St. Paul's </w:t>
            </w:r>
          </w:p>
        </w:tc>
        <w:tc>
          <w:tcPr>
            <w:tcW w:w="1118" w:type="dxa"/>
            <w:noWrap/>
            <w:hideMark/>
          </w:tcPr>
          <w:p w14:paraId="47A21F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19563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B0A33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616E34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5BCE5D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6D4FF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46C4F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5CF6C5D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E298758"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Leslie, Henry </w:t>
            </w:r>
          </w:p>
        </w:tc>
        <w:tc>
          <w:tcPr>
            <w:tcW w:w="1125" w:type="dxa"/>
            <w:noWrap/>
            <w:hideMark/>
          </w:tcPr>
          <w:p w14:paraId="0A39F9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William Turner </w:t>
            </w:r>
          </w:p>
        </w:tc>
        <w:tc>
          <w:tcPr>
            <w:tcW w:w="918" w:type="dxa"/>
            <w:noWrap/>
            <w:hideMark/>
          </w:tcPr>
          <w:p w14:paraId="6D1B4A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4B047EA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067B11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A4BDC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B6178F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 Windsor </w:t>
            </w:r>
          </w:p>
        </w:tc>
        <w:tc>
          <w:tcPr>
            <w:tcW w:w="1118" w:type="dxa"/>
            <w:noWrap/>
            <w:hideMark/>
          </w:tcPr>
          <w:p w14:paraId="356A57D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BB807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DF36F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F1936F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755E0B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3EB232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EB190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425E561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21132A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Leslie, Henry </w:t>
            </w:r>
          </w:p>
        </w:tc>
        <w:tc>
          <w:tcPr>
            <w:tcW w:w="1125" w:type="dxa"/>
            <w:noWrap/>
            <w:hideMark/>
          </w:tcPr>
          <w:p w14:paraId="68D1378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James </w:t>
            </w:r>
            <w:proofErr w:type="spellStart"/>
            <w:r w:rsidRPr="003037D2">
              <w:rPr>
                <w:rFonts w:ascii="Garamond" w:hAnsi="Garamond"/>
                <w:sz w:val="20"/>
                <w:szCs w:val="20"/>
              </w:rPr>
              <w:t>Boler</w:t>
            </w:r>
            <w:proofErr w:type="spellEnd"/>
            <w:r w:rsidRPr="003037D2">
              <w:rPr>
                <w:rFonts w:ascii="Garamond" w:hAnsi="Garamond"/>
                <w:sz w:val="20"/>
                <w:szCs w:val="20"/>
              </w:rPr>
              <w:t xml:space="preserve"> </w:t>
            </w:r>
          </w:p>
        </w:tc>
        <w:tc>
          <w:tcPr>
            <w:tcW w:w="918" w:type="dxa"/>
            <w:noWrap/>
            <w:hideMark/>
          </w:tcPr>
          <w:p w14:paraId="3D4C81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1627</w:t>
            </w:r>
          </w:p>
        </w:tc>
        <w:tc>
          <w:tcPr>
            <w:tcW w:w="931" w:type="dxa"/>
            <w:noWrap/>
            <w:hideMark/>
          </w:tcPr>
          <w:p w14:paraId="3B0476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3538C2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D82CA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D8D68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w:t>
            </w:r>
          </w:p>
        </w:tc>
        <w:tc>
          <w:tcPr>
            <w:tcW w:w="1118" w:type="dxa"/>
            <w:noWrap/>
            <w:hideMark/>
          </w:tcPr>
          <w:p w14:paraId="34EA12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2C35B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B8EDBF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629979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34C9D9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E98F3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CAF766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618B8BA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8196FD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Leslie, Henry </w:t>
            </w:r>
          </w:p>
        </w:tc>
        <w:tc>
          <w:tcPr>
            <w:tcW w:w="1125" w:type="dxa"/>
            <w:noWrap/>
            <w:hideMark/>
          </w:tcPr>
          <w:p w14:paraId="42E39F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Society of Stationers</w:t>
            </w:r>
          </w:p>
        </w:tc>
        <w:tc>
          <w:tcPr>
            <w:tcW w:w="918" w:type="dxa"/>
            <w:noWrap/>
            <w:hideMark/>
          </w:tcPr>
          <w:p w14:paraId="31655E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1639</w:t>
            </w:r>
          </w:p>
        </w:tc>
        <w:tc>
          <w:tcPr>
            <w:tcW w:w="931" w:type="dxa"/>
            <w:noWrap/>
            <w:hideMark/>
          </w:tcPr>
          <w:p w14:paraId="18EBB73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5E01D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Dublin </w:t>
            </w:r>
          </w:p>
        </w:tc>
        <w:tc>
          <w:tcPr>
            <w:tcW w:w="838" w:type="dxa"/>
            <w:noWrap/>
            <w:hideMark/>
          </w:tcPr>
          <w:p w14:paraId="21DD9E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E0BF0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3B202C9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C5AE5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61157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02600D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39E692E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D9E5E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FA394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25575AD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179B1EE"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Leslie, Henry </w:t>
            </w:r>
          </w:p>
        </w:tc>
        <w:tc>
          <w:tcPr>
            <w:tcW w:w="1125" w:type="dxa"/>
            <w:noWrap/>
            <w:hideMark/>
          </w:tcPr>
          <w:p w14:paraId="74ABC1A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Society of Stationers</w:t>
            </w:r>
          </w:p>
        </w:tc>
        <w:tc>
          <w:tcPr>
            <w:tcW w:w="918" w:type="dxa"/>
            <w:noWrap/>
            <w:hideMark/>
          </w:tcPr>
          <w:p w14:paraId="7C3083A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6C38484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638DFA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Dublin </w:t>
            </w:r>
          </w:p>
        </w:tc>
        <w:tc>
          <w:tcPr>
            <w:tcW w:w="838" w:type="dxa"/>
            <w:noWrap/>
            <w:hideMark/>
          </w:tcPr>
          <w:p w14:paraId="0EE99F4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3903F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3FECB9F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7A659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3BB9C8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F70FFF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7D18C2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Whitsunday </w:t>
            </w:r>
          </w:p>
        </w:tc>
        <w:tc>
          <w:tcPr>
            <w:tcW w:w="963" w:type="dxa"/>
            <w:noWrap/>
            <w:hideMark/>
          </w:tcPr>
          <w:p w14:paraId="39F920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41EE468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343F1C6"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Leslie, Henry </w:t>
            </w:r>
          </w:p>
        </w:tc>
        <w:tc>
          <w:tcPr>
            <w:tcW w:w="1125" w:type="dxa"/>
            <w:noWrap/>
            <w:hideMark/>
          </w:tcPr>
          <w:p w14:paraId="009EF7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Society of Stationers</w:t>
            </w:r>
          </w:p>
        </w:tc>
        <w:tc>
          <w:tcPr>
            <w:tcW w:w="918" w:type="dxa"/>
            <w:noWrap/>
            <w:hideMark/>
          </w:tcPr>
          <w:p w14:paraId="6D83D0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74E556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D36E2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Dublin </w:t>
            </w:r>
          </w:p>
        </w:tc>
        <w:tc>
          <w:tcPr>
            <w:tcW w:w="838" w:type="dxa"/>
            <w:noWrap/>
            <w:hideMark/>
          </w:tcPr>
          <w:p w14:paraId="5DA987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BC0568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2CC52E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38CFF1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3239A2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37DEBB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76D42F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533E64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31684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0AA70EB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D14B887"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Ley, Roger </w:t>
            </w:r>
          </w:p>
        </w:tc>
        <w:tc>
          <w:tcPr>
            <w:tcW w:w="1125" w:type="dxa"/>
            <w:noWrap/>
            <w:hideMark/>
          </w:tcPr>
          <w:p w14:paraId="4EF80D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Nicholas Bourne </w:t>
            </w:r>
          </w:p>
        </w:tc>
        <w:tc>
          <w:tcPr>
            <w:tcW w:w="918" w:type="dxa"/>
            <w:noWrap/>
            <w:hideMark/>
          </w:tcPr>
          <w:p w14:paraId="1D1E54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2F906A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26347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5AED9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5FE08D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44A6D2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EEDFC1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AEDAB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AD03B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11886C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9A90FC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5CED3F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37635D4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5ED383C"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Loe</w:t>
            </w:r>
            <w:proofErr w:type="spellEnd"/>
            <w:r w:rsidRPr="003037D2">
              <w:rPr>
                <w:rFonts w:ascii="Garamond" w:hAnsi="Garamond"/>
                <w:b w:val="0"/>
                <w:bCs w:val="0"/>
                <w:sz w:val="20"/>
                <w:szCs w:val="20"/>
              </w:rPr>
              <w:t xml:space="preserve">, William </w:t>
            </w:r>
          </w:p>
        </w:tc>
        <w:tc>
          <w:tcPr>
            <w:tcW w:w="1125" w:type="dxa"/>
            <w:noWrap/>
            <w:hideMark/>
          </w:tcPr>
          <w:p w14:paraId="38932B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G. </w:t>
            </w:r>
            <w:proofErr w:type="spellStart"/>
            <w:r w:rsidRPr="003037D2">
              <w:rPr>
                <w:rFonts w:ascii="Garamond" w:hAnsi="Garamond"/>
                <w:sz w:val="20"/>
                <w:szCs w:val="20"/>
              </w:rPr>
              <w:t>Lathum</w:t>
            </w:r>
            <w:proofErr w:type="spellEnd"/>
            <w:r w:rsidRPr="003037D2">
              <w:rPr>
                <w:rFonts w:ascii="Garamond" w:hAnsi="Garamond"/>
                <w:sz w:val="20"/>
                <w:szCs w:val="20"/>
              </w:rPr>
              <w:t xml:space="preserve"> </w:t>
            </w:r>
          </w:p>
        </w:tc>
        <w:tc>
          <w:tcPr>
            <w:tcW w:w="918" w:type="dxa"/>
            <w:noWrap/>
            <w:hideMark/>
          </w:tcPr>
          <w:p w14:paraId="010798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1632</w:t>
            </w:r>
          </w:p>
        </w:tc>
        <w:tc>
          <w:tcPr>
            <w:tcW w:w="931" w:type="dxa"/>
            <w:noWrap/>
            <w:hideMark/>
          </w:tcPr>
          <w:p w14:paraId="1B6C9C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0B5D7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B1EC2D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624ED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01C115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76743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FA14E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6A437C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wedding </w:t>
            </w:r>
          </w:p>
        </w:tc>
        <w:tc>
          <w:tcPr>
            <w:tcW w:w="1093" w:type="dxa"/>
            <w:noWrap/>
            <w:hideMark/>
          </w:tcPr>
          <w:p w14:paraId="3A0D6F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08347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30EC678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9FF0552"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Loe</w:t>
            </w:r>
            <w:proofErr w:type="spellEnd"/>
            <w:r w:rsidRPr="003037D2">
              <w:rPr>
                <w:rFonts w:ascii="Garamond" w:hAnsi="Garamond"/>
                <w:b w:val="0"/>
                <w:bCs w:val="0"/>
                <w:sz w:val="20"/>
                <w:szCs w:val="20"/>
              </w:rPr>
              <w:t xml:space="preserve">, William </w:t>
            </w:r>
          </w:p>
        </w:tc>
        <w:tc>
          <w:tcPr>
            <w:tcW w:w="1125" w:type="dxa"/>
            <w:noWrap/>
            <w:hideMark/>
          </w:tcPr>
          <w:p w14:paraId="477C1D6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spellStart"/>
            <w:r w:rsidRPr="003037D2">
              <w:rPr>
                <w:rFonts w:ascii="Garamond" w:hAnsi="Garamond"/>
                <w:sz w:val="20"/>
                <w:szCs w:val="20"/>
              </w:rPr>
              <w:t>Willaim</w:t>
            </w:r>
            <w:proofErr w:type="spellEnd"/>
            <w:r w:rsidRPr="003037D2">
              <w:rPr>
                <w:rFonts w:ascii="Garamond" w:hAnsi="Garamond"/>
                <w:sz w:val="20"/>
                <w:szCs w:val="20"/>
              </w:rPr>
              <w:t xml:space="preserve"> </w:t>
            </w:r>
            <w:proofErr w:type="spellStart"/>
            <w:r w:rsidRPr="003037D2">
              <w:rPr>
                <w:rFonts w:ascii="Garamond" w:hAnsi="Garamond"/>
                <w:sz w:val="20"/>
                <w:szCs w:val="20"/>
              </w:rPr>
              <w:t>Sheffard</w:t>
            </w:r>
            <w:proofErr w:type="spellEnd"/>
            <w:r w:rsidRPr="003037D2">
              <w:rPr>
                <w:rFonts w:ascii="Garamond" w:hAnsi="Garamond"/>
                <w:sz w:val="20"/>
                <w:szCs w:val="20"/>
              </w:rPr>
              <w:t xml:space="preserve"> </w:t>
            </w:r>
          </w:p>
        </w:tc>
        <w:tc>
          <w:tcPr>
            <w:tcW w:w="918" w:type="dxa"/>
            <w:noWrap/>
            <w:hideMark/>
          </w:tcPr>
          <w:p w14:paraId="7F804F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788560A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FDAA31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1AF85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75B062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0AB35D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‘before the king’</w:t>
            </w:r>
          </w:p>
        </w:tc>
        <w:tc>
          <w:tcPr>
            <w:tcW w:w="981" w:type="dxa"/>
            <w:noWrap/>
            <w:hideMark/>
          </w:tcPr>
          <w:p w14:paraId="1E10E2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8D585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26D95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1027C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7740C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A20A1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1F839C8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84B8984"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Lougher</w:t>
            </w:r>
            <w:proofErr w:type="spellEnd"/>
            <w:r w:rsidRPr="003037D2">
              <w:rPr>
                <w:rFonts w:ascii="Garamond" w:hAnsi="Garamond"/>
                <w:b w:val="0"/>
                <w:bCs w:val="0"/>
                <w:sz w:val="20"/>
                <w:szCs w:val="20"/>
              </w:rPr>
              <w:t xml:space="preserve">, Robert </w:t>
            </w:r>
          </w:p>
        </w:tc>
        <w:tc>
          <w:tcPr>
            <w:tcW w:w="1125" w:type="dxa"/>
            <w:noWrap/>
            <w:hideMark/>
          </w:tcPr>
          <w:p w14:paraId="04E77C0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Francis Constable</w:t>
            </w:r>
          </w:p>
        </w:tc>
        <w:tc>
          <w:tcPr>
            <w:tcW w:w="918" w:type="dxa"/>
            <w:noWrap/>
            <w:hideMark/>
          </w:tcPr>
          <w:p w14:paraId="3F8CC6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16B9F0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763B52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CE19D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65AD8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7624F39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2A1EA9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8B214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2D4C3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3768A3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visitation </w:t>
            </w:r>
          </w:p>
        </w:tc>
        <w:tc>
          <w:tcPr>
            <w:tcW w:w="963" w:type="dxa"/>
            <w:noWrap/>
            <w:hideMark/>
          </w:tcPr>
          <w:p w14:paraId="445C2E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29FBBB4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718506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Love, Richard </w:t>
            </w:r>
          </w:p>
        </w:tc>
        <w:tc>
          <w:tcPr>
            <w:tcW w:w="1125" w:type="dxa"/>
            <w:noWrap/>
            <w:hideMark/>
          </w:tcPr>
          <w:p w14:paraId="1AD1D1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Roger Daniel </w:t>
            </w:r>
          </w:p>
        </w:tc>
        <w:tc>
          <w:tcPr>
            <w:tcW w:w="918" w:type="dxa"/>
            <w:noWrap/>
            <w:hideMark/>
          </w:tcPr>
          <w:p w14:paraId="7E6DFA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5C2D4F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155F06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8F513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CFB40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 Whitehall </w:t>
            </w:r>
          </w:p>
        </w:tc>
        <w:tc>
          <w:tcPr>
            <w:tcW w:w="1118" w:type="dxa"/>
            <w:noWrap/>
            <w:hideMark/>
          </w:tcPr>
          <w:p w14:paraId="6DE128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1DE3B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59910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C17AF6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03B147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 calendar - Lent</w:t>
            </w:r>
          </w:p>
        </w:tc>
        <w:tc>
          <w:tcPr>
            <w:tcW w:w="1093" w:type="dxa"/>
            <w:noWrap/>
            <w:hideMark/>
          </w:tcPr>
          <w:p w14:paraId="4312E87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fast </w:t>
            </w:r>
          </w:p>
        </w:tc>
        <w:tc>
          <w:tcPr>
            <w:tcW w:w="963" w:type="dxa"/>
            <w:noWrap/>
            <w:hideMark/>
          </w:tcPr>
          <w:p w14:paraId="476C8A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4B5EA11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94B66FC"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Maisterson</w:t>
            </w:r>
            <w:proofErr w:type="spellEnd"/>
            <w:r w:rsidRPr="003037D2">
              <w:rPr>
                <w:rFonts w:ascii="Garamond" w:hAnsi="Garamond"/>
                <w:b w:val="0"/>
                <w:bCs w:val="0"/>
                <w:sz w:val="20"/>
                <w:szCs w:val="20"/>
              </w:rPr>
              <w:t xml:space="preserve">, Henry </w:t>
            </w:r>
          </w:p>
        </w:tc>
        <w:tc>
          <w:tcPr>
            <w:tcW w:w="1125" w:type="dxa"/>
            <w:noWrap/>
            <w:hideMark/>
          </w:tcPr>
          <w:p w14:paraId="1CBA98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Roger Daniel </w:t>
            </w:r>
          </w:p>
        </w:tc>
        <w:tc>
          <w:tcPr>
            <w:tcW w:w="918" w:type="dxa"/>
            <w:noWrap/>
            <w:hideMark/>
          </w:tcPr>
          <w:p w14:paraId="3D6B07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4E19E6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2B4686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Cambridge </w:t>
            </w:r>
          </w:p>
        </w:tc>
        <w:tc>
          <w:tcPr>
            <w:tcW w:w="838" w:type="dxa"/>
            <w:noWrap/>
            <w:hideMark/>
          </w:tcPr>
          <w:p w14:paraId="6E16D9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DAA28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St. Paul's </w:t>
            </w:r>
          </w:p>
        </w:tc>
        <w:tc>
          <w:tcPr>
            <w:tcW w:w="1118" w:type="dxa"/>
            <w:noWrap/>
            <w:hideMark/>
          </w:tcPr>
          <w:p w14:paraId="03E84D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1EA10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B7DAD6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6F723F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0D0B73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B5815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D4782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029E280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857808C"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Marshall, Stephen </w:t>
            </w:r>
          </w:p>
        </w:tc>
        <w:tc>
          <w:tcPr>
            <w:tcW w:w="1125" w:type="dxa"/>
            <w:noWrap/>
            <w:hideMark/>
          </w:tcPr>
          <w:p w14:paraId="1FEB38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John Wright</w:t>
            </w:r>
          </w:p>
        </w:tc>
        <w:tc>
          <w:tcPr>
            <w:tcW w:w="918" w:type="dxa"/>
            <w:noWrap/>
            <w:hideMark/>
          </w:tcPr>
          <w:p w14:paraId="1DDE999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7FB6D9B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4CC4E7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CEA78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A1DC7D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4387D7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D54A8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3D370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18292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292F05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day of humiliation </w:t>
            </w:r>
          </w:p>
        </w:tc>
        <w:tc>
          <w:tcPr>
            <w:tcW w:w="963" w:type="dxa"/>
            <w:noWrap/>
            <w:hideMark/>
          </w:tcPr>
          <w:p w14:paraId="0BE8F2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57C88BE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872129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Marshall, Stephen </w:t>
            </w:r>
          </w:p>
        </w:tc>
        <w:tc>
          <w:tcPr>
            <w:tcW w:w="1125" w:type="dxa"/>
            <w:noWrap/>
            <w:hideMark/>
          </w:tcPr>
          <w:p w14:paraId="1B4035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Samuel Gellibrand </w:t>
            </w:r>
          </w:p>
        </w:tc>
        <w:tc>
          <w:tcPr>
            <w:tcW w:w="918" w:type="dxa"/>
            <w:noWrap/>
            <w:hideMark/>
          </w:tcPr>
          <w:p w14:paraId="0958F4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34B247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66BD2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18566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55C5A8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House of Commons</w:t>
            </w:r>
          </w:p>
        </w:tc>
        <w:tc>
          <w:tcPr>
            <w:tcW w:w="1118" w:type="dxa"/>
            <w:noWrap/>
            <w:hideMark/>
          </w:tcPr>
          <w:p w14:paraId="1ACC016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F5F166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DEC22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6E307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E910A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Event - fast</w:t>
            </w:r>
          </w:p>
        </w:tc>
        <w:tc>
          <w:tcPr>
            <w:tcW w:w="1093" w:type="dxa"/>
            <w:noWrap/>
            <w:hideMark/>
          </w:tcPr>
          <w:p w14:paraId="2D49FF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AED97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6CD3B03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3AC60B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Marshall, Stephen </w:t>
            </w:r>
          </w:p>
        </w:tc>
        <w:tc>
          <w:tcPr>
            <w:tcW w:w="1125" w:type="dxa"/>
            <w:noWrap/>
            <w:hideMark/>
          </w:tcPr>
          <w:p w14:paraId="4706CB4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Samuel Man </w:t>
            </w:r>
          </w:p>
        </w:tc>
        <w:tc>
          <w:tcPr>
            <w:tcW w:w="918" w:type="dxa"/>
            <w:noWrap/>
            <w:hideMark/>
          </w:tcPr>
          <w:p w14:paraId="6AB1669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32B99C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5A664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B776C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F831B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House of Commons  </w:t>
            </w:r>
          </w:p>
        </w:tc>
        <w:tc>
          <w:tcPr>
            <w:tcW w:w="1118" w:type="dxa"/>
            <w:noWrap/>
            <w:hideMark/>
          </w:tcPr>
          <w:p w14:paraId="03C66A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DF3EA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17A69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103345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19EE6A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fast </w:t>
            </w:r>
          </w:p>
        </w:tc>
        <w:tc>
          <w:tcPr>
            <w:tcW w:w="1093" w:type="dxa"/>
            <w:noWrap/>
            <w:hideMark/>
          </w:tcPr>
          <w:p w14:paraId="6A65A2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8205E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067F2C3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01D5E9F"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Marshe</w:t>
            </w:r>
            <w:proofErr w:type="spellEnd"/>
            <w:r w:rsidRPr="003037D2">
              <w:rPr>
                <w:rFonts w:ascii="Garamond" w:hAnsi="Garamond"/>
                <w:b w:val="0"/>
                <w:bCs w:val="0"/>
                <w:sz w:val="20"/>
                <w:szCs w:val="20"/>
              </w:rPr>
              <w:t xml:space="preserve">, Richard </w:t>
            </w:r>
          </w:p>
        </w:tc>
        <w:tc>
          <w:tcPr>
            <w:tcW w:w="1125" w:type="dxa"/>
            <w:noWrap/>
            <w:hideMark/>
          </w:tcPr>
          <w:p w14:paraId="51C3A5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Matthew </w:t>
            </w:r>
            <w:proofErr w:type="spellStart"/>
            <w:r w:rsidRPr="003037D2">
              <w:rPr>
                <w:rFonts w:ascii="Garamond" w:hAnsi="Garamond"/>
                <w:sz w:val="20"/>
                <w:szCs w:val="20"/>
              </w:rPr>
              <w:t>Lownes</w:t>
            </w:r>
            <w:proofErr w:type="spellEnd"/>
            <w:r w:rsidRPr="003037D2">
              <w:rPr>
                <w:rFonts w:ascii="Garamond" w:hAnsi="Garamond"/>
                <w:sz w:val="20"/>
                <w:szCs w:val="20"/>
              </w:rPr>
              <w:t xml:space="preserve"> </w:t>
            </w:r>
          </w:p>
        </w:tc>
        <w:tc>
          <w:tcPr>
            <w:tcW w:w="918" w:type="dxa"/>
            <w:noWrap/>
            <w:hideMark/>
          </w:tcPr>
          <w:p w14:paraId="59AEDC4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2445962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C9DB0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890CA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5A6F4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40F3732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694F6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BBDD4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C9A12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2DB217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4318B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BB4E9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21C89D2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7D05B9A"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Marton</w:t>
            </w:r>
            <w:proofErr w:type="spellEnd"/>
            <w:r w:rsidRPr="003037D2">
              <w:rPr>
                <w:rFonts w:ascii="Garamond" w:hAnsi="Garamond"/>
                <w:b w:val="0"/>
                <w:bCs w:val="0"/>
                <w:sz w:val="20"/>
                <w:szCs w:val="20"/>
              </w:rPr>
              <w:t xml:space="preserve">, John </w:t>
            </w:r>
          </w:p>
        </w:tc>
        <w:tc>
          <w:tcPr>
            <w:tcW w:w="1125" w:type="dxa"/>
            <w:noWrap/>
            <w:hideMark/>
          </w:tcPr>
          <w:p w14:paraId="6F56F5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 Burroughs </w:t>
            </w:r>
          </w:p>
        </w:tc>
        <w:tc>
          <w:tcPr>
            <w:tcW w:w="918" w:type="dxa"/>
            <w:noWrap/>
            <w:hideMark/>
          </w:tcPr>
          <w:p w14:paraId="76046A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2263D1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A56CE9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F40308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C9365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2099" w:type="dxa"/>
            <w:gridSpan w:val="2"/>
            <w:noWrap/>
            <w:hideMark/>
          </w:tcPr>
          <w:p w14:paraId="3DB5DF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‘before the members of the house of commons’ </w:t>
            </w:r>
          </w:p>
        </w:tc>
        <w:tc>
          <w:tcPr>
            <w:tcW w:w="681" w:type="dxa"/>
            <w:noWrap/>
            <w:hideMark/>
          </w:tcPr>
          <w:p w14:paraId="054D78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0804E4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3EC742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D5F875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4D8F1F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2A03D96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842A383"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Mason, </w:t>
            </w:r>
            <w:proofErr w:type="spellStart"/>
            <w:r w:rsidRPr="003037D2">
              <w:rPr>
                <w:rFonts w:ascii="Garamond" w:hAnsi="Garamond"/>
                <w:b w:val="0"/>
                <w:bCs w:val="0"/>
                <w:sz w:val="20"/>
                <w:szCs w:val="20"/>
              </w:rPr>
              <w:t>Edumund</w:t>
            </w:r>
            <w:proofErr w:type="spellEnd"/>
            <w:r w:rsidRPr="003037D2">
              <w:rPr>
                <w:rFonts w:ascii="Garamond" w:hAnsi="Garamond"/>
                <w:b w:val="0"/>
                <w:bCs w:val="0"/>
                <w:sz w:val="20"/>
                <w:szCs w:val="20"/>
              </w:rPr>
              <w:t xml:space="preserve"> </w:t>
            </w:r>
          </w:p>
        </w:tc>
        <w:tc>
          <w:tcPr>
            <w:tcW w:w="1125" w:type="dxa"/>
            <w:noWrap/>
            <w:hideMark/>
          </w:tcPr>
          <w:p w14:paraId="1F879C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Bill </w:t>
            </w:r>
          </w:p>
        </w:tc>
        <w:tc>
          <w:tcPr>
            <w:tcW w:w="918" w:type="dxa"/>
            <w:noWrap/>
            <w:hideMark/>
          </w:tcPr>
          <w:p w14:paraId="307C5E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2E3597D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90E4B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46C888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2BF0A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2099" w:type="dxa"/>
            <w:gridSpan w:val="2"/>
            <w:noWrap/>
            <w:hideMark/>
          </w:tcPr>
          <w:p w14:paraId="160B26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‘before his </w:t>
            </w:r>
            <w:proofErr w:type="spellStart"/>
            <w:r w:rsidRPr="003037D2">
              <w:rPr>
                <w:rFonts w:ascii="Garamond" w:hAnsi="Garamond"/>
                <w:sz w:val="20"/>
                <w:szCs w:val="20"/>
              </w:rPr>
              <w:t>Majestie</w:t>
            </w:r>
            <w:proofErr w:type="spellEnd"/>
            <w:r w:rsidRPr="003037D2">
              <w:rPr>
                <w:rFonts w:ascii="Garamond" w:hAnsi="Garamond"/>
                <w:sz w:val="20"/>
                <w:szCs w:val="20"/>
              </w:rPr>
              <w:t xml:space="preserve">’ </w:t>
            </w:r>
          </w:p>
        </w:tc>
        <w:tc>
          <w:tcPr>
            <w:tcW w:w="681" w:type="dxa"/>
            <w:noWrap/>
            <w:hideMark/>
          </w:tcPr>
          <w:p w14:paraId="44E277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F094B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62AFBE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B3448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FBFBE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1051DD9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0B73DEB"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lastRenderedPageBreak/>
              <w:t>Mavericke</w:t>
            </w:r>
            <w:proofErr w:type="spellEnd"/>
            <w:r w:rsidRPr="003037D2">
              <w:rPr>
                <w:rFonts w:ascii="Garamond" w:hAnsi="Garamond"/>
                <w:b w:val="0"/>
                <w:bCs w:val="0"/>
                <w:sz w:val="20"/>
                <w:szCs w:val="20"/>
              </w:rPr>
              <w:t xml:space="preserve">, Radford </w:t>
            </w:r>
          </w:p>
        </w:tc>
        <w:tc>
          <w:tcPr>
            <w:tcW w:w="1125" w:type="dxa"/>
            <w:noWrap/>
            <w:hideMark/>
          </w:tcPr>
          <w:p w14:paraId="40CF5E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William </w:t>
            </w:r>
            <w:proofErr w:type="spellStart"/>
            <w:r w:rsidRPr="003037D2">
              <w:rPr>
                <w:rFonts w:ascii="Garamond" w:hAnsi="Garamond"/>
                <w:sz w:val="20"/>
                <w:szCs w:val="20"/>
              </w:rPr>
              <w:t>Stansby</w:t>
            </w:r>
            <w:proofErr w:type="spellEnd"/>
          </w:p>
        </w:tc>
        <w:tc>
          <w:tcPr>
            <w:tcW w:w="918" w:type="dxa"/>
            <w:noWrap/>
            <w:hideMark/>
          </w:tcPr>
          <w:p w14:paraId="6E769C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574D63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EFAC1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04EFB1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A8B22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46A5437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D199B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A8169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01B2E5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4727CA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C9D3E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782CF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8C96C9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FAEBC34"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Maxey, Anthony </w:t>
            </w:r>
          </w:p>
        </w:tc>
        <w:tc>
          <w:tcPr>
            <w:tcW w:w="1125" w:type="dxa"/>
            <w:noWrap/>
            <w:hideMark/>
          </w:tcPr>
          <w:p w14:paraId="5D76E2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Thomas Knight</w:t>
            </w:r>
          </w:p>
        </w:tc>
        <w:tc>
          <w:tcPr>
            <w:tcW w:w="918" w:type="dxa"/>
            <w:noWrap/>
            <w:hideMark/>
          </w:tcPr>
          <w:p w14:paraId="34D340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1634</w:t>
            </w:r>
          </w:p>
        </w:tc>
        <w:tc>
          <w:tcPr>
            <w:tcW w:w="931" w:type="dxa"/>
            <w:noWrap/>
            <w:hideMark/>
          </w:tcPr>
          <w:p w14:paraId="2760C9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035" w:type="dxa"/>
            <w:noWrap/>
            <w:hideMark/>
          </w:tcPr>
          <w:p w14:paraId="472A901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6E7B6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243B52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Court</w:t>
            </w:r>
          </w:p>
        </w:tc>
        <w:tc>
          <w:tcPr>
            <w:tcW w:w="1118" w:type="dxa"/>
            <w:noWrap/>
            <w:hideMark/>
          </w:tcPr>
          <w:p w14:paraId="3A8A9C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2AA43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8EFB3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6EB4C0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27452E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40615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86369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6AFBB68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25749AD"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Maxey, Anthony </w:t>
            </w:r>
          </w:p>
        </w:tc>
        <w:tc>
          <w:tcPr>
            <w:tcW w:w="1125" w:type="dxa"/>
            <w:noWrap/>
            <w:hideMark/>
          </w:tcPr>
          <w:p w14:paraId="09B2388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Thomas Knight</w:t>
            </w:r>
          </w:p>
        </w:tc>
        <w:tc>
          <w:tcPr>
            <w:tcW w:w="918" w:type="dxa"/>
            <w:noWrap/>
            <w:hideMark/>
          </w:tcPr>
          <w:p w14:paraId="152E91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1636</w:t>
            </w:r>
          </w:p>
        </w:tc>
        <w:tc>
          <w:tcPr>
            <w:tcW w:w="931" w:type="dxa"/>
            <w:noWrap/>
            <w:hideMark/>
          </w:tcPr>
          <w:p w14:paraId="369906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035" w:type="dxa"/>
            <w:noWrap/>
            <w:hideMark/>
          </w:tcPr>
          <w:p w14:paraId="278A02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4808A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25E5EE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w:t>
            </w:r>
          </w:p>
        </w:tc>
        <w:tc>
          <w:tcPr>
            <w:tcW w:w="1118" w:type="dxa"/>
            <w:noWrap/>
            <w:hideMark/>
          </w:tcPr>
          <w:p w14:paraId="796B45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34486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6DFFC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29EF48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5BBC79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88E86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ED776F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46256E2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5970A6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May, Joseph </w:t>
            </w:r>
          </w:p>
        </w:tc>
        <w:tc>
          <w:tcPr>
            <w:tcW w:w="1125" w:type="dxa"/>
            <w:noWrap/>
            <w:hideMark/>
          </w:tcPr>
          <w:p w14:paraId="1E75E5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Humphrey Robinson </w:t>
            </w:r>
          </w:p>
        </w:tc>
        <w:tc>
          <w:tcPr>
            <w:tcW w:w="918" w:type="dxa"/>
            <w:noWrap/>
            <w:hideMark/>
          </w:tcPr>
          <w:p w14:paraId="2C01D7B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5DBE3B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5ECA0A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1DB86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DC49F7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1B2586F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9B6C4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38B6A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67269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7E4CB97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074A7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64167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0EBB907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500E04F"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Mayo, John K. </w:t>
            </w:r>
          </w:p>
        </w:tc>
        <w:tc>
          <w:tcPr>
            <w:tcW w:w="1125" w:type="dxa"/>
            <w:noWrap/>
            <w:hideMark/>
          </w:tcPr>
          <w:p w14:paraId="2DAA0B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Smithuuike</w:t>
            </w:r>
            <w:proofErr w:type="spellEnd"/>
            <w:r w:rsidRPr="003037D2">
              <w:rPr>
                <w:rFonts w:ascii="Garamond" w:hAnsi="Garamond"/>
                <w:sz w:val="20"/>
                <w:szCs w:val="20"/>
              </w:rPr>
              <w:t xml:space="preserve"> </w:t>
            </w:r>
          </w:p>
        </w:tc>
        <w:tc>
          <w:tcPr>
            <w:tcW w:w="918" w:type="dxa"/>
            <w:noWrap/>
            <w:hideMark/>
          </w:tcPr>
          <w:p w14:paraId="6F82F8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1630</w:t>
            </w:r>
          </w:p>
        </w:tc>
        <w:tc>
          <w:tcPr>
            <w:tcW w:w="931" w:type="dxa"/>
            <w:noWrap/>
            <w:hideMark/>
          </w:tcPr>
          <w:p w14:paraId="0E8CE0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D97C04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1B948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C2E94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31F8FB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spellStart"/>
            <w:r w:rsidRPr="003037D2">
              <w:rPr>
                <w:rFonts w:ascii="Garamond" w:hAnsi="Garamond"/>
                <w:sz w:val="20"/>
                <w:szCs w:val="20"/>
              </w:rPr>
              <w:t>Assises</w:t>
            </w:r>
            <w:proofErr w:type="spellEnd"/>
            <w:r w:rsidRPr="003037D2">
              <w:rPr>
                <w:rFonts w:ascii="Garamond" w:hAnsi="Garamond"/>
                <w:sz w:val="20"/>
                <w:szCs w:val="20"/>
              </w:rPr>
              <w:t xml:space="preserve"> </w:t>
            </w:r>
          </w:p>
        </w:tc>
        <w:tc>
          <w:tcPr>
            <w:tcW w:w="981" w:type="dxa"/>
            <w:noWrap/>
            <w:hideMark/>
          </w:tcPr>
          <w:p w14:paraId="37C483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8E3AB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12A3B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6C3014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B7CAA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8A220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62A4775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CA0EF14"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Mede, Joseph </w:t>
            </w:r>
          </w:p>
        </w:tc>
        <w:tc>
          <w:tcPr>
            <w:tcW w:w="1125" w:type="dxa"/>
            <w:noWrap/>
            <w:hideMark/>
          </w:tcPr>
          <w:p w14:paraId="5500BC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Clark </w:t>
            </w:r>
          </w:p>
        </w:tc>
        <w:tc>
          <w:tcPr>
            <w:tcW w:w="918" w:type="dxa"/>
            <w:noWrap/>
            <w:hideMark/>
          </w:tcPr>
          <w:p w14:paraId="18529C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1638</w:t>
            </w:r>
          </w:p>
        </w:tc>
        <w:tc>
          <w:tcPr>
            <w:tcW w:w="931" w:type="dxa"/>
            <w:noWrap/>
            <w:hideMark/>
          </w:tcPr>
          <w:p w14:paraId="345A06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CC7EC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CD99A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300E0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2099" w:type="dxa"/>
            <w:gridSpan w:val="2"/>
            <w:noWrap/>
            <w:hideMark/>
          </w:tcPr>
          <w:p w14:paraId="33AAA9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‘before the university’ </w:t>
            </w:r>
          </w:p>
        </w:tc>
        <w:tc>
          <w:tcPr>
            <w:tcW w:w="681" w:type="dxa"/>
            <w:noWrap/>
            <w:hideMark/>
          </w:tcPr>
          <w:p w14:paraId="3522E8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17432A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06CAEA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w:t>
            </w:r>
          </w:p>
        </w:tc>
        <w:tc>
          <w:tcPr>
            <w:tcW w:w="963" w:type="dxa"/>
            <w:noWrap/>
            <w:hideMark/>
          </w:tcPr>
          <w:p w14:paraId="31A359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094E9A0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A84400A"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Mestrezat</w:t>
            </w:r>
            <w:proofErr w:type="spellEnd"/>
            <w:r w:rsidRPr="003037D2">
              <w:rPr>
                <w:rFonts w:ascii="Garamond" w:hAnsi="Garamond"/>
                <w:b w:val="0"/>
                <w:bCs w:val="0"/>
                <w:sz w:val="20"/>
                <w:szCs w:val="20"/>
              </w:rPr>
              <w:t xml:space="preserve">, Jean </w:t>
            </w:r>
          </w:p>
        </w:tc>
        <w:tc>
          <w:tcPr>
            <w:tcW w:w="1125" w:type="dxa"/>
            <w:noWrap/>
            <w:hideMark/>
          </w:tcPr>
          <w:p w14:paraId="1E99B9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G. Baker </w:t>
            </w:r>
          </w:p>
        </w:tc>
        <w:tc>
          <w:tcPr>
            <w:tcW w:w="918" w:type="dxa"/>
            <w:noWrap/>
            <w:hideMark/>
          </w:tcPr>
          <w:p w14:paraId="0A6451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1631</w:t>
            </w:r>
          </w:p>
        </w:tc>
        <w:tc>
          <w:tcPr>
            <w:tcW w:w="931" w:type="dxa"/>
            <w:noWrap/>
            <w:hideMark/>
          </w:tcPr>
          <w:p w14:paraId="45A2C3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03398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67EFD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0E0B6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77C096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25C82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212DB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488510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Easter </w:t>
            </w:r>
          </w:p>
        </w:tc>
        <w:tc>
          <w:tcPr>
            <w:tcW w:w="1093" w:type="dxa"/>
            <w:noWrap/>
            <w:hideMark/>
          </w:tcPr>
          <w:p w14:paraId="33C73D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D8242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7EE5576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777B1DF"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Miller, Henry </w:t>
            </w:r>
          </w:p>
        </w:tc>
        <w:tc>
          <w:tcPr>
            <w:tcW w:w="1125" w:type="dxa"/>
            <w:noWrap/>
            <w:hideMark/>
          </w:tcPr>
          <w:p w14:paraId="35EF7B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Warren </w:t>
            </w:r>
          </w:p>
        </w:tc>
        <w:tc>
          <w:tcPr>
            <w:tcW w:w="918" w:type="dxa"/>
            <w:noWrap/>
            <w:hideMark/>
          </w:tcPr>
          <w:p w14:paraId="3F6B30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0E1DFD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F8AF9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180E9D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4996FA6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4011F8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C89317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63A6C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A5CA5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1F3869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commemorating gunpowder treason </w:t>
            </w:r>
          </w:p>
        </w:tc>
        <w:tc>
          <w:tcPr>
            <w:tcW w:w="963" w:type="dxa"/>
            <w:noWrap/>
            <w:hideMark/>
          </w:tcPr>
          <w:p w14:paraId="5232B8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744D519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F575EEA"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Milward, Matthias </w:t>
            </w:r>
          </w:p>
        </w:tc>
        <w:tc>
          <w:tcPr>
            <w:tcW w:w="1125" w:type="dxa"/>
            <w:noWrap/>
            <w:hideMark/>
          </w:tcPr>
          <w:p w14:paraId="15E115F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Clark </w:t>
            </w:r>
          </w:p>
        </w:tc>
        <w:tc>
          <w:tcPr>
            <w:tcW w:w="918" w:type="dxa"/>
            <w:noWrap/>
            <w:hideMark/>
          </w:tcPr>
          <w:p w14:paraId="77139D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46961C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7DC65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D3673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D0619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0E0A58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artillery garden </w:t>
            </w:r>
          </w:p>
        </w:tc>
        <w:tc>
          <w:tcPr>
            <w:tcW w:w="981" w:type="dxa"/>
            <w:noWrap/>
            <w:hideMark/>
          </w:tcPr>
          <w:p w14:paraId="3DE44C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A51C2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D8E771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4D7C804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C512C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13689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38E9A70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53F3B0F"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Milward, Matthias </w:t>
            </w:r>
          </w:p>
        </w:tc>
        <w:tc>
          <w:tcPr>
            <w:tcW w:w="1125" w:type="dxa"/>
            <w:noWrap/>
            <w:hideMark/>
          </w:tcPr>
          <w:p w14:paraId="75C993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Norton </w:t>
            </w:r>
          </w:p>
        </w:tc>
        <w:tc>
          <w:tcPr>
            <w:tcW w:w="918" w:type="dxa"/>
            <w:noWrap/>
            <w:hideMark/>
          </w:tcPr>
          <w:p w14:paraId="5127BD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7C9A68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AB8D2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F7BAFA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70E87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Chapel </w:t>
            </w:r>
          </w:p>
        </w:tc>
        <w:tc>
          <w:tcPr>
            <w:tcW w:w="1118" w:type="dxa"/>
            <w:noWrap/>
            <w:hideMark/>
          </w:tcPr>
          <w:p w14:paraId="437D10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Guild-Hall </w:t>
            </w:r>
          </w:p>
        </w:tc>
        <w:tc>
          <w:tcPr>
            <w:tcW w:w="981" w:type="dxa"/>
            <w:noWrap/>
            <w:hideMark/>
          </w:tcPr>
          <w:p w14:paraId="2FFC50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DA1F4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818" w:type="dxa"/>
            <w:gridSpan w:val="2"/>
            <w:noWrap/>
            <w:hideMark/>
          </w:tcPr>
          <w:p w14:paraId="491DE6D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election </w:t>
            </w:r>
          </w:p>
        </w:tc>
        <w:tc>
          <w:tcPr>
            <w:tcW w:w="1093" w:type="dxa"/>
            <w:noWrap/>
            <w:hideMark/>
          </w:tcPr>
          <w:p w14:paraId="1B2D302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F9D198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387018B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6B8FCCC"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Montague, Richard </w:t>
            </w:r>
          </w:p>
        </w:tc>
        <w:tc>
          <w:tcPr>
            <w:tcW w:w="1125" w:type="dxa"/>
            <w:noWrap/>
            <w:hideMark/>
          </w:tcPr>
          <w:p w14:paraId="31C70E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Matthew </w:t>
            </w:r>
            <w:proofErr w:type="spellStart"/>
            <w:r w:rsidRPr="003037D2">
              <w:rPr>
                <w:rFonts w:ascii="Garamond" w:hAnsi="Garamond"/>
                <w:sz w:val="20"/>
                <w:szCs w:val="20"/>
              </w:rPr>
              <w:t>Lown</w:t>
            </w:r>
            <w:proofErr w:type="spellEnd"/>
            <w:r w:rsidRPr="003037D2">
              <w:rPr>
                <w:rFonts w:ascii="Garamond" w:hAnsi="Garamond"/>
                <w:sz w:val="20"/>
                <w:szCs w:val="20"/>
              </w:rPr>
              <w:t xml:space="preserve"> </w:t>
            </w:r>
          </w:p>
        </w:tc>
        <w:tc>
          <w:tcPr>
            <w:tcW w:w="918" w:type="dxa"/>
            <w:noWrap/>
            <w:hideMark/>
          </w:tcPr>
          <w:p w14:paraId="3C8CCF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0109404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AF492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3B391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AE04B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 Windsor </w:t>
            </w:r>
          </w:p>
        </w:tc>
        <w:tc>
          <w:tcPr>
            <w:tcW w:w="1118" w:type="dxa"/>
            <w:noWrap/>
            <w:hideMark/>
          </w:tcPr>
          <w:p w14:paraId="19B7ED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00DE36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FD93A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7BAF1C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07D6218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CD143A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31C86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2B99B03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F712BA7"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Morgan, Shon ap </w:t>
            </w:r>
          </w:p>
        </w:tc>
        <w:tc>
          <w:tcPr>
            <w:tcW w:w="1125" w:type="dxa"/>
            <w:noWrap/>
            <w:hideMark/>
          </w:tcPr>
          <w:p w14:paraId="73A4733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Wood </w:t>
            </w:r>
          </w:p>
        </w:tc>
        <w:tc>
          <w:tcPr>
            <w:tcW w:w="918" w:type="dxa"/>
            <w:noWrap/>
            <w:hideMark/>
          </w:tcPr>
          <w:p w14:paraId="06E505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1B01CE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F49A7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7B091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BBB3C1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County </w:t>
            </w:r>
          </w:p>
        </w:tc>
        <w:tc>
          <w:tcPr>
            <w:tcW w:w="1118" w:type="dxa"/>
            <w:noWrap/>
            <w:hideMark/>
          </w:tcPr>
          <w:p w14:paraId="28FDB1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7897F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0ECEE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7C8C23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2728C3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1EA48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3DE20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3B99E34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20A46E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Morton, Thomas </w:t>
            </w:r>
          </w:p>
        </w:tc>
        <w:tc>
          <w:tcPr>
            <w:tcW w:w="1125" w:type="dxa"/>
            <w:noWrap/>
            <w:hideMark/>
          </w:tcPr>
          <w:p w14:paraId="1F4F28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 Whitaker </w:t>
            </w:r>
          </w:p>
        </w:tc>
        <w:tc>
          <w:tcPr>
            <w:tcW w:w="918" w:type="dxa"/>
            <w:noWrap/>
            <w:hideMark/>
          </w:tcPr>
          <w:p w14:paraId="3AC102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19913D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3EE8B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17779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7F826D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St. Paul's </w:t>
            </w:r>
          </w:p>
        </w:tc>
        <w:tc>
          <w:tcPr>
            <w:tcW w:w="1118" w:type="dxa"/>
            <w:noWrap/>
            <w:hideMark/>
          </w:tcPr>
          <w:p w14:paraId="49BB60E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480B16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8231E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64C68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3C6200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6B05AE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69C77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5AABAF3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9B1AD08"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Morton, Thomas </w:t>
            </w:r>
          </w:p>
        </w:tc>
        <w:tc>
          <w:tcPr>
            <w:tcW w:w="1125" w:type="dxa"/>
            <w:noWrap/>
            <w:hideMark/>
          </w:tcPr>
          <w:p w14:paraId="5047DE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Bill </w:t>
            </w:r>
          </w:p>
        </w:tc>
        <w:tc>
          <w:tcPr>
            <w:tcW w:w="918" w:type="dxa"/>
            <w:noWrap/>
            <w:hideMark/>
          </w:tcPr>
          <w:p w14:paraId="70262E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1639</w:t>
            </w:r>
          </w:p>
        </w:tc>
        <w:tc>
          <w:tcPr>
            <w:tcW w:w="931" w:type="dxa"/>
            <w:noWrap/>
            <w:hideMark/>
          </w:tcPr>
          <w:p w14:paraId="03E595C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9AF9C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105779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49CA321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Cathedral </w:t>
            </w:r>
          </w:p>
        </w:tc>
        <w:tc>
          <w:tcPr>
            <w:tcW w:w="1118" w:type="dxa"/>
            <w:noWrap/>
            <w:hideMark/>
          </w:tcPr>
          <w:p w14:paraId="6CEFE8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before the king </w:t>
            </w:r>
          </w:p>
        </w:tc>
        <w:tc>
          <w:tcPr>
            <w:tcW w:w="981" w:type="dxa"/>
            <w:noWrap/>
            <w:hideMark/>
          </w:tcPr>
          <w:p w14:paraId="4ABD4D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B56B5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86BD4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BC67E4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8E7BE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D92FA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03251BC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76D7B5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Morton, Thomas </w:t>
            </w:r>
          </w:p>
        </w:tc>
        <w:tc>
          <w:tcPr>
            <w:tcW w:w="1125" w:type="dxa"/>
            <w:noWrap/>
            <w:hideMark/>
          </w:tcPr>
          <w:p w14:paraId="0E209D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Barker </w:t>
            </w:r>
          </w:p>
        </w:tc>
        <w:tc>
          <w:tcPr>
            <w:tcW w:w="918" w:type="dxa"/>
            <w:noWrap/>
            <w:hideMark/>
          </w:tcPr>
          <w:p w14:paraId="145877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1639</w:t>
            </w:r>
          </w:p>
        </w:tc>
        <w:tc>
          <w:tcPr>
            <w:tcW w:w="931" w:type="dxa"/>
            <w:noWrap/>
            <w:hideMark/>
          </w:tcPr>
          <w:p w14:paraId="20DD01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981E2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Newcastle-upon-Tyne</w:t>
            </w:r>
          </w:p>
        </w:tc>
        <w:tc>
          <w:tcPr>
            <w:tcW w:w="838" w:type="dxa"/>
            <w:noWrap/>
            <w:hideMark/>
          </w:tcPr>
          <w:p w14:paraId="66CF9E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460974D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Cathedral </w:t>
            </w:r>
          </w:p>
        </w:tc>
        <w:tc>
          <w:tcPr>
            <w:tcW w:w="1118" w:type="dxa"/>
            <w:noWrap/>
            <w:hideMark/>
          </w:tcPr>
          <w:p w14:paraId="73D3BD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before the king </w:t>
            </w:r>
          </w:p>
        </w:tc>
        <w:tc>
          <w:tcPr>
            <w:tcW w:w="981" w:type="dxa"/>
            <w:noWrap/>
            <w:hideMark/>
          </w:tcPr>
          <w:p w14:paraId="1D1546A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44507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74C22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3EE580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57D69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752EB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724602E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1A7A14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Mountford, Thomas </w:t>
            </w:r>
          </w:p>
        </w:tc>
        <w:tc>
          <w:tcPr>
            <w:tcW w:w="1125" w:type="dxa"/>
            <w:noWrap/>
            <w:hideMark/>
          </w:tcPr>
          <w:p w14:paraId="56E2B7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Hodgets</w:t>
            </w:r>
            <w:proofErr w:type="spellEnd"/>
          </w:p>
        </w:tc>
        <w:tc>
          <w:tcPr>
            <w:tcW w:w="918" w:type="dxa"/>
            <w:noWrap/>
            <w:hideMark/>
          </w:tcPr>
          <w:p w14:paraId="529AF5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1DD922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E17B6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5EC921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50803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7F79D35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FAD3B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3C991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6E87D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302E73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0110883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4EC3CA7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2EAA48D"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Myriell</w:t>
            </w:r>
            <w:proofErr w:type="spellEnd"/>
            <w:r w:rsidRPr="003037D2">
              <w:rPr>
                <w:rFonts w:ascii="Garamond" w:hAnsi="Garamond"/>
                <w:b w:val="0"/>
                <w:bCs w:val="0"/>
                <w:sz w:val="20"/>
                <w:szCs w:val="20"/>
              </w:rPr>
              <w:t xml:space="preserve">, Thomas </w:t>
            </w:r>
          </w:p>
        </w:tc>
        <w:tc>
          <w:tcPr>
            <w:tcW w:w="1125" w:type="dxa"/>
            <w:noWrap/>
            <w:hideMark/>
          </w:tcPr>
          <w:p w14:paraId="7EB776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John White</w:t>
            </w:r>
          </w:p>
        </w:tc>
        <w:tc>
          <w:tcPr>
            <w:tcW w:w="918" w:type="dxa"/>
            <w:noWrap/>
            <w:hideMark/>
          </w:tcPr>
          <w:p w14:paraId="5F4F14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77D7EF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1FEBCF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4A4AEF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CD831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St. Paul's </w:t>
            </w:r>
          </w:p>
        </w:tc>
        <w:tc>
          <w:tcPr>
            <w:tcW w:w="2099" w:type="dxa"/>
            <w:gridSpan w:val="2"/>
            <w:noWrap/>
            <w:hideMark/>
          </w:tcPr>
          <w:p w14:paraId="5CF03FE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‘appointed for the </w:t>
            </w:r>
            <w:proofErr w:type="spellStart"/>
            <w:r w:rsidRPr="003037D2">
              <w:rPr>
                <w:rFonts w:ascii="Garamond" w:hAnsi="Garamond"/>
                <w:sz w:val="20"/>
                <w:szCs w:val="20"/>
              </w:rPr>
              <w:t>crosse</w:t>
            </w:r>
            <w:proofErr w:type="spellEnd"/>
            <w:r w:rsidRPr="003037D2">
              <w:rPr>
                <w:rFonts w:ascii="Garamond" w:hAnsi="Garamond"/>
                <w:sz w:val="20"/>
                <w:szCs w:val="20"/>
              </w:rPr>
              <w:t xml:space="preserve">’ </w:t>
            </w:r>
          </w:p>
        </w:tc>
        <w:tc>
          <w:tcPr>
            <w:tcW w:w="681" w:type="dxa"/>
            <w:noWrap/>
            <w:hideMark/>
          </w:tcPr>
          <w:p w14:paraId="07CFC4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2911" w:type="dxa"/>
            <w:gridSpan w:val="3"/>
            <w:noWrap/>
            <w:hideMark/>
          </w:tcPr>
          <w:p w14:paraId="48AD79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Candlemas day </w:t>
            </w:r>
          </w:p>
        </w:tc>
        <w:tc>
          <w:tcPr>
            <w:tcW w:w="963" w:type="dxa"/>
            <w:noWrap/>
            <w:hideMark/>
          </w:tcPr>
          <w:p w14:paraId="4222DE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2262D85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839FF82"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Neesham</w:t>
            </w:r>
            <w:proofErr w:type="spellEnd"/>
            <w:r w:rsidRPr="003037D2">
              <w:rPr>
                <w:rFonts w:ascii="Garamond" w:hAnsi="Garamond"/>
                <w:b w:val="0"/>
                <w:bCs w:val="0"/>
                <w:sz w:val="20"/>
                <w:szCs w:val="20"/>
              </w:rPr>
              <w:t>, Thomas</w:t>
            </w:r>
          </w:p>
        </w:tc>
        <w:tc>
          <w:tcPr>
            <w:tcW w:w="1125" w:type="dxa"/>
            <w:noWrap/>
            <w:hideMark/>
          </w:tcPr>
          <w:p w14:paraId="740BE9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Benson </w:t>
            </w:r>
          </w:p>
        </w:tc>
        <w:tc>
          <w:tcPr>
            <w:tcW w:w="918" w:type="dxa"/>
            <w:noWrap/>
            <w:hideMark/>
          </w:tcPr>
          <w:p w14:paraId="08050F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4524CC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FD1B3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AF09B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B787F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78BFA2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AC4E6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ED2AF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139819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4D1586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4DE341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53A7859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5122A4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Oxley, Robert </w:t>
            </w:r>
          </w:p>
        </w:tc>
        <w:tc>
          <w:tcPr>
            <w:tcW w:w="1125" w:type="dxa"/>
            <w:noWrap/>
            <w:hideMark/>
          </w:tcPr>
          <w:p w14:paraId="64ED4AE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Richard Moore </w:t>
            </w:r>
          </w:p>
        </w:tc>
        <w:tc>
          <w:tcPr>
            <w:tcW w:w="918" w:type="dxa"/>
            <w:noWrap/>
            <w:hideMark/>
          </w:tcPr>
          <w:p w14:paraId="7E602B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4A628F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233F2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DF2E2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9F831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517EBE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6539B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08AB3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7413EE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3BB400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38BAC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06812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30022A3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CBDCB2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Parr, Richard </w:t>
            </w:r>
          </w:p>
        </w:tc>
        <w:tc>
          <w:tcPr>
            <w:tcW w:w="1125" w:type="dxa"/>
            <w:noWrap/>
            <w:hideMark/>
          </w:tcPr>
          <w:p w14:paraId="782664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William Turner </w:t>
            </w:r>
          </w:p>
        </w:tc>
        <w:tc>
          <w:tcPr>
            <w:tcW w:w="918" w:type="dxa"/>
            <w:noWrap/>
            <w:hideMark/>
          </w:tcPr>
          <w:p w14:paraId="73E8FAE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1628</w:t>
            </w:r>
          </w:p>
        </w:tc>
        <w:tc>
          <w:tcPr>
            <w:tcW w:w="931" w:type="dxa"/>
            <w:noWrap/>
            <w:hideMark/>
          </w:tcPr>
          <w:p w14:paraId="4BEE49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F84E9B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Oxford </w:t>
            </w:r>
          </w:p>
        </w:tc>
        <w:tc>
          <w:tcPr>
            <w:tcW w:w="838" w:type="dxa"/>
            <w:noWrap/>
            <w:hideMark/>
          </w:tcPr>
          <w:p w14:paraId="7907E8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F6F65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2F9486E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00761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62988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626175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4FD4A4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2BB3E9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0820BB2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E1A5A6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Parsons, </w:t>
            </w:r>
            <w:proofErr w:type="spellStart"/>
            <w:r w:rsidRPr="003037D2">
              <w:rPr>
                <w:rFonts w:ascii="Garamond" w:hAnsi="Garamond"/>
                <w:b w:val="0"/>
                <w:bCs w:val="0"/>
                <w:sz w:val="20"/>
                <w:szCs w:val="20"/>
              </w:rPr>
              <w:t>Bartholemew</w:t>
            </w:r>
            <w:proofErr w:type="spellEnd"/>
            <w:r w:rsidRPr="003037D2">
              <w:rPr>
                <w:rFonts w:ascii="Garamond" w:hAnsi="Garamond"/>
                <w:b w:val="0"/>
                <w:bCs w:val="0"/>
                <w:sz w:val="20"/>
                <w:szCs w:val="20"/>
              </w:rPr>
              <w:t xml:space="preserve"> </w:t>
            </w:r>
          </w:p>
        </w:tc>
        <w:tc>
          <w:tcPr>
            <w:tcW w:w="1125" w:type="dxa"/>
            <w:noWrap/>
            <w:hideMark/>
          </w:tcPr>
          <w:p w14:paraId="340B9D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William Webb </w:t>
            </w:r>
          </w:p>
        </w:tc>
        <w:tc>
          <w:tcPr>
            <w:tcW w:w="918" w:type="dxa"/>
            <w:noWrap/>
            <w:hideMark/>
          </w:tcPr>
          <w:p w14:paraId="3CB66BE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1637</w:t>
            </w:r>
          </w:p>
        </w:tc>
        <w:tc>
          <w:tcPr>
            <w:tcW w:w="931" w:type="dxa"/>
            <w:noWrap/>
            <w:hideMark/>
          </w:tcPr>
          <w:p w14:paraId="3D558E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641DC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Oxford </w:t>
            </w:r>
          </w:p>
        </w:tc>
        <w:tc>
          <w:tcPr>
            <w:tcW w:w="838" w:type="dxa"/>
            <w:noWrap/>
            <w:hideMark/>
          </w:tcPr>
          <w:p w14:paraId="77A56B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20206E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174EC1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3527F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EFBAD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84B90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75E8A69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visitation </w:t>
            </w:r>
          </w:p>
        </w:tc>
        <w:tc>
          <w:tcPr>
            <w:tcW w:w="963" w:type="dxa"/>
            <w:noWrap/>
            <w:hideMark/>
          </w:tcPr>
          <w:p w14:paraId="794C88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568600F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AB7DCB1"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Pestell</w:t>
            </w:r>
            <w:proofErr w:type="spellEnd"/>
            <w:r w:rsidRPr="003037D2">
              <w:rPr>
                <w:rFonts w:ascii="Garamond" w:hAnsi="Garamond"/>
                <w:b w:val="0"/>
                <w:bCs w:val="0"/>
                <w:sz w:val="20"/>
                <w:szCs w:val="20"/>
              </w:rPr>
              <w:t xml:space="preserve">, Thomas </w:t>
            </w:r>
          </w:p>
        </w:tc>
        <w:tc>
          <w:tcPr>
            <w:tcW w:w="1125" w:type="dxa"/>
            <w:noWrap/>
            <w:hideMark/>
          </w:tcPr>
          <w:p w14:paraId="2A9A6E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w:t>
            </w:r>
            <w:proofErr w:type="spellStart"/>
            <w:r w:rsidRPr="003037D2">
              <w:rPr>
                <w:rFonts w:ascii="Garamond" w:hAnsi="Garamond"/>
                <w:sz w:val="20"/>
                <w:szCs w:val="20"/>
              </w:rPr>
              <w:t>Allott</w:t>
            </w:r>
            <w:proofErr w:type="spellEnd"/>
          </w:p>
        </w:tc>
        <w:tc>
          <w:tcPr>
            <w:tcW w:w="918" w:type="dxa"/>
            <w:noWrap/>
            <w:hideMark/>
          </w:tcPr>
          <w:p w14:paraId="0183B7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1630</w:t>
            </w:r>
          </w:p>
        </w:tc>
        <w:tc>
          <w:tcPr>
            <w:tcW w:w="931" w:type="dxa"/>
            <w:noWrap/>
            <w:hideMark/>
          </w:tcPr>
          <w:p w14:paraId="35331D6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4FB64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B4DC8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21108E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528FBC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F3767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B87CD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63D694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visitation </w:t>
            </w:r>
          </w:p>
        </w:tc>
        <w:tc>
          <w:tcPr>
            <w:tcW w:w="1093" w:type="dxa"/>
            <w:noWrap/>
            <w:hideMark/>
          </w:tcPr>
          <w:p w14:paraId="3A1786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39AD9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57A3DEA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DDF1E5A"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Pestell</w:t>
            </w:r>
            <w:proofErr w:type="spellEnd"/>
            <w:r w:rsidRPr="003037D2">
              <w:rPr>
                <w:rFonts w:ascii="Garamond" w:hAnsi="Garamond"/>
                <w:b w:val="0"/>
                <w:bCs w:val="0"/>
                <w:sz w:val="20"/>
                <w:szCs w:val="20"/>
              </w:rPr>
              <w:t xml:space="preserve">, Thomas </w:t>
            </w:r>
          </w:p>
        </w:tc>
        <w:tc>
          <w:tcPr>
            <w:tcW w:w="1125" w:type="dxa"/>
            <w:noWrap/>
            <w:hideMark/>
          </w:tcPr>
          <w:p w14:paraId="239C45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Arthur Johnson </w:t>
            </w:r>
          </w:p>
        </w:tc>
        <w:tc>
          <w:tcPr>
            <w:tcW w:w="918" w:type="dxa"/>
            <w:noWrap/>
            <w:hideMark/>
          </w:tcPr>
          <w:p w14:paraId="3D2CB5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7742D9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AA7CEF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2BCF46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55F94F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587C84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spellStart"/>
            <w:r w:rsidRPr="003037D2">
              <w:rPr>
                <w:rFonts w:ascii="Garamond" w:hAnsi="Garamond"/>
                <w:sz w:val="20"/>
                <w:szCs w:val="20"/>
              </w:rPr>
              <w:t>Assises</w:t>
            </w:r>
            <w:proofErr w:type="spellEnd"/>
            <w:r w:rsidRPr="003037D2">
              <w:rPr>
                <w:rFonts w:ascii="Garamond" w:hAnsi="Garamond"/>
                <w:sz w:val="20"/>
                <w:szCs w:val="20"/>
              </w:rPr>
              <w:t xml:space="preserve"> </w:t>
            </w:r>
          </w:p>
        </w:tc>
        <w:tc>
          <w:tcPr>
            <w:tcW w:w="981" w:type="dxa"/>
            <w:noWrap/>
            <w:hideMark/>
          </w:tcPr>
          <w:p w14:paraId="3BED51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A6408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0AB7888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3DFE46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EF25F1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3379D8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0CA67C6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4A24C0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Peterson, William </w:t>
            </w:r>
          </w:p>
        </w:tc>
        <w:tc>
          <w:tcPr>
            <w:tcW w:w="1125" w:type="dxa"/>
            <w:noWrap/>
            <w:hideMark/>
          </w:tcPr>
          <w:p w14:paraId="214B25F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Nathaniel Butter</w:t>
            </w:r>
          </w:p>
        </w:tc>
        <w:tc>
          <w:tcPr>
            <w:tcW w:w="918" w:type="dxa"/>
            <w:noWrap/>
            <w:hideMark/>
          </w:tcPr>
          <w:p w14:paraId="5AFD7A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495A42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6BB0D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101E0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01762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w:t>
            </w:r>
          </w:p>
        </w:tc>
        <w:tc>
          <w:tcPr>
            <w:tcW w:w="1118" w:type="dxa"/>
            <w:noWrap/>
            <w:hideMark/>
          </w:tcPr>
          <w:p w14:paraId="4C1AE5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EE11F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D76F1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370C127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652C42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DEE03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F0CE4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51D435A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A006CD0"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lastRenderedPageBreak/>
              <w:t>Petley</w:t>
            </w:r>
            <w:proofErr w:type="spellEnd"/>
            <w:r w:rsidRPr="003037D2">
              <w:rPr>
                <w:rFonts w:ascii="Garamond" w:hAnsi="Garamond"/>
                <w:b w:val="0"/>
                <w:bCs w:val="0"/>
                <w:sz w:val="20"/>
                <w:szCs w:val="20"/>
              </w:rPr>
              <w:t xml:space="preserve">, Elias </w:t>
            </w:r>
          </w:p>
        </w:tc>
        <w:tc>
          <w:tcPr>
            <w:tcW w:w="1125" w:type="dxa"/>
            <w:noWrap/>
            <w:hideMark/>
          </w:tcPr>
          <w:p w14:paraId="2D5B542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Edward </w:t>
            </w:r>
            <w:proofErr w:type="spellStart"/>
            <w:r w:rsidRPr="003037D2">
              <w:rPr>
                <w:rFonts w:ascii="Garamond" w:hAnsi="Garamond"/>
                <w:sz w:val="20"/>
                <w:szCs w:val="20"/>
              </w:rPr>
              <w:t>Blackemore</w:t>
            </w:r>
            <w:proofErr w:type="spellEnd"/>
            <w:r w:rsidRPr="003037D2">
              <w:rPr>
                <w:rFonts w:ascii="Garamond" w:hAnsi="Garamond"/>
                <w:sz w:val="20"/>
                <w:szCs w:val="20"/>
              </w:rPr>
              <w:t xml:space="preserve"> </w:t>
            </w:r>
          </w:p>
        </w:tc>
        <w:tc>
          <w:tcPr>
            <w:tcW w:w="918" w:type="dxa"/>
            <w:noWrap/>
            <w:hideMark/>
          </w:tcPr>
          <w:p w14:paraId="23B77D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51605A6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8794D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09777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2DBE7C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7FA9A1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9B09C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77187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2911" w:type="dxa"/>
            <w:gridSpan w:val="3"/>
            <w:noWrap/>
            <w:hideMark/>
          </w:tcPr>
          <w:p w14:paraId="5978D2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roofErr w:type="gramStart"/>
            <w:r w:rsidRPr="003037D2">
              <w:rPr>
                <w:rFonts w:ascii="Garamond" w:hAnsi="Garamond"/>
                <w:sz w:val="20"/>
                <w:szCs w:val="20"/>
              </w:rPr>
              <w:t>calendar  -</w:t>
            </w:r>
            <w:proofErr w:type="gramEnd"/>
            <w:r w:rsidRPr="003037D2">
              <w:rPr>
                <w:rFonts w:ascii="Garamond" w:hAnsi="Garamond"/>
                <w:sz w:val="20"/>
                <w:szCs w:val="20"/>
              </w:rPr>
              <w:t xml:space="preserve"> Michaelmas </w:t>
            </w:r>
          </w:p>
        </w:tc>
        <w:tc>
          <w:tcPr>
            <w:tcW w:w="963" w:type="dxa"/>
            <w:noWrap/>
            <w:hideMark/>
          </w:tcPr>
          <w:p w14:paraId="0B1F7B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2CF8F65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51B288D"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Phillips, Jerome </w:t>
            </w:r>
          </w:p>
        </w:tc>
        <w:tc>
          <w:tcPr>
            <w:tcW w:w="1125" w:type="dxa"/>
            <w:noWrap/>
            <w:hideMark/>
          </w:tcPr>
          <w:p w14:paraId="0DEF7D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w:t>
            </w:r>
            <w:proofErr w:type="spellStart"/>
            <w:r w:rsidRPr="003037D2">
              <w:rPr>
                <w:rFonts w:ascii="Garamond" w:hAnsi="Garamond"/>
                <w:sz w:val="20"/>
                <w:szCs w:val="20"/>
              </w:rPr>
              <w:t>Pavier</w:t>
            </w:r>
            <w:proofErr w:type="spellEnd"/>
            <w:r w:rsidRPr="003037D2">
              <w:rPr>
                <w:rFonts w:ascii="Garamond" w:hAnsi="Garamond"/>
                <w:sz w:val="20"/>
                <w:szCs w:val="20"/>
              </w:rPr>
              <w:t xml:space="preserve"> </w:t>
            </w:r>
          </w:p>
        </w:tc>
        <w:tc>
          <w:tcPr>
            <w:tcW w:w="918" w:type="dxa"/>
            <w:noWrap/>
            <w:hideMark/>
          </w:tcPr>
          <w:p w14:paraId="37B7B7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1E0DE6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6450C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1FE03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8DB7C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574289E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EB1C8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5545F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40E96D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562B64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9B4EA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C8387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67C2A67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60EBF5E"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Piers, William </w:t>
            </w:r>
          </w:p>
        </w:tc>
        <w:tc>
          <w:tcPr>
            <w:tcW w:w="1125" w:type="dxa"/>
            <w:noWrap/>
            <w:hideMark/>
          </w:tcPr>
          <w:p w14:paraId="5ED064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H.S. </w:t>
            </w:r>
          </w:p>
        </w:tc>
        <w:tc>
          <w:tcPr>
            <w:tcW w:w="918" w:type="dxa"/>
            <w:noWrap/>
            <w:hideMark/>
          </w:tcPr>
          <w:p w14:paraId="7BB007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2B10B2D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AA922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05918DF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C0000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The Tower </w:t>
            </w:r>
          </w:p>
        </w:tc>
        <w:tc>
          <w:tcPr>
            <w:tcW w:w="1118" w:type="dxa"/>
            <w:noWrap/>
            <w:hideMark/>
          </w:tcPr>
          <w:p w14:paraId="671617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586CC1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F5060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980C5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1C3630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5DE2E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7A9CA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00AA4EA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17A044B"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Pigot</w:t>
            </w:r>
            <w:proofErr w:type="spellEnd"/>
            <w:r w:rsidRPr="003037D2">
              <w:rPr>
                <w:rFonts w:ascii="Garamond" w:hAnsi="Garamond"/>
                <w:b w:val="0"/>
                <w:bCs w:val="0"/>
                <w:sz w:val="20"/>
                <w:szCs w:val="20"/>
              </w:rPr>
              <w:t xml:space="preserve">, John </w:t>
            </w:r>
          </w:p>
        </w:tc>
        <w:tc>
          <w:tcPr>
            <w:tcW w:w="1125" w:type="dxa"/>
            <w:noWrap/>
            <w:hideMark/>
          </w:tcPr>
          <w:p w14:paraId="310386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John Wright</w:t>
            </w:r>
          </w:p>
        </w:tc>
        <w:tc>
          <w:tcPr>
            <w:tcW w:w="918" w:type="dxa"/>
            <w:noWrap/>
            <w:hideMark/>
          </w:tcPr>
          <w:p w14:paraId="6F5AA3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034ED5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25897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BC278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EA3BE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3AD00F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AE56F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EFC00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14BA3D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7DF1D2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Event - fast</w:t>
            </w:r>
          </w:p>
        </w:tc>
        <w:tc>
          <w:tcPr>
            <w:tcW w:w="1093" w:type="dxa"/>
            <w:noWrap/>
            <w:hideMark/>
          </w:tcPr>
          <w:p w14:paraId="556E426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1F720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D35FE7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096F6B8"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Playfere</w:t>
            </w:r>
            <w:proofErr w:type="spellEnd"/>
            <w:r w:rsidRPr="003037D2">
              <w:rPr>
                <w:rFonts w:ascii="Garamond" w:hAnsi="Garamond"/>
                <w:b w:val="0"/>
                <w:bCs w:val="0"/>
                <w:sz w:val="20"/>
                <w:szCs w:val="20"/>
              </w:rPr>
              <w:t xml:space="preserve">, Thomas </w:t>
            </w:r>
          </w:p>
        </w:tc>
        <w:tc>
          <w:tcPr>
            <w:tcW w:w="1125" w:type="dxa"/>
            <w:noWrap/>
            <w:hideMark/>
          </w:tcPr>
          <w:p w14:paraId="5A83A9D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James </w:t>
            </w:r>
            <w:proofErr w:type="spellStart"/>
            <w:r w:rsidRPr="003037D2">
              <w:rPr>
                <w:rFonts w:ascii="Garamond" w:hAnsi="Garamond"/>
                <w:sz w:val="20"/>
                <w:szCs w:val="20"/>
              </w:rPr>
              <w:t>Boler</w:t>
            </w:r>
            <w:proofErr w:type="spellEnd"/>
            <w:r w:rsidRPr="003037D2">
              <w:rPr>
                <w:rFonts w:ascii="Garamond" w:hAnsi="Garamond"/>
                <w:sz w:val="20"/>
                <w:szCs w:val="20"/>
              </w:rPr>
              <w:t xml:space="preserve"> </w:t>
            </w:r>
          </w:p>
        </w:tc>
        <w:tc>
          <w:tcPr>
            <w:tcW w:w="918" w:type="dxa"/>
            <w:noWrap/>
            <w:hideMark/>
          </w:tcPr>
          <w:p w14:paraId="08182C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1633</w:t>
            </w:r>
          </w:p>
        </w:tc>
        <w:tc>
          <w:tcPr>
            <w:tcW w:w="931" w:type="dxa"/>
            <w:noWrap/>
            <w:hideMark/>
          </w:tcPr>
          <w:p w14:paraId="226B8A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2ABA9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E8176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27A31C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378514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776FD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AE22A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18A40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Year </w:t>
            </w:r>
          </w:p>
        </w:tc>
        <w:tc>
          <w:tcPr>
            <w:tcW w:w="2058" w:type="dxa"/>
            <w:gridSpan w:val="2"/>
            <w:noWrap/>
            <w:hideMark/>
          </w:tcPr>
          <w:p w14:paraId="3FDA2D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Easter Week </w:t>
            </w:r>
          </w:p>
        </w:tc>
        <w:tc>
          <w:tcPr>
            <w:tcW w:w="963" w:type="dxa"/>
            <w:noWrap/>
            <w:hideMark/>
          </w:tcPr>
          <w:p w14:paraId="2FFDF89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1DC6F00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B70C824"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Plummer, Timothy  </w:t>
            </w:r>
          </w:p>
        </w:tc>
        <w:tc>
          <w:tcPr>
            <w:tcW w:w="1125" w:type="dxa"/>
            <w:noWrap/>
            <w:hideMark/>
          </w:tcPr>
          <w:p w14:paraId="10BAF8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Samuel Man </w:t>
            </w:r>
          </w:p>
        </w:tc>
        <w:tc>
          <w:tcPr>
            <w:tcW w:w="918" w:type="dxa"/>
            <w:noWrap/>
            <w:hideMark/>
          </w:tcPr>
          <w:p w14:paraId="6FEB78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3767A0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D7786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D8029F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8D774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4C89FA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45A98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29CF89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5AFA0FA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463830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4AE2D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90B339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662A4A8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3F279D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Pocklington, John </w:t>
            </w:r>
          </w:p>
        </w:tc>
        <w:tc>
          <w:tcPr>
            <w:tcW w:w="1125" w:type="dxa"/>
            <w:noWrap/>
            <w:hideMark/>
          </w:tcPr>
          <w:p w14:paraId="3839AD7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Young </w:t>
            </w:r>
          </w:p>
        </w:tc>
        <w:tc>
          <w:tcPr>
            <w:tcW w:w="918" w:type="dxa"/>
            <w:noWrap/>
            <w:hideMark/>
          </w:tcPr>
          <w:p w14:paraId="17BF64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1636</w:t>
            </w:r>
          </w:p>
        </w:tc>
        <w:tc>
          <w:tcPr>
            <w:tcW w:w="931" w:type="dxa"/>
            <w:noWrap/>
            <w:hideMark/>
          </w:tcPr>
          <w:p w14:paraId="2477A3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CD3FAC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B47FE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3F6AC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09456F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7E618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14892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822170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0ED932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visitation </w:t>
            </w:r>
          </w:p>
        </w:tc>
        <w:tc>
          <w:tcPr>
            <w:tcW w:w="963" w:type="dxa"/>
            <w:noWrap/>
            <w:hideMark/>
          </w:tcPr>
          <w:p w14:paraId="3D68524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25EB37F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F7944B3"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Potter, Christopher </w:t>
            </w:r>
          </w:p>
        </w:tc>
        <w:tc>
          <w:tcPr>
            <w:tcW w:w="1125" w:type="dxa"/>
            <w:noWrap/>
            <w:hideMark/>
          </w:tcPr>
          <w:p w14:paraId="6A4D81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Clarke </w:t>
            </w:r>
          </w:p>
        </w:tc>
        <w:tc>
          <w:tcPr>
            <w:tcW w:w="918" w:type="dxa"/>
            <w:noWrap/>
            <w:hideMark/>
          </w:tcPr>
          <w:p w14:paraId="3A669E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1629</w:t>
            </w:r>
          </w:p>
        </w:tc>
        <w:tc>
          <w:tcPr>
            <w:tcW w:w="931" w:type="dxa"/>
            <w:noWrap/>
            <w:hideMark/>
          </w:tcPr>
          <w:p w14:paraId="0DD49B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06B37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C45FC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43FCD5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2099" w:type="dxa"/>
            <w:gridSpan w:val="2"/>
            <w:noWrap/>
            <w:hideMark/>
          </w:tcPr>
          <w:p w14:paraId="5584E0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Ely house - London residence of Bishop of Ely </w:t>
            </w:r>
          </w:p>
        </w:tc>
        <w:tc>
          <w:tcPr>
            <w:tcW w:w="681" w:type="dxa"/>
            <w:noWrap/>
            <w:hideMark/>
          </w:tcPr>
          <w:p w14:paraId="65B11D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6BEAE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6C394A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consecration </w:t>
            </w:r>
          </w:p>
        </w:tc>
        <w:tc>
          <w:tcPr>
            <w:tcW w:w="963" w:type="dxa"/>
            <w:noWrap/>
            <w:hideMark/>
          </w:tcPr>
          <w:p w14:paraId="6CFC4B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020374F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BCECD2E"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Preston, John </w:t>
            </w:r>
          </w:p>
        </w:tc>
        <w:tc>
          <w:tcPr>
            <w:tcW w:w="1125" w:type="dxa"/>
            <w:noWrap/>
            <w:hideMark/>
          </w:tcPr>
          <w:p w14:paraId="57A23E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Stafford </w:t>
            </w:r>
          </w:p>
        </w:tc>
        <w:tc>
          <w:tcPr>
            <w:tcW w:w="918" w:type="dxa"/>
            <w:noWrap/>
            <w:hideMark/>
          </w:tcPr>
          <w:p w14:paraId="063F82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1640</w:t>
            </w:r>
          </w:p>
        </w:tc>
        <w:tc>
          <w:tcPr>
            <w:tcW w:w="931" w:type="dxa"/>
            <w:noWrap/>
            <w:hideMark/>
          </w:tcPr>
          <w:p w14:paraId="4D6FE7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915FB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B69F26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A84B7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w:t>
            </w:r>
          </w:p>
        </w:tc>
        <w:tc>
          <w:tcPr>
            <w:tcW w:w="1118" w:type="dxa"/>
            <w:noWrap/>
            <w:hideMark/>
          </w:tcPr>
          <w:p w14:paraId="006E531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375B6F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5F95B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7A3FE74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0098CA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09CF7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0D763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09D3761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9AB1636"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Preston, John </w:t>
            </w:r>
          </w:p>
        </w:tc>
        <w:tc>
          <w:tcPr>
            <w:tcW w:w="1125" w:type="dxa"/>
            <w:noWrap/>
            <w:hideMark/>
          </w:tcPr>
          <w:p w14:paraId="137FFC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Stafford </w:t>
            </w:r>
          </w:p>
        </w:tc>
        <w:tc>
          <w:tcPr>
            <w:tcW w:w="918" w:type="dxa"/>
            <w:noWrap/>
            <w:hideMark/>
          </w:tcPr>
          <w:p w14:paraId="2FF69E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1639</w:t>
            </w:r>
          </w:p>
        </w:tc>
        <w:tc>
          <w:tcPr>
            <w:tcW w:w="931" w:type="dxa"/>
            <w:noWrap/>
            <w:hideMark/>
          </w:tcPr>
          <w:p w14:paraId="2325AB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737E28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5FAA8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C0D74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w:t>
            </w:r>
          </w:p>
        </w:tc>
        <w:tc>
          <w:tcPr>
            <w:tcW w:w="1118" w:type="dxa"/>
            <w:noWrap/>
            <w:hideMark/>
          </w:tcPr>
          <w:p w14:paraId="5B410F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9FD4E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5A79E9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7A7CC3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1F6D967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A32B3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616F5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29446C4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065985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Preston, John </w:t>
            </w:r>
          </w:p>
        </w:tc>
        <w:tc>
          <w:tcPr>
            <w:tcW w:w="1125" w:type="dxa"/>
            <w:noWrap/>
            <w:hideMark/>
          </w:tcPr>
          <w:p w14:paraId="2490EDA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Andrew Crooke</w:t>
            </w:r>
          </w:p>
        </w:tc>
        <w:tc>
          <w:tcPr>
            <w:tcW w:w="918" w:type="dxa"/>
            <w:noWrap/>
            <w:hideMark/>
          </w:tcPr>
          <w:p w14:paraId="66F93F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02F323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035" w:type="dxa"/>
            <w:noWrap/>
            <w:hideMark/>
          </w:tcPr>
          <w:p w14:paraId="44B0E4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12AE2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53E71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Lincoln's Inn </w:t>
            </w:r>
          </w:p>
        </w:tc>
        <w:tc>
          <w:tcPr>
            <w:tcW w:w="1118" w:type="dxa"/>
            <w:noWrap/>
            <w:hideMark/>
          </w:tcPr>
          <w:p w14:paraId="779160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F30C1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C8CAB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2BA746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4B49F4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F2366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C1FC1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750579F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0FA4E43"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Preston, John </w:t>
            </w:r>
          </w:p>
        </w:tc>
        <w:tc>
          <w:tcPr>
            <w:tcW w:w="1125" w:type="dxa"/>
            <w:noWrap/>
            <w:hideMark/>
          </w:tcPr>
          <w:p w14:paraId="5D9926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Andrew Crooke</w:t>
            </w:r>
          </w:p>
        </w:tc>
        <w:tc>
          <w:tcPr>
            <w:tcW w:w="918" w:type="dxa"/>
            <w:noWrap/>
            <w:hideMark/>
          </w:tcPr>
          <w:p w14:paraId="577429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1635</w:t>
            </w:r>
          </w:p>
        </w:tc>
        <w:tc>
          <w:tcPr>
            <w:tcW w:w="931" w:type="dxa"/>
            <w:noWrap/>
            <w:hideMark/>
          </w:tcPr>
          <w:p w14:paraId="1E7279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035" w:type="dxa"/>
            <w:noWrap/>
            <w:hideMark/>
          </w:tcPr>
          <w:p w14:paraId="28A07A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F7C43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D252B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Lincoln's Inn </w:t>
            </w:r>
          </w:p>
        </w:tc>
        <w:tc>
          <w:tcPr>
            <w:tcW w:w="1118" w:type="dxa"/>
            <w:noWrap/>
            <w:hideMark/>
          </w:tcPr>
          <w:p w14:paraId="260B6E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FA9DF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2DD93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1970FA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1E461E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2FE52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1A228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086B001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E2458E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Preston, John </w:t>
            </w:r>
          </w:p>
        </w:tc>
        <w:tc>
          <w:tcPr>
            <w:tcW w:w="1125" w:type="dxa"/>
            <w:noWrap/>
            <w:hideMark/>
          </w:tcPr>
          <w:p w14:paraId="0372CE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Andrew Crooke</w:t>
            </w:r>
          </w:p>
        </w:tc>
        <w:tc>
          <w:tcPr>
            <w:tcW w:w="918" w:type="dxa"/>
            <w:noWrap/>
            <w:hideMark/>
          </w:tcPr>
          <w:p w14:paraId="6674CD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1633</w:t>
            </w:r>
          </w:p>
        </w:tc>
        <w:tc>
          <w:tcPr>
            <w:tcW w:w="931" w:type="dxa"/>
            <w:noWrap/>
            <w:hideMark/>
          </w:tcPr>
          <w:p w14:paraId="29E9E8E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035" w:type="dxa"/>
            <w:noWrap/>
            <w:hideMark/>
          </w:tcPr>
          <w:p w14:paraId="0D9970B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286D5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9C057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Lincoln's Inn </w:t>
            </w:r>
          </w:p>
        </w:tc>
        <w:tc>
          <w:tcPr>
            <w:tcW w:w="1118" w:type="dxa"/>
            <w:noWrap/>
            <w:hideMark/>
          </w:tcPr>
          <w:p w14:paraId="02FA895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07307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7F944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70CA66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1FB8BA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CEA48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2E8CF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EC2EBE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BEF2443"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Preston, John </w:t>
            </w:r>
          </w:p>
        </w:tc>
        <w:tc>
          <w:tcPr>
            <w:tcW w:w="1125" w:type="dxa"/>
            <w:noWrap/>
            <w:hideMark/>
          </w:tcPr>
          <w:p w14:paraId="704ED0C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Michael Sparke </w:t>
            </w:r>
          </w:p>
        </w:tc>
        <w:tc>
          <w:tcPr>
            <w:tcW w:w="918" w:type="dxa"/>
            <w:noWrap/>
            <w:hideMark/>
          </w:tcPr>
          <w:p w14:paraId="1AABD26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1633</w:t>
            </w:r>
          </w:p>
        </w:tc>
        <w:tc>
          <w:tcPr>
            <w:tcW w:w="931" w:type="dxa"/>
            <w:noWrap/>
            <w:hideMark/>
          </w:tcPr>
          <w:p w14:paraId="4CB3CC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035" w:type="dxa"/>
            <w:noWrap/>
            <w:hideMark/>
          </w:tcPr>
          <w:p w14:paraId="28B939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4ECEA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FE006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Lincoln's Inn </w:t>
            </w:r>
          </w:p>
        </w:tc>
        <w:tc>
          <w:tcPr>
            <w:tcW w:w="1118" w:type="dxa"/>
            <w:noWrap/>
            <w:hideMark/>
          </w:tcPr>
          <w:p w14:paraId="0071D3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9CB6D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C3C5F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332B26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196F6A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2664C8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991F0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4E4AA3A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6E01118"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Preston, John </w:t>
            </w:r>
          </w:p>
        </w:tc>
        <w:tc>
          <w:tcPr>
            <w:tcW w:w="1125" w:type="dxa"/>
            <w:noWrap/>
            <w:hideMark/>
          </w:tcPr>
          <w:p w14:paraId="6CFCB7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Nicholas Bourne </w:t>
            </w:r>
          </w:p>
        </w:tc>
        <w:tc>
          <w:tcPr>
            <w:tcW w:w="918" w:type="dxa"/>
            <w:noWrap/>
            <w:hideMark/>
          </w:tcPr>
          <w:p w14:paraId="361139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1637</w:t>
            </w:r>
          </w:p>
        </w:tc>
        <w:tc>
          <w:tcPr>
            <w:tcW w:w="931" w:type="dxa"/>
            <w:noWrap/>
            <w:hideMark/>
          </w:tcPr>
          <w:p w14:paraId="4DDC86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035" w:type="dxa"/>
            <w:noWrap/>
            <w:hideMark/>
          </w:tcPr>
          <w:p w14:paraId="2023418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39635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487D9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House of Commons </w:t>
            </w:r>
          </w:p>
        </w:tc>
        <w:tc>
          <w:tcPr>
            <w:tcW w:w="1118" w:type="dxa"/>
            <w:noWrap/>
            <w:hideMark/>
          </w:tcPr>
          <w:p w14:paraId="5AC095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935C8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F60136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73D605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748F96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Plague </w:t>
            </w:r>
          </w:p>
        </w:tc>
        <w:tc>
          <w:tcPr>
            <w:tcW w:w="1093" w:type="dxa"/>
            <w:noWrap/>
            <w:hideMark/>
          </w:tcPr>
          <w:p w14:paraId="43834E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fast </w:t>
            </w:r>
          </w:p>
        </w:tc>
        <w:tc>
          <w:tcPr>
            <w:tcW w:w="963" w:type="dxa"/>
            <w:noWrap/>
            <w:hideMark/>
          </w:tcPr>
          <w:p w14:paraId="1F59ACE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323178B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0755566"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Preston, John </w:t>
            </w:r>
          </w:p>
        </w:tc>
        <w:tc>
          <w:tcPr>
            <w:tcW w:w="1125" w:type="dxa"/>
            <w:noWrap/>
            <w:hideMark/>
          </w:tcPr>
          <w:p w14:paraId="5059FD1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Michael Sparke </w:t>
            </w:r>
          </w:p>
        </w:tc>
        <w:tc>
          <w:tcPr>
            <w:tcW w:w="918" w:type="dxa"/>
            <w:noWrap/>
            <w:hideMark/>
          </w:tcPr>
          <w:p w14:paraId="274EA5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1630</w:t>
            </w:r>
          </w:p>
        </w:tc>
        <w:tc>
          <w:tcPr>
            <w:tcW w:w="931" w:type="dxa"/>
            <w:noWrap/>
            <w:hideMark/>
          </w:tcPr>
          <w:p w14:paraId="0F3508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098B4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D56111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9D9F3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 Whitehall </w:t>
            </w:r>
          </w:p>
        </w:tc>
        <w:tc>
          <w:tcPr>
            <w:tcW w:w="1118" w:type="dxa"/>
            <w:noWrap/>
            <w:hideMark/>
          </w:tcPr>
          <w:p w14:paraId="696037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B313E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B29DCE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00C13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5A5B05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0EAED1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F95D5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38EA734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EF0449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Price, Daniel </w:t>
            </w:r>
          </w:p>
        </w:tc>
        <w:tc>
          <w:tcPr>
            <w:tcW w:w="1125" w:type="dxa"/>
            <w:noWrap/>
            <w:hideMark/>
          </w:tcPr>
          <w:p w14:paraId="52834A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Grismand</w:t>
            </w:r>
            <w:proofErr w:type="spellEnd"/>
          </w:p>
        </w:tc>
        <w:tc>
          <w:tcPr>
            <w:tcW w:w="918" w:type="dxa"/>
            <w:noWrap/>
            <w:hideMark/>
          </w:tcPr>
          <w:p w14:paraId="11DADD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1474C3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5E6E7C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FA9B2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C4121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2099" w:type="dxa"/>
            <w:gridSpan w:val="2"/>
            <w:noWrap/>
            <w:hideMark/>
          </w:tcPr>
          <w:p w14:paraId="29A7A1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Before the king and privy council </w:t>
            </w:r>
          </w:p>
        </w:tc>
        <w:tc>
          <w:tcPr>
            <w:tcW w:w="681" w:type="dxa"/>
            <w:noWrap/>
            <w:hideMark/>
          </w:tcPr>
          <w:p w14:paraId="1EFBCC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CEE93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2790DF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‘an hour before the death of our late </w:t>
            </w:r>
            <w:proofErr w:type="spellStart"/>
            <w:r w:rsidRPr="003037D2">
              <w:rPr>
                <w:rFonts w:ascii="Garamond" w:hAnsi="Garamond"/>
                <w:sz w:val="20"/>
                <w:szCs w:val="20"/>
              </w:rPr>
              <w:t>soveraigne</w:t>
            </w:r>
            <w:proofErr w:type="spellEnd"/>
            <w:r w:rsidRPr="003037D2">
              <w:rPr>
                <w:rFonts w:ascii="Garamond" w:hAnsi="Garamond"/>
                <w:sz w:val="20"/>
                <w:szCs w:val="20"/>
              </w:rPr>
              <w:t xml:space="preserve">’ </w:t>
            </w:r>
          </w:p>
        </w:tc>
        <w:tc>
          <w:tcPr>
            <w:tcW w:w="963" w:type="dxa"/>
            <w:noWrap/>
            <w:hideMark/>
          </w:tcPr>
          <w:p w14:paraId="7BE91C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4987466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554C2DC"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Price, Sampson</w:t>
            </w:r>
          </w:p>
        </w:tc>
        <w:tc>
          <w:tcPr>
            <w:tcW w:w="1125" w:type="dxa"/>
            <w:noWrap/>
            <w:hideMark/>
          </w:tcPr>
          <w:p w14:paraId="6FC42C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Harper </w:t>
            </w:r>
          </w:p>
        </w:tc>
        <w:tc>
          <w:tcPr>
            <w:tcW w:w="918" w:type="dxa"/>
            <w:noWrap/>
            <w:hideMark/>
          </w:tcPr>
          <w:p w14:paraId="53EC9F7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37AD83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6A049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E3936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3FCA0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5DAFB5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8C927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7F860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E9BB5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269161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Plague </w:t>
            </w:r>
          </w:p>
        </w:tc>
        <w:tc>
          <w:tcPr>
            <w:tcW w:w="1093" w:type="dxa"/>
            <w:noWrap/>
            <w:hideMark/>
          </w:tcPr>
          <w:p w14:paraId="324526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thanksgiving </w:t>
            </w:r>
          </w:p>
        </w:tc>
        <w:tc>
          <w:tcPr>
            <w:tcW w:w="963" w:type="dxa"/>
            <w:noWrap/>
            <w:hideMark/>
          </w:tcPr>
          <w:p w14:paraId="21EAD8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7E1C663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5A4CA4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Price, Sampson</w:t>
            </w:r>
          </w:p>
        </w:tc>
        <w:tc>
          <w:tcPr>
            <w:tcW w:w="1125" w:type="dxa"/>
            <w:noWrap/>
            <w:hideMark/>
          </w:tcPr>
          <w:p w14:paraId="7DF14F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Hodgets</w:t>
            </w:r>
            <w:proofErr w:type="spellEnd"/>
          </w:p>
        </w:tc>
        <w:tc>
          <w:tcPr>
            <w:tcW w:w="918" w:type="dxa"/>
            <w:noWrap/>
            <w:hideMark/>
          </w:tcPr>
          <w:p w14:paraId="2D8F39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6AADF3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E6209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0206E1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CFB85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w:t>
            </w:r>
          </w:p>
        </w:tc>
        <w:tc>
          <w:tcPr>
            <w:tcW w:w="1118" w:type="dxa"/>
            <w:noWrap/>
            <w:hideMark/>
          </w:tcPr>
          <w:p w14:paraId="382EFD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DC60F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24D191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2C913D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070A58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2F2E2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AE714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633CE98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289B94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Price, William </w:t>
            </w:r>
          </w:p>
        </w:tc>
        <w:tc>
          <w:tcPr>
            <w:tcW w:w="1125" w:type="dxa"/>
            <w:noWrap/>
            <w:hideMark/>
          </w:tcPr>
          <w:p w14:paraId="1894968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Nicholas Bourne </w:t>
            </w:r>
          </w:p>
        </w:tc>
        <w:tc>
          <w:tcPr>
            <w:tcW w:w="918" w:type="dxa"/>
            <w:noWrap/>
            <w:hideMark/>
          </w:tcPr>
          <w:p w14:paraId="175EAC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261CE6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DCA47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4342B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307E3F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Spittle </w:t>
            </w:r>
          </w:p>
        </w:tc>
        <w:tc>
          <w:tcPr>
            <w:tcW w:w="1118" w:type="dxa"/>
            <w:noWrap/>
            <w:hideMark/>
          </w:tcPr>
          <w:p w14:paraId="7660D05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B26664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B2EEAF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1F7F3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4035CD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Easter Week </w:t>
            </w:r>
          </w:p>
        </w:tc>
        <w:tc>
          <w:tcPr>
            <w:tcW w:w="963" w:type="dxa"/>
            <w:noWrap/>
            <w:hideMark/>
          </w:tcPr>
          <w:p w14:paraId="6B2771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0F3A91A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2D77A58"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Prideaux</w:t>
            </w:r>
            <w:proofErr w:type="spellEnd"/>
            <w:r w:rsidRPr="003037D2">
              <w:rPr>
                <w:rFonts w:ascii="Garamond" w:hAnsi="Garamond"/>
                <w:b w:val="0"/>
                <w:bCs w:val="0"/>
                <w:sz w:val="20"/>
                <w:szCs w:val="20"/>
              </w:rPr>
              <w:t xml:space="preserve">. John </w:t>
            </w:r>
          </w:p>
        </w:tc>
        <w:tc>
          <w:tcPr>
            <w:tcW w:w="1125" w:type="dxa"/>
            <w:noWrap/>
            <w:hideMark/>
          </w:tcPr>
          <w:p w14:paraId="0F7D52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Leonard Lichfield </w:t>
            </w:r>
          </w:p>
        </w:tc>
        <w:tc>
          <w:tcPr>
            <w:tcW w:w="918" w:type="dxa"/>
            <w:noWrap/>
            <w:hideMark/>
          </w:tcPr>
          <w:p w14:paraId="55D096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3E18C1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035" w:type="dxa"/>
            <w:noWrap/>
            <w:hideMark/>
          </w:tcPr>
          <w:p w14:paraId="56B395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Oxford </w:t>
            </w:r>
          </w:p>
        </w:tc>
        <w:tc>
          <w:tcPr>
            <w:tcW w:w="838" w:type="dxa"/>
            <w:noWrap/>
            <w:hideMark/>
          </w:tcPr>
          <w:p w14:paraId="427362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F994C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Chapel </w:t>
            </w:r>
          </w:p>
        </w:tc>
        <w:tc>
          <w:tcPr>
            <w:tcW w:w="1118" w:type="dxa"/>
            <w:noWrap/>
            <w:hideMark/>
          </w:tcPr>
          <w:p w14:paraId="17125C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University </w:t>
            </w:r>
          </w:p>
        </w:tc>
        <w:tc>
          <w:tcPr>
            <w:tcW w:w="981" w:type="dxa"/>
            <w:noWrap/>
            <w:hideMark/>
          </w:tcPr>
          <w:p w14:paraId="3666270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7F2F4E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EA9395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0D08F9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consecration </w:t>
            </w:r>
          </w:p>
        </w:tc>
        <w:tc>
          <w:tcPr>
            <w:tcW w:w="963" w:type="dxa"/>
            <w:noWrap/>
            <w:hideMark/>
          </w:tcPr>
          <w:p w14:paraId="2C6A909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6905784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4F1A8FA"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Prideaux</w:t>
            </w:r>
            <w:proofErr w:type="spellEnd"/>
            <w:r w:rsidRPr="003037D2">
              <w:rPr>
                <w:rFonts w:ascii="Garamond" w:hAnsi="Garamond"/>
                <w:b w:val="0"/>
                <w:bCs w:val="0"/>
                <w:sz w:val="20"/>
                <w:szCs w:val="20"/>
              </w:rPr>
              <w:t xml:space="preserve">. John </w:t>
            </w:r>
          </w:p>
        </w:tc>
        <w:tc>
          <w:tcPr>
            <w:tcW w:w="1125" w:type="dxa"/>
            <w:noWrap/>
            <w:hideMark/>
          </w:tcPr>
          <w:p w14:paraId="55EC50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Lichfield </w:t>
            </w:r>
          </w:p>
        </w:tc>
        <w:tc>
          <w:tcPr>
            <w:tcW w:w="918" w:type="dxa"/>
            <w:noWrap/>
            <w:hideMark/>
          </w:tcPr>
          <w:p w14:paraId="65D30B6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6C6A04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3A4338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Oxford </w:t>
            </w:r>
          </w:p>
        </w:tc>
        <w:tc>
          <w:tcPr>
            <w:tcW w:w="838" w:type="dxa"/>
            <w:noWrap/>
            <w:hideMark/>
          </w:tcPr>
          <w:p w14:paraId="3FD74D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41D002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 </w:t>
            </w:r>
            <w:proofErr w:type="spellStart"/>
            <w:r w:rsidRPr="003037D2">
              <w:rPr>
                <w:rFonts w:ascii="Garamond" w:hAnsi="Garamond"/>
                <w:sz w:val="20"/>
                <w:szCs w:val="20"/>
              </w:rPr>
              <w:t>Woodstocke</w:t>
            </w:r>
            <w:proofErr w:type="spellEnd"/>
          </w:p>
        </w:tc>
        <w:tc>
          <w:tcPr>
            <w:tcW w:w="1118" w:type="dxa"/>
            <w:noWrap/>
            <w:hideMark/>
          </w:tcPr>
          <w:p w14:paraId="640519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2AFF0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29752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24591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61E53B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22D49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E68E4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445A78E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1E4C411"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lastRenderedPageBreak/>
              <w:t>Prideaux</w:t>
            </w:r>
            <w:proofErr w:type="spellEnd"/>
            <w:r w:rsidRPr="003037D2">
              <w:rPr>
                <w:rFonts w:ascii="Garamond" w:hAnsi="Garamond"/>
                <w:b w:val="0"/>
                <w:bCs w:val="0"/>
                <w:sz w:val="20"/>
                <w:szCs w:val="20"/>
              </w:rPr>
              <w:t xml:space="preserve">. John </w:t>
            </w:r>
          </w:p>
        </w:tc>
        <w:tc>
          <w:tcPr>
            <w:tcW w:w="1125" w:type="dxa"/>
            <w:noWrap/>
            <w:hideMark/>
          </w:tcPr>
          <w:p w14:paraId="10428C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Lichfield </w:t>
            </w:r>
          </w:p>
        </w:tc>
        <w:tc>
          <w:tcPr>
            <w:tcW w:w="918" w:type="dxa"/>
            <w:noWrap/>
            <w:hideMark/>
          </w:tcPr>
          <w:p w14:paraId="641314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4B078F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C24A8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Oxford </w:t>
            </w:r>
          </w:p>
        </w:tc>
        <w:tc>
          <w:tcPr>
            <w:tcW w:w="838" w:type="dxa"/>
            <w:noWrap/>
            <w:hideMark/>
          </w:tcPr>
          <w:p w14:paraId="257362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68A2C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University </w:t>
            </w:r>
          </w:p>
        </w:tc>
        <w:tc>
          <w:tcPr>
            <w:tcW w:w="1118" w:type="dxa"/>
            <w:noWrap/>
            <w:hideMark/>
          </w:tcPr>
          <w:p w14:paraId="0DE5366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D659C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E2F27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621C05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6804DA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consecration </w:t>
            </w:r>
          </w:p>
        </w:tc>
        <w:tc>
          <w:tcPr>
            <w:tcW w:w="963" w:type="dxa"/>
            <w:noWrap/>
            <w:hideMark/>
          </w:tcPr>
          <w:p w14:paraId="1D32E3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0D691B8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DDC332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Procter, William </w:t>
            </w:r>
          </w:p>
        </w:tc>
        <w:tc>
          <w:tcPr>
            <w:tcW w:w="1125" w:type="dxa"/>
            <w:noWrap/>
            <w:hideMark/>
          </w:tcPr>
          <w:p w14:paraId="63A3D3E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Augustine </w:t>
            </w:r>
            <w:proofErr w:type="spellStart"/>
            <w:r w:rsidRPr="003037D2">
              <w:rPr>
                <w:rFonts w:ascii="Garamond" w:hAnsi="Garamond"/>
                <w:sz w:val="20"/>
                <w:szCs w:val="20"/>
              </w:rPr>
              <w:t>Mathewes</w:t>
            </w:r>
            <w:proofErr w:type="spellEnd"/>
            <w:r w:rsidRPr="003037D2">
              <w:rPr>
                <w:rFonts w:ascii="Garamond" w:hAnsi="Garamond"/>
                <w:sz w:val="20"/>
                <w:szCs w:val="20"/>
              </w:rPr>
              <w:t xml:space="preserve"> </w:t>
            </w:r>
          </w:p>
        </w:tc>
        <w:tc>
          <w:tcPr>
            <w:tcW w:w="918" w:type="dxa"/>
            <w:noWrap/>
            <w:hideMark/>
          </w:tcPr>
          <w:p w14:paraId="1F0468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0719C5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2B87B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A7097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C5F6B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03AACF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AEF28E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401BB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6178839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675C80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2BFA5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D450F4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294C59E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451A4A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Purchas, Ambrose </w:t>
            </w:r>
          </w:p>
        </w:tc>
        <w:tc>
          <w:tcPr>
            <w:tcW w:w="1125" w:type="dxa"/>
            <w:noWrap/>
            <w:hideMark/>
          </w:tcPr>
          <w:p w14:paraId="1B2613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w:t>
            </w:r>
            <w:proofErr w:type="spellStart"/>
            <w:r w:rsidRPr="003037D2">
              <w:rPr>
                <w:rFonts w:ascii="Garamond" w:hAnsi="Garamond"/>
                <w:sz w:val="20"/>
                <w:szCs w:val="20"/>
              </w:rPr>
              <w:t>Raworth</w:t>
            </w:r>
            <w:proofErr w:type="spellEnd"/>
            <w:r w:rsidRPr="003037D2">
              <w:rPr>
                <w:rFonts w:ascii="Garamond" w:hAnsi="Garamond"/>
                <w:sz w:val="20"/>
                <w:szCs w:val="20"/>
              </w:rPr>
              <w:t xml:space="preserve"> </w:t>
            </w:r>
          </w:p>
        </w:tc>
        <w:tc>
          <w:tcPr>
            <w:tcW w:w="918" w:type="dxa"/>
            <w:noWrap/>
            <w:hideMark/>
          </w:tcPr>
          <w:p w14:paraId="1ED7379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1635</w:t>
            </w:r>
          </w:p>
        </w:tc>
        <w:tc>
          <w:tcPr>
            <w:tcW w:w="931" w:type="dxa"/>
            <w:noWrap/>
            <w:hideMark/>
          </w:tcPr>
          <w:p w14:paraId="417CD3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CD93CC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4FD50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4FA67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7552419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FAAFB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D9149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19B466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38BB20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DE6B8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74410F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54F1EFB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121E24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Purchas, </w:t>
            </w:r>
            <w:proofErr w:type="spellStart"/>
            <w:r w:rsidRPr="003037D2">
              <w:rPr>
                <w:rFonts w:ascii="Garamond" w:hAnsi="Garamond"/>
                <w:b w:val="0"/>
                <w:bCs w:val="0"/>
                <w:sz w:val="20"/>
                <w:szCs w:val="20"/>
              </w:rPr>
              <w:t>Sameul</w:t>
            </w:r>
            <w:proofErr w:type="spellEnd"/>
            <w:r w:rsidRPr="003037D2">
              <w:rPr>
                <w:rFonts w:ascii="Garamond" w:hAnsi="Garamond"/>
                <w:b w:val="0"/>
                <w:bCs w:val="0"/>
                <w:sz w:val="20"/>
                <w:szCs w:val="20"/>
              </w:rPr>
              <w:t xml:space="preserve"> </w:t>
            </w:r>
          </w:p>
        </w:tc>
        <w:tc>
          <w:tcPr>
            <w:tcW w:w="1125" w:type="dxa"/>
            <w:noWrap/>
            <w:hideMark/>
          </w:tcPr>
          <w:p w14:paraId="3BF1FB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Henry </w:t>
            </w:r>
            <w:proofErr w:type="spellStart"/>
            <w:r w:rsidRPr="003037D2">
              <w:rPr>
                <w:rFonts w:ascii="Garamond" w:hAnsi="Garamond"/>
                <w:sz w:val="20"/>
                <w:szCs w:val="20"/>
              </w:rPr>
              <w:t>Fetherstone</w:t>
            </w:r>
            <w:proofErr w:type="spellEnd"/>
            <w:r w:rsidRPr="003037D2">
              <w:rPr>
                <w:rFonts w:ascii="Garamond" w:hAnsi="Garamond"/>
                <w:sz w:val="20"/>
                <w:szCs w:val="20"/>
              </w:rPr>
              <w:t xml:space="preserve"> </w:t>
            </w:r>
          </w:p>
        </w:tc>
        <w:tc>
          <w:tcPr>
            <w:tcW w:w="918" w:type="dxa"/>
            <w:noWrap/>
            <w:hideMark/>
          </w:tcPr>
          <w:p w14:paraId="4D3841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024495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C2663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7D24EF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A2C01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75516F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02D96F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00697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17E220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591877F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ABFB9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82F2D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29E213E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085A28E"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Rainbowe</w:t>
            </w:r>
            <w:proofErr w:type="spellEnd"/>
            <w:r w:rsidRPr="003037D2">
              <w:rPr>
                <w:rFonts w:ascii="Garamond" w:hAnsi="Garamond"/>
                <w:b w:val="0"/>
                <w:bCs w:val="0"/>
                <w:sz w:val="20"/>
                <w:szCs w:val="20"/>
              </w:rPr>
              <w:t xml:space="preserve">, Edward </w:t>
            </w:r>
          </w:p>
        </w:tc>
        <w:tc>
          <w:tcPr>
            <w:tcW w:w="1125" w:type="dxa"/>
            <w:noWrap/>
            <w:hideMark/>
          </w:tcPr>
          <w:p w14:paraId="01BA1D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Nicholas Vavasour </w:t>
            </w:r>
          </w:p>
        </w:tc>
        <w:tc>
          <w:tcPr>
            <w:tcW w:w="918" w:type="dxa"/>
            <w:noWrap/>
            <w:hideMark/>
          </w:tcPr>
          <w:p w14:paraId="5C085B8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1635</w:t>
            </w:r>
          </w:p>
        </w:tc>
        <w:tc>
          <w:tcPr>
            <w:tcW w:w="931" w:type="dxa"/>
            <w:noWrap/>
            <w:hideMark/>
          </w:tcPr>
          <w:p w14:paraId="47AD38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B699F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E23D7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400F68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St. Paul's </w:t>
            </w:r>
          </w:p>
        </w:tc>
        <w:tc>
          <w:tcPr>
            <w:tcW w:w="1118" w:type="dxa"/>
            <w:noWrap/>
            <w:hideMark/>
          </w:tcPr>
          <w:p w14:paraId="2A371A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EFA419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1B30A5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4CA130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5EC8F1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DD614F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8EFFD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1A582AA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1218B7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Randal, John </w:t>
            </w:r>
          </w:p>
        </w:tc>
        <w:tc>
          <w:tcPr>
            <w:tcW w:w="1125" w:type="dxa"/>
            <w:noWrap/>
            <w:hideMark/>
          </w:tcPr>
          <w:p w14:paraId="5EEFF6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Lambert </w:t>
            </w:r>
          </w:p>
        </w:tc>
        <w:tc>
          <w:tcPr>
            <w:tcW w:w="918" w:type="dxa"/>
            <w:noWrap/>
            <w:hideMark/>
          </w:tcPr>
          <w:p w14:paraId="36DDB9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1633</w:t>
            </w:r>
          </w:p>
        </w:tc>
        <w:tc>
          <w:tcPr>
            <w:tcW w:w="931" w:type="dxa"/>
            <w:noWrap/>
            <w:hideMark/>
          </w:tcPr>
          <w:p w14:paraId="7323299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6FF4C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2B2722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76415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759960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806FE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F6834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BA41BF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21D2C8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coronation </w:t>
            </w:r>
          </w:p>
        </w:tc>
        <w:tc>
          <w:tcPr>
            <w:tcW w:w="963" w:type="dxa"/>
            <w:noWrap/>
            <w:hideMark/>
          </w:tcPr>
          <w:p w14:paraId="2E7004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1C4D858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36A4BBF"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Randal, John </w:t>
            </w:r>
          </w:p>
        </w:tc>
        <w:tc>
          <w:tcPr>
            <w:tcW w:w="1125" w:type="dxa"/>
            <w:noWrap/>
            <w:hideMark/>
          </w:tcPr>
          <w:p w14:paraId="5FE8C5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Lichfield </w:t>
            </w:r>
          </w:p>
        </w:tc>
        <w:tc>
          <w:tcPr>
            <w:tcW w:w="918" w:type="dxa"/>
            <w:noWrap/>
            <w:hideMark/>
          </w:tcPr>
          <w:p w14:paraId="7FFB83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6EE54C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DB529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Oxford </w:t>
            </w:r>
          </w:p>
        </w:tc>
        <w:tc>
          <w:tcPr>
            <w:tcW w:w="838" w:type="dxa"/>
            <w:noWrap/>
            <w:hideMark/>
          </w:tcPr>
          <w:p w14:paraId="5A0E092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781F58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7FB45BF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539B1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1605AA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882D1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4DB849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1ED14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F3D43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120B06E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5083793"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Rawley, William </w:t>
            </w:r>
          </w:p>
        </w:tc>
        <w:tc>
          <w:tcPr>
            <w:tcW w:w="1125" w:type="dxa"/>
            <w:noWrap/>
            <w:hideMark/>
          </w:tcPr>
          <w:p w14:paraId="0748F0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Matthew </w:t>
            </w:r>
            <w:proofErr w:type="spellStart"/>
            <w:r w:rsidRPr="003037D2">
              <w:rPr>
                <w:rFonts w:ascii="Garamond" w:hAnsi="Garamond"/>
                <w:sz w:val="20"/>
                <w:szCs w:val="20"/>
              </w:rPr>
              <w:t>Lownes</w:t>
            </w:r>
            <w:proofErr w:type="spellEnd"/>
            <w:r w:rsidRPr="003037D2">
              <w:rPr>
                <w:rFonts w:ascii="Garamond" w:hAnsi="Garamond"/>
                <w:sz w:val="20"/>
                <w:szCs w:val="20"/>
              </w:rPr>
              <w:t xml:space="preserve"> </w:t>
            </w:r>
          </w:p>
        </w:tc>
        <w:tc>
          <w:tcPr>
            <w:tcW w:w="918" w:type="dxa"/>
            <w:noWrap/>
            <w:hideMark/>
          </w:tcPr>
          <w:p w14:paraId="1446C4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79FC2B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5A2580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BB2BB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2C19B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Spittle </w:t>
            </w:r>
          </w:p>
        </w:tc>
        <w:tc>
          <w:tcPr>
            <w:tcW w:w="1118" w:type="dxa"/>
            <w:noWrap/>
            <w:hideMark/>
          </w:tcPr>
          <w:p w14:paraId="18803E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AE518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1F17D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2911" w:type="dxa"/>
            <w:gridSpan w:val="3"/>
            <w:noWrap/>
            <w:hideMark/>
          </w:tcPr>
          <w:p w14:paraId="786BFFA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 calendar - Easter week</w:t>
            </w:r>
          </w:p>
        </w:tc>
        <w:tc>
          <w:tcPr>
            <w:tcW w:w="963" w:type="dxa"/>
            <w:noWrap/>
            <w:hideMark/>
          </w:tcPr>
          <w:p w14:paraId="623B25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32093D9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C157994"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Read, Alexander </w:t>
            </w:r>
          </w:p>
        </w:tc>
        <w:tc>
          <w:tcPr>
            <w:tcW w:w="1125" w:type="dxa"/>
            <w:noWrap/>
            <w:hideMark/>
          </w:tcPr>
          <w:p w14:paraId="6EE6078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Clark </w:t>
            </w:r>
          </w:p>
        </w:tc>
        <w:tc>
          <w:tcPr>
            <w:tcW w:w="918" w:type="dxa"/>
            <w:noWrap/>
            <w:hideMark/>
          </w:tcPr>
          <w:p w14:paraId="09BC45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1636</w:t>
            </w:r>
          </w:p>
        </w:tc>
        <w:tc>
          <w:tcPr>
            <w:tcW w:w="931" w:type="dxa"/>
            <w:noWrap/>
            <w:hideMark/>
          </w:tcPr>
          <w:p w14:paraId="16B3B59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74B00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354BA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474CC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4FE339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B3259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5AF786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7AA51C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4C0FCA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visitation </w:t>
            </w:r>
          </w:p>
        </w:tc>
        <w:tc>
          <w:tcPr>
            <w:tcW w:w="963" w:type="dxa"/>
            <w:noWrap/>
            <w:hideMark/>
          </w:tcPr>
          <w:p w14:paraId="14D107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2DB2FEF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78CB3F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Reading, John </w:t>
            </w:r>
          </w:p>
        </w:tc>
        <w:tc>
          <w:tcPr>
            <w:tcW w:w="1125" w:type="dxa"/>
            <w:noWrap/>
            <w:hideMark/>
          </w:tcPr>
          <w:p w14:paraId="5BE079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Joyce Norton </w:t>
            </w:r>
          </w:p>
        </w:tc>
        <w:tc>
          <w:tcPr>
            <w:tcW w:w="918" w:type="dxa"/>
            <w:noWrap/>
            <w:hideMark/>
          </w:tcPr>
          <w:p w14:paraId="4D993FE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1638</w:t>
            </w:r>
          </w:p>
        </w:tc>
        <w:tc>
          <w:tcPr>
            <w:tcW w:w="931" w:type="dxa"/>
            <w:noWrap/>
            <w:hideMark/>
          </w:tcPr>
          <w:p w14:paraId="0B357A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D9920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670EF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5A086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7A471D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53CB1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47245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EEAD7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524DBFE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0BC8B4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1B50FF5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6EC7E0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Reading, John </w:t>
            </w:r>
          </w:p>
        </w:tc>
        <w:tc>
          <w:tcPr>
            <w:tcW w:w="1125" w:type="dxa"/>
            <w:noWrap/>
            <w:hideMark/>
          </w:tcPr>
          <w:p w14:paraId="79AAED9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Hodgets</w:t>
            </w:r>
            <w:proofErr w:type="spellEnd"/>
          </w:p>
        </w:tc>
        <w:tc>
          <w:tcPr>
            <w:tcW w:w="918" w:type="dxa"/>
            <w:noWrap/>
            <w:hideMark/>
          </w:tcPr>
          <w:p w14:paraId="2D6A86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6AB822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50485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9798F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7791B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1C3174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051C9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CA174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690A1E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4432D3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6CE4A9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2085A98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D60AFA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Reading, John </w:t>
            </w:r>
          </w:p>
        </w:tc>
        <w:tc>
          <w:tcPr>
            <w:tcW w:w="1125" w:type="dxa"/>
            <w:noWrap/>
            <w:hideMark/>
          </w:tcPr>
          <w:p w14:paraId="513F8D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Hodgets</w:t>
            </w:r>
            <w:proofErr w:type="spellEnd"/>
          </w:p>
        </w:tc>
        <w:tc>
          <w:tcPr>
            <w:tcW w:w="918" w:type="dxa"/>
            <w:noWrap/>
            <w:hideMark/>
          </w:tcPr>
          <w:p w14:paraId="0E35C6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40033B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5708A4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1A3E31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74B9E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7B05E6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C6742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06C34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216ACF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5AF7824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644E07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217DD29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2C5AE68"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Reading, John </w:t>
            </w:r>
          </w:p>
        </w:tc>
        <w:tc>
          <w:tcPr>
            <w:tcW w:w="1125" w:type="dxa"/>
            <w:noWrap/>
            <w:hideMark/>
          </w:tcPr>
          <w:p w14:paraId="34C0AA1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w:t>
            </w:r>
            <w:proofErr w:type="spellStart"/>
            <w:r w:rsidRPr="003037D2">
              <w:rPr>
                <w:rFonts w:ascii="Garamond" w:hAnsi="Garamond"/>
                <w:sz w:val="20"/>
                <w:szCs w:val="20"/>
              </w:rPr>
              <w:t>Allott</w:t>
            </w:r>
            <w:proofErr w:type="spellEnd"/>
            <w:r w:rsidRPr="003037D2">
              <w:rPr>
                <w:rFonts w:ascii="Garamond" w:hAnsi="Garamond"/>
                <w:sz w:val="20"/>
                <w:szCs w:val="20"/>
              </w:rPr>
              <w:t xml:space="preserve"> </w:t>
            </w:r>
          </w:p>
        </w:tc>
        <w:tc>
          <w:tcPr>
            <w:tcW w:w="918" w:type="dxa"/>
            <w:noWrap/>
            <w:hideMark/>
          </w:tcPr>
          <w:p w14:paraId="5E4B0EA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007ECB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B447B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D50F8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65FC7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7365AA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E3EDA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C4008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6F911A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election  </w:t>
            </w:r>
          </w:p>
        </w:tc>
        <w:tc>
          <w:tcPr>
            <w:tcW w:w="1093" w:type="dxa"/>
            <w:noWrap/>
            <w:hideMark/>
          </w:tcPr>
          <w:p w14:paraId="2CC255A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65CCEF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2D50B99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305EA43"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Reading, John </w:t>
            </w:r>
          </w:p>
        </w:tc>
        <w:tc>
          <w:tcPr>
            <w:tcW w:w="1125" w:type="dxa"/>
            <w:noWrap/>
            <w:hideMark/>
          </w:tcPr>
          <w:p w14:paraId="44F8F7A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Staford</w:t>
            </w:r>
            <w:proofErr w:type="spellEnd"/>
          </w:p>
        </w:tc>
        <w:tc>
          <w:tcPr>
            <w:tcW w:w="918" w:type="dxa"/>
            <w:noWrap/>
            <w:hideMark/>
          </w:tcPr>
          <w:p w14:paraId="1E41064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3F999D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33CA9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948C1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729BA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66EFDD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Assizes</w:t>
            </w:r>
          </w:p>
        </w:tc>
        <w:tc>
          <w:tcPr>
            <w:tcW w:w="981" w:type="dxa"/>
            <w:noWrap/>
            <w:hideMark/>
          </w:tcPr>
          <w:p w14:paraId="1B1A1C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3C67A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05D52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1725A66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A6E21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DFC90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7C58E60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CED55B8"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Reeks, Richard </w:t>
            </w:r>
          </w:p>
        </w:tc>
        <w:tc>
          <w:tcPr>
            <w:tcW w:w="1125" w:type="dxa"/>
            <w:noWrap/>
            <w:hideMark/>
          </w:tcPr>
          <w:p w14:paraId="07FE3A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Harrigat</w:t>
            </w:r>
            <w:proofErr w:type="spellEnd"/>
          </w:p>
        </w:tc>
        <w:tc>
          <w:tcPr>
            <w:tcW w:w="918" w:type="dxa"/>
            <w:noWrap/>
            <w:hideMark/>
          </w:tcPr>
          <w:p w14:paraId="3F22A4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1630</w:t>
            </w:r>
          </w:p>
        </w:tc>
        <w:tc>
          <w:tcPr>
            <w:tcW w:w="931" w:type="dxa"/>
            <w:noWrap/>
            <w:hideMark/>
          </w:tcPr>
          <w:p w14:paraId="2F1A81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6F384E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73F22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C1E879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Spittle </w:t>
            </w:r>
          </w:p>
        </w:tc>
        <w:tc>
          <w:tcPr>
            <w:tcW w:w="1118" w:type="dxa"/>
            <w:noWrap/>
            <w:hideMark/>
          </w:tcPr>
          <w:p w14:paraId="3A44A7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6D755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DECF2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2911" w:type="dxa"/>
            <w:gridSpan w:val="3"/>
            <w:noWrap/>
            <w:hideMark/>
          </w:tcPr>
          <w:p w14:paraId="46184D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Church calendar - Easter week</w:t>
            </w:r>
          </w:p>
        </w:tc>
        <w:tc>
          <w:tcPr>
            <w:tcW w:w="963" w:type="dxa"/>
            <w:noWrap/>
            <w:hideMark/>
          </w:tcPr>
          <w:p w14:paraId="2D56F7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5674C52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97EBF0A"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Reeve, Thomas </w:t>
            </w:r>
          </w:p>
        </w:tc>
        <w:tc>
          <w:tcPr>
            <w:tcW w:w="1125" w:type="dxa"/>
            <w:noWrap/>
            <w:hideMark/>
          </w:tcPr>
          <w:p w14:paraId="0E73CA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Grismand</w:t>
            </w:r>
            <w:proofErr w:type="spellEnd"/>
          </w:p>
        </w:tc>
        <w:tc>
          <w:tcPr>
            <w:tcW w:w="918" w:type="dxa"/>
            <w:noWrap/>
            <w:hideMark/>
          </w:tcPr>
          <w:p w14:paraId="0B2EA7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1632</w:t>
            </w:r>
          </w:p>
        </w:tc>
        <w:tc>
          <w:tcPr>
            <w:tcW w:w="931" w:type="dxa"/>
            <w:noWrap/>
            <w:hideMark/>
          </w:tcPr>
          <w:p w14:paraId="17D8803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7BAC1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2B056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1E246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Cathedral </w:t>
            </w:r>
          </w:p>
        </w:tc>
        <w:tc>
          <w:tcPr>
            <w:tcW w:w="1118" w:type="dxa"/>
            <w:noWrap/>
            <w:hideMark/>
          </w:tcPr>
          <w:p w14:paraId="20C320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8AFCF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BA64BB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5B43F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6EF2AB3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E9F3C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DE71DF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7978D8F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8BD175A"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Reeve, Thomas </w:t>
            </w:r>
          </w:p>
        </w:tc>
        <w:tc>
          <w:tcPr>
            <w:tcW w:w="1125" w:type="dxa"/>
            <w:noWrap/>
            <w:hideMark/>
          </w:tcPr>
          <w:p w14:paraId="6935C6E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Edward Martin </w:t>
            </w:r>
          </w:p>
        </w:tc>
        <w:tc>
          <w:tcPr>
            <w:tcW w:w="918" w:type="dxa"/>
            <w:noWrap/>
            <w:hideMark/>
          </w:tcPr>
          <w:p w14:paraId="4F1BE1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1632</w:t>
            </w:r>
          </w:p>
        </w:tc>
        <w:tc>
          <w:tcPr>
            <w:tcW w:w="931" w:type="dxa"/>
            <w:noWrap/>
            <w:hideMark/>
          </w:tcPr>
          <w:p w14:paraId="7BA9F9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42CD05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E4822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06B49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Cathedral </w:t>
            </w:r>
          </w:p>
        </w:tc>
        <w:tc>
          <w:tcPr>
            <w:tcW w:w="1118" w:type="dxa"/>
            <w:noWrap/>
            <w:hideMark/>
          </w:tcPr>
          <w:p w14:paraId="6EDE04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660D7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C48AF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6B8102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F51D1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0E72BF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F8EEF2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23F095F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C28985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Reeve, Thomas </w:t>
            </w:r>
          </w:p>
        </w:tc>
        <w:tc>
          <w:tcPr>
            <w:tcW w:w="1125" w:type="dxa"/>
            <w:noWrap/>
            <w:hideMark/>
          </w:tcPr>
          <w:p w14:paraId="2C68C0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w:t>
            </w:r>
            <w:proofErr w:type="spellStart"/>
            <w:r w:rsidRPr="003037D2">
              <w:rPr>
                <w:rFonts w:ascii="Garamond" w:hAnsi="Garamond"/>
                <w:sz w:val="20"/>
                <w:szCs w:val="20"/>
              </w:rPr>
              <w:t>Milbourne</w:t>
            </w:r>
            <w:proofErr w:type="spellEnd"/>
            <w:r w:rsidRPr="003037D2">
              <w:rPr>
                <w:rFonts w:ascii="Garamond" w:hAnsi="Garamond"/>
                <w:sz w:val="20"/>
                <w:szCs w:val="20"/>
              </w:rPr>
              <w:t xml:space="preserve"> </w:t>
            </w:r>
          </w:p>
        </w:tc>
        <w:tc>
          <w:tcPr>
            <w:tcW w:w="918" w:type="dxa"/>
            <w:noWrap/>
            <w:hideMark/>
          </w:tcPr>
          <w:p w14:paraId="49B2D2D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6C4EEF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B561F1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1F2F1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02952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4C5F9B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AD0EC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C1F52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8AE42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032CA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7824B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C8CE3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2616707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FB4F4F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Reeve, Thomas </w:t>
            </w:r>
          </w:p>
        </w:tc>
        <w:tc>
          <w:tcPr>
            <w:tcW w:w="1125" w:type="dxa"/>
            <w:noWrap/>
            <w:hideMark/>
          </w:tcPr>
          <w:p w14:paraId="3C25E3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Edward Martin </w:t>
            </w:r>
          </w:p>
        </w:tc>
        <w:tc>
          <w:tcPr>
            <w:tcW w:w="918" w:type="dxa"/>
            <w:noWrap/>
            <w:hideMark/>
          </w:tcPr>
          <w:p w14:paraId="1488E11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1632</w:t>
            </w:r>
          </w:p>
        </w:tc>
        <w:tc>
          <w:tcPr>
            <w:tcW w:w="931" w:type="dxa"/>
            <w:noWrap/>
            <w:hideMark/>
          </w:tcPr>
          <w:p w14:paraId="6230A5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F4F86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8F35A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AF0A1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spellStart"/>
            <w:r w:rsidRPr="003037D2">
              <w:rPr>
                <w:rFonts w:ascii="Garamond" w:hAnsi="Garamond"/>
                <w:sz w:val="20"/>
                <w:szCs w:val="20"/>
              </w:rPr>
              <w:t>Greenyard</w:t>
            </w:r>
            <w:proofErr w:type="spellEnd"/>
            <w:r w:rsidRPr="003037D2">
              <w:rPr>
                <w:rFonts w:ascii="Garamond" w:hAnsi="Garamond"/>
                <w:sz w:val="20"/>
                <w:szCs w:val="20"/>
              </w:rPr>
              <w:t xml:space="preserve"> Norwich </w:t>
            </w:r>
          </w:p>
        </w:tc>
        <w:tc>
          <w:tcPr>
            <w:tcW w:w="1118" w:type="dxa"/>
            <w:noWrap/>
            <w:hideMark/>
          </w:tcPr>
          <w:p w14:paraId="1C5E68D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CE94E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D8220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14329B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748309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20BD6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B37C8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102827C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5E46C0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Reeve, Thomas </w:t>
            </w:r>
          </w:p>
        </w:tc>
        <w:tc>
          <w:tcPr>
            <w:tcW w:w="1125" w:type="dxa"/>
            <w:noWrap/>
            <w:hideMark/>
          </w:tcPr>
          <w:p w14:paraId="67102AB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Edward Martin </w:t>
            </w:r>
          </w:p>
        </w:tc>
        <w:tc>
          <w:tcPr>
            <w:tcW w:w="918" w:type="dxa"/>
            <w:noWrap/>
            <w:hideMark/>
          </w:tcPr>
          <w:p w14:paraId="7244A6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1632</w:t>
            </w:r>
          </w:p>
        </w:tc>
        <w:tc>
          <w:tcPr>
            <w:tcW w:w="931" w:type="dxa"/>
            <w:noWrap/>
            <w:hideMark/>
          </w:tcPr>
          <w:p w14:paraId="4EBBD5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6EE09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4EA5C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DDEFB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Cathedral </w:t>
            </w:r>
          </w:p>
        </w:tc>
        <w:tc>
          <w:tcPr>
            <w:tcW w:w="1118" w:type="dxa"/>
            <w:noWrap/>
            <w:hideMark/>
          </w:tcPr>
          <w:p w14:paraId="1E7445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D94C69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F935A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2F97F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89B158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09693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BA912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5039948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F8B6C8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Reeve, Thomas </w:t>
            </w:r>
          </w:p>
        </w:tc>
        <w:tc>
          <w:tcPr>
            <w:tcW w:w="1125" w:type="dxa"/>
            <w:noWrap/>
            <w:hideMark/>
          </w:tcPr>
          <w:p w14:paraId="52CE53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Edward Martin </w:t>
            </w:r>
          </w:p>
        </w:tc>
        <w:tc>
          <w:tcPr>
            <w:tcW w:w="918" w:type="dxa"/>
            <w:noWrap/>
            <w:hideMark/>
          </w:tcPr>
          <w:p w14:paraId="505B25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1632</w:t>
            </w:r>
          </w:p>
        </w:tc>
        <w:tc>
          <w:tcPr>
            <w:tcW w:w="931" w:type="dxa"/>
            <w:noWrap/>
            <w:hideMark/>
          </w:tcPr>
          <w:p w14:paraId="53BFFB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035" w:type="dxa"/>
            <w:noWrap/>
            <w:hideMark/>
          </w:tcPr>
          <w:p w14:paraId="071CEE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BF641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13E6A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Cathedral </w:t>
            </w:r>
          </w:p>
        </w:tc>
        <w:tc>
          <w:tcPr>
            <w:tcW w:w="1118" w:type="dxa"/>
            <w:noWrap/>
            <w:hideMark/>
          </w:tcPr>
          <w:p w14:paraId="427B84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7A776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E82965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42CF2A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20A328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E62D5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0B163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65F8535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C039F56"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Reynolds, Edward </w:t>
            </w:r>
          </w:p>
        </w:tc>
        <w:tc>
          <w:tcPr>
            <w:tcW w:w="1125" w:type="dxa"/>
            <w:noWrap/>
            <w:hideMark/>
          </w:tcPr>
          <w:p w14:paraId="42048B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Bostock </w:t>
            </w:r>
          </w:p>
        </w:tc>
        <w:tc>
          <w:tcPr>
            <w:tcW w:w="918" w:type="dxa"/>
            <w:noWrap/>
            <w:hideMark/>
          </w:tcPr>
          <w:p w14:paraId="4359044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49066C4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67531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904FE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F945F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2099" w:type="dxa"/>
            <w:gridSpan w:val="2"/>
            <w:noWrap/>
            <w:hideMark/>
          </w:tcPr>
          <w:p w14:paraId="3A27F1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Before House of commons </w:t>
            </w:r>
          </w:p>
        </w:tc>
        <w:tc>
          <w:tcPr>
            <w:tcW w:w="681" w:type="dxa"/>
            <w:noWrap/>
            <w:hideMark/>
          </w:tcPr>
          <w:p w14:paraId="295575D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E95FD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6B3AC0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Event - fast</w:t>
            </w:r>
          </w:p>
        </w:tc>
        <w:tc>
          <w:tcPr>
            <w:tcW w:w="1093" w:type="dxa"/>
            <w:noWrap/>
            <w:hideMark/>
          </w:tcPr>
          <w:p w14:paraId="4803DE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77607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6478243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2A1E223"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Reynolds, Edward </w:t>
            </w:r>
          </w:p>
        </w:tc>
        <w:tc>
          <w:tcPr>
            <w:tcW w:w="1125" w:type="dxa"/>
            <w:noWrap/>
            <w:hideMark/>
          </w:tcPr>
          <w:p w14:paraId="176D0E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Bostock </w:t>
            </w:r>
          </w:p>
        </w:tc>
        <w:tc>
          <w:tcPr>
            <w:tcW w:w="918" w:type="dxa"/>
            <w:noWrap/>
            <w:hideMark/>
          </w:tcPr>
          <w:p w14:paraId="4DD8613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1638</w:t>
            </w:r>
          </w:p>
        </w:tc>
        <w:tc>
          <w:tcPr>
            <w:tcW w:w="931" w:type="dxa"/>
            <w:noWrap/>
            <w:hideMark/>
          </w:tcPr>
          <w:p w14:paraId="011609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45808F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00FB9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64513F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431CE0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5E4FC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CB02EE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E0423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4FCCAF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visitation </w:t>
            </w:r>
          </w:p>
        </w:tc>
        <w:tc>
          <w:tcPr>
            <w:tcW w:w="963" w:type="dxa"/>
            <w:noWrap/>
            <w:hideMark/>
          </w:tcPr>
          <w:p w14:paraId="7A67356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4D16CC2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011C7DD"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Reynolds, Edward </w:t>
            </w:r>
          </w:p>
        </w:tc>
        <w:tc>
          <w:tcPr>
            <w:tcW w:w="1125" w:type="dxa"/>
            <w:noWrap/>
            <w:hideMark/>
          </w:tcPr>
          <w:p w14:paraId="752D557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Bostock </w:t>
            </w:r>
          </w:p>
        </w:tc>
        <w:tc>
          <w:tcPr>
            <w:tcW w:w="918" w:type="dxa"/>
            <w:noWrap/>
            <w:hideMark/>
          </w:tcPr>
          <w:p w14:paraId="6735349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1636</w:t>
            </w:r>
          </w:p>
        </w:tc>
        <w:tc>
          <w:tcPr>
            <w:tcW w:w="931" w:type="dxa"/>
            <w:noWrap/>
            <w:hideMark/>
          </w:tcPr>
          <w:p w14:paraId="7F30384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77EC2CC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A7E83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227EB1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717507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Assizes </w:t>
            </w:r>
          </w:p>
        </w:tc>
        <w:tc>
          <w:tcPr>
            <w:tcW w:w="981" w:type="dxa"/>
            <w:noWrap/>
            <w:hideMark/>
          </w:tcPr>
          <w:p w14:paraId="31A35A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2CFA7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34DB5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674274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B7730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68811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24C8ECD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EA2E44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Richardson, John </w:t>
            </w:r>
          </w:p>
        </w:tc>
        <w:tc>
          <w:tcPr>
            <w:tcW w:w="1125" w:type="dxa"/>
            <w:noWrap/>
            <w:hideMark/>
          </w:tcPr>
          <w:p w14:paraId="4A1BAD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Society of Stationers</w:t>
            </w:r>
          </w:p>
        </w:tc>
        <w:tc>
          <w:tcPr>
            <w:tcW w:w="918" w:type="dxa"/>
            <w:noWrap/>
            <w:hideMark/>
          </w:tcPr>
          <w:p w14:paraId="22EEA0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377EBD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44192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Dublin </w:t>
            </w:r>
          </w:p>
        </w:tc>
        <w:tc>
          <w:tcPr>
            <w:tcW w:w="838" w:type="dxa"/>
            <w:noWrap/>
            <w:hideMark/>
          </w:tcPr>
          <w:p w14:paraId="32AA14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1D88B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2B7392A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BCD5D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09401C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914D84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1FBA03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E1F21D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B62B5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5595214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B33FA7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Robinson, John </w:t>
            </w:r>
          </w:p>
        </w:tc>
        <w:tc>
          <w:tcPr>
            <w:tcW w:w="1125" w:type="dxa"/>
            <w:noWrap/>
            <w:hideMark/>
          </w:tcPr>
          <w:p w14:paraId="241D27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Harper </w:t>
            </w:r>
          </w:p>
        </w:tc>
        <w:tc>
          <w:tcPr>
            <w:tcW w:w="918" w:type="dxa"/>
            <w:noWrap/>
            <w:hideMark/>
          </w:tcPr>
          <w:p w14:paraId="0D8F01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1631</w:t>
            </w:r>
          </w:p>
        </w:tc>
        <w:tc>
          <w:tcPr>
            <w:tcW w:w="931" w:type="dxa"/>
            <w:noWrap/>
            <w:hideMark/>
          </w:tcPr>
          <w:p w14:paraId="4232EE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6F934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1589F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FF6706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7C431A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568F0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5E74A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652FC4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749114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CD2E5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1BEF3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1C92D7B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529BC8A"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Rogers, Francis</w:t>
            </w:r>
          </w:p>
        </w:tc>
        <w:tc>
          <w:tcPr>
            <w:tcW w:w="1125" w:type="dxa"/>
            <w:noWrap/>
            <w:hideMark/>
          </w:tcPr>
          <w:p w14:paraId="3D32D2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William </w:t>
            </w:r>
            <w:proofErr w:type="spellStart"/>
            <w:r w:rsidRPr="003037D2">
              <w:rPr>
                <w:rFonts w:ascii="Garamond" w:hAnsi="Garamond"/>
                <w:sz w:val="20"/>
                <w:szCs w:val="20"/>
              </w:rPr>
              <w:t>Adderton</w:t>
            </w:r>
            <w:proofErr w:type="spellEnd"/>
            <w:r w:rsidRPr="003037D2">
              <w:rPr>
                <w:rFonts w:ascii="Garamond" w:hAnsi="Garamond"/>
                <w:sz w:val="20"/>
                <w:szCs w:val="20"/>
              </w:rPr>
              <w:t xml:space="preserve"> </w:t>
            </w:r>
          </w:p>
        </w:tc>
        <w:tc>
          <w:tcPr>
            <w:tcW w:w="918" w:type="dxa"/>
            <w:noWrap/>
            <w:hideMark/>
          </w:tcPr>
          <w:p w14:paraId="61C70B7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1633</w:t>
            </w:r>
          </w:p>
        </w:tc>
        <w:tc>
          <w:tcPr>
            <w:tcW w:w="931" w:type="dxa"/>
            <w:noWrap/>
            <w:hideMark/>
          </w:tcPr>
          <w:p w14:paraId="2C0F5E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4A343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666D67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E225A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Cathedral </w:t>
            </w:r>
          </w:p>
        </w:tc>
        <w:tc>
          <w:tcPr>
            <w:tcW w:w="1118" w:type="dxa"/>
            <w:noWrap/>
            <w:hideMark/>
          </w:tcPr>
          <w:p w14:paraId="56EB88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4EB3F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FE503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FCA4C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4EED54D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01DD29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2A1191C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869386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Rogers, Francis</w:t>
            </w:r>
          </w:p>
        </w:tc>
        <w:tc>
          <w:tcPr>
            <w:tcW w:w="1125" w:type="dxa"/>
            <w:noWrap/>
            <w:hideMark/>
          </w:tcPr>
          <w:p w14:paraId="07A4CFF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William </w:t>
            </w:r>
            <w:proofErr w:type="spellStart"/>
            <w:r w:rsidRPr="003037D2">
              <w:rPr>
                <w:rFonts w:ascii="Garamond" w:hAnsi="Garamond"/>
                <w:sz w:val="20"/>
                <w:szCs w:val="20"/>
              </w:rPr>
              <w:t>Adderton</w:t>
            </w:r>
            <w:proofErr w:type="spellEnd"/>
            <w:r w:rsidRPr="003037D2">
              <w:rPr>
                <w:rFonts w:ascii="Garamond" w:hAnsi="Garamond"/>
                <w:sz w:val="20"/>
                <w:szCs w:val="20"/>
              </w:rPr>
              <w:t xml:space="preserve"> </w:t>
            </w:r>
          </w:p>
        </w:tc>
        <w:tc>
          <w:tcPr>
            <w:tcW w:w="918" w:type="dxa"/>
            <w:noWrap/>
            <w:hideMark/>
          </w:tcPr>
          <w:p w14:paraId="58CBBBD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1633</w:t>
            </w:r>
          </w:p>
        </w:tc>
        <w:tc>
          <w:tcPr>
            <w:tcW w:w="931" w:type="dxa"/>
            <w:noWrap/>
            <w:hideMark/>
          </w:tcPr>
          <w:p w14:paraId="1AF29B1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833EB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AE0CDF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D4AC16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Cathedral </w:t>
            </w:r>
          </w:p>
        </w:tc>
        <w:tc>
          <w:tcPr>
            <w:tcW w:w="1118" w:type="dxa"/>
            <w:noWrap/>
            <w:hideMark/>
          </w:tcPr>
          <w:p w14:paraId="07EAF8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C44279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DAFBD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1A0966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759E02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visitation </w:t>
            </w:r>
          </w:p>
        </w:tc>
        <w:tc>
          <w:tcPr>
            <w:tcW w:w="963" w:type="dxa"/>
            <w:noWrap/>
            <w:hideMark/>
          </w:tcPr>
          <w:p w14:paraId="49DC78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17A24C0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F1351D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Rogers, Nehemiah </w:t>
            </w:r>
          </w:p>
        </w:tc>
        <w:tc>
          <w:tcPr>
            <w:tcW w:w="1125" w:type="dxa"/>
            <w:noWrap/>
            <w:hideMark/>
          </w:tcPr>
          <w:p w14:paraId="2336B1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Edward Brewster</w:t>
            </w:r>
          </w:p>
        </w:tc>
        <w:tc>
          <w:tcPr>
            <w:tcW w:w="918" w:type="dxa"/>
            <w:noWrap/>
            <w:hideMark/>
          </w:tcPr>
          <w:p w14:paraId="044F7D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1632</w:t>
            </w:r>
          </w:p>
        </w:tc>
        <w:tc>
          <w:tcPr>
            <w:tcW w:w="931" w:type="dxa"/>
            <w:noWrap/>
            <w:hideMark/>
          </w:tcPr>
          <w:p w14:paraId="78983A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02FA65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B0330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45E547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51DAAA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CD6567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5BF88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FF36A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283AF2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visitation </w:t>
            </w:r>
          </w:p>
        </w:tc>
        <w:tc>
          <w:tcPr>
            <w:tcW w:w="963" w:type="dxa"/>
            <w:noWrap/>
            <w:hideMark/>
          </w:tcPr>
          <w:p w14:paraId="786A0D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010226D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84C38E8"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Ross, Alexander</w:t>
            </w:r>
          </w:p>
        </w:tc>
        <w:tc>
          <w:tcPr>
            <w:tcW w:w="1125" w:type="dxa"/>
            <w:noWrap/>
            <w:hideMark/>
          </w:tcPr>
          <w:p w14:paraId="2F3000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S.N. </w:t>
            </w:r>
          </w:p>
        </w:tc>
        <w:tc>
          <w:tcPr>
            <w:tcW w:w="918" w:type="dxa"/>
            <w:noWrap/>
            <w:hideMark/>
          </w:tcPr>
          <w:p w14:paraId="5F85E3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2E74857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47308D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CB449D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B80DC1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398796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1971F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DA2E4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2D29BDF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356A9A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5B164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16F97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99CB04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A98AF2A"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Ross, Alexander</w:t>
            </w:r>
          </w:p>
        </w:tc>
        <w:tc>
          <w:tcPr>
            <w:tcW w:w="1125" w:type="dxa"/>
            <w:noWrap/>
            <w:hideMark/>
          </w:tcPr>
          <w:p w14:paraId="5E84CCC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S.N. </w:t>
            </w:r>
          </w:p>
        </w:tc>
        <w:tc>
          <w:tcPr>
            <w:tcW w:w="918" w:type="dxa"/>
            <w:noWrap/>
            <w:hideMark/>
          </w:tcPr>
          <w:p w14:paraId="27B0D0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453C83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3D8F1D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664CAF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3CB99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44D77A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97044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30EBD9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678BDB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7B63B2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AC4AE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66632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688BC2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B22E99C"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Row, James</w:t>
            </w:r>
          </w:p>
        </w:tc>
        <w:tc>
          <w:tcPr>
            <w:tcW w:w="1125" w:type="dxa"/>
            <w:noWrap/>
            <w:hideMark/>
          </w:tcPr>
          <w:p w14:paraId="1568D56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 Bates</w:t>
            </w:r>
          </w:p>
        </w:tc>
        <w:tc>
          <w:tcPr>
            <w:tcW w:w="918" w:type="dxa"/>
            <w:noWrap/>
            <w:hideMark/>
          </w:tcPr>
          <w:p w14:paraId="71CF67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3CCAEA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4F92A5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7F4AA9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040A0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 Church</w:t>
            </w:r>
          </w:p>
        </w:tc>
        <w:tc>
          <w:tcPr>
            <w:tcW w:w="1118" w:type="dxa"/>
            <w:noWrap/>
            <w:hideMark/>
          </w:tcPr>
          <w:p w14:paraId="1A6197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D016E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AF034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5C2AEBC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‘Last Sunday in April’</w:t>
            </w:r>
          </w:p>
        </w:tc>
        <w:tc>
          <w:tcPr>
            <w:tcW w:w="1093" w:type="dxa"/>
            <w:noWrap/>
            <w:hideMark/>
          </w:tcPr>
          <w:p w14:paraId="75A3BA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539D4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0FB6177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6A8192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Rowlandson, James </w:t>
            </w:r>
          </w:p>
        </w:tc>
        <w:tc>
          <w:tcPr>
            <w:tcW w:w="1125" w:type="dxa"/>
            <w:noWrap/>
            <w:hideMark/>
          </w:tcPr>
          <w:p w14:paraId="69DA1BA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Edward </w:t>
            </w:r>
            <w:proofErr w:type="spellStart"/>
            <w:r w:rsidRPr="003037D2">
              <w:rPr>
                <w:rFonts w:ascii="Garamond" w:hAnsi="Garamond"/>
                <w:sz w:val="20"/>
                <w:szCs w:val="20"/>
              </w:rPr>
              <w:t>Blackemore</w:t>
            </w:r>
            <w:proofErr w:type="spellEnd"/>
            <w:r w:rsidRPr="003037D2">
              <w:rPr>
                <w:rFonts w:ascii="Garamond" w:hAnsi="Garamond"/>
                <w:sz w:val="20"/>
                <w:szCs w:val="20"/>
              </w:rPr>
              <w:t xml:space="preserve"> </w:t>
            </w:r>
          </w:p>
        </w:tc>
        <w:tc>
          <w:tcPr>
            <w:tcW w:w="918" w:type="dxa"/>
            <w:noWrap/>
            <w:hideMark/>
          </w:tcPr>
          <w:p w14:paraId="6F6497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1627</w:t>
            </w:r>
          </w:p>
        </w:tc>
        <w:tc>
          <w:tcPr>
            <w:tcW w:w="931" w:type="dxa"/>
            <w:noWrap/>
            <w:hideMark/>
          </w:tcPr>
          <w:p w14:paraId="010BAFE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867B3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D6B1C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12473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Chapel </w:t>
            </w:r>
          </w:p>
        </w:tc>
        <w:tc>
          <w:tcPr>
            <w:tcW w:w="1118" w:type="dxa"/>
            <w:noWrap/>
            <w:hideMark/>
          </w:tcPr>
          <w:p w14:paraId="3E6F628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2244A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539F9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2C3659E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consecration </w:t>
            </w:r>
          </w:p>
        </w:tc>
        <w:tc>
          <w:tcPr>
            <w:tcW w:w="1093" w:type="dxa"/>
            <w:noWrap/>
            <w:hideMark/>
          </w:tcPr>
          <w:p w14:paraId="3C2309F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741506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7CE47ED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7AF3C3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Saltern, Thomas </w:t>
            </w:r>
          </w:p>
        </w:tc>
        <w:tc>
          <w:tcPr>
            <w:tcW w:w="1125" w:type="dxa"/>
            <w:noWrap/>
            <w:hideMark/>
          </w:tcPr>
          <w:p w14:paraId="78A52F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Roger Jackson </w:t>
            </w:r>
          </w:p>
        </w:tc>
        <w:tc>
          <w:tcPr>
            <w:tcW w:w="918" w:type="dxa"/>
            <w:noWrap/>
            <w:hideMark/>
          </w:tcPr>
          <w:p w14:paraId="742377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0FBA15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0E157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FD60B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18CD5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32F233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0A001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564AD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6252E4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21043D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3AB997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79AF3B4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4E4373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Sanderson, Robert </w:t>
            </w:r>
          </w:p>
        </w:tc>
        <w:tc>
          <w:tcPr>
            <w:tcW w:w="1125" w:type="dxa"/>
            <w:noWrap/>
            <w:hideMark/>
          </w:tcPr>
          <w:p w14:paraId="2226D2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Dolman </w:t>
            </w:r>
          </w:p>
        </w:tc>
        <w:tc>
          <w:tcPr>
            <w:tcW w:w="918" w:type="dxa"/>
            <w:noWrap/>
            <w:hideMark/>
          </w:tcPr>
          <w:p w14:paraId="4661C32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1628</w:t>
            </w:r>
          </w:p>
        </w:tc>
        <w:tc>
          <w:tcPr>
            <w:tcW w:w="931" w:type="dxa"/>
            <w:noWrap/>
            <w:hideMark/>
          </w:tcPr>
          <w:p w14:paraId="2F89A3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035" w:type="dxa"/>
            <w:noWrap/>
            <w:hideMark/>
          </w:tcPr>
          <w:p w14:paraId="4E5D3B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9B9A8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28DD5E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6652F9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84A9CC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16CD0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46824C5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0FB857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E08E0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59254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665B4AF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2821AB6"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Schlloer</w:t>
            </w:r>
            <w:proofErr w:type="spellEnd"/>
            <w:r w:rsidRPr="003037D2">
              <w:rPr>
                <w:rFonts w:ascii="Garamond" w:hAnsi="Garamond"/>
                <w:b w:val="0"/>
                <w:bCs w:val="0"/>
                <w:sz w:val="20"/>
                <w:szCs w:val="20"/>
              </w:rPr>
              <w:t xml:space="preserve">, Fredrik </w:t>
            </w:r>
          </w:p>
        </w:tc>
        <w:tc>
          <w:tcPr>
            <w:tcW w:w="1125" w:type="dxa"/>
            <w:noWrap/>
            <w:hideMark/>
          </w:tcPr>
          <w:p w14:paraId="6447A52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Nicholas Bourne </w:t>
            </w:r>
          </w:p>
        </w:tc>
        <w:tc>
          <w:tcPr>
            <w:tcW w:w="918" w:type="dxa"/>
            <w:noWrap/>
            <w:hideMark/>
          </w:tcPr>
          <w:p w14:paraId="2B9714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1633</w:t>
            </w:r>
          </w:p>
        </w:tc>
        <w:tc>
          <w:tcPr>
            <w:tcW w:w="931" w:type="dxa"/>
            <w:noWrap/>
            <w:hideMark/>
          </w:tcPr>
          <w:p w14:paraId="5DFCEB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AD9B1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C73692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296E8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427080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106AD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84713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9CD8B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Month</w:t>
            </w:r>
          </w:p>
        </w:tc>
        <w:tc>
          <w:tcPr>
            <w:tcW w:w="965" w:type="dxa"/>
            <w:noWrap/>
            <w:hideMark/>
          </w:tcPr>
          <w:p w14:paraId="6D5D98C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ABA85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0AEA0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399025A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7588B13"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lastRenderedPageBreak/>
              <w:t>Sclater</w:t>
            </w:r>
            <w:proofErr w:type="spellEnd"/>
            <w:r w:rsidRPr="003037D2">
              <w:rPr>
                <w:rFonts w:ascii="Garamond" w:hAnsi="Garamond"/>
                <w:b w:val="0"/>
                <w:bCs w:val="0"/>
                <w:sz w:val="20"/>
                <w:szCs w:val="20"/>
              </w:rPr>
              <w:t xml:space="preserve">, William </w:t>
            </w:r>
          </w:p>
        </w:tc>
        <w:tc>
          <w:tcPr>
            <w:tcW w:w="1125" w:type="dxa"/>
            <w:noWrap/>
            <w:hideMark/>
          </w:tcPr>
          <w:p w14:paraId="7ADC36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G. </w:t>
            </w:r>
            <w:proofErr w:type="spellStart"/>
            <w:r w:rsidRPr="003037D2">
              <w:rPr>
                <w:rFonts w:ascii="Garamond" w:hAnsi="Garamond"/>
                <w:sz w:val="20"/>
                <w:szCs w:val="20"/>
              </w:rPr>
              <w:t>Lathum</w:t>
            </w:r>
            <w:proofErr w:type="spellEnd"/>
            <w:r w:rsidRPr="003037D2">
              <w:rPr>
                <w:rFonts w:ascii="Garamond" w:hAnsi="Garamond"/>
                <w:sz w:val="20"/>
                <w:szCs w:val="20"/>
              </w:rPr>
              <w:t xml:space="preserve"> </w:t>
            </w:r>
          </w:p>
        </w:tc>
        <w:tc>
          <w:tcPr>
            <w:tcW w:w="918" w:type="dxa"/>
            <w:noWrap/>
            <w:hideMark/>
          </w:tcPr>
          <w:p w14:paraId="6D222F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1639</w:t>
            </w:r>
          </w:p>
        </w:tc>
        <w:tc>
          <w:tcPr>
            <w:tcW w:w="931" w:type="dxa"/>
            <w:noWrap/>
            <w:hideMark/>
          </w:tcPr>
          <w:p w14:paraId="5386F0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7ABB41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7CBAA6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F9EBB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Cathedral </w:t>
            </w:r>
          </w:p>
        </w:tc>
        <w:tc>
          <w:tcPr>
            <w:tcW w:w="1118" w:type="dxa"/>
            <w:noWrap/>
            <w:hideMark/>
          </w:tcPr>
          <w:p w14:paraId="277CB52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63F6C4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A2A57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55D7D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2EAE3D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 Low-Sunday </w:t>
            </w:r>
          </w:p>
        </w:tc>
        <w:tc>
          <w:tcPr>
            <w:tcW w:w="963" w:type="dxa"/>
            <w:noWrap/>
            <w:hideMark/>
          </w:tcPr>
          <w:p w14:paraId="6D6E3FB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10EDFE4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A024CF7"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Sclater</w:t>
            </w:r>
            <w:proofErr w:type="spellEnd"/>
            <w:r w:rsidRPr="003037D2">
              <w:rPr>
                <w:rFonts w:ascii="Garamond" w:hAnsi="Garamond"/>
                <w:b w:val="0"/>
                <w:bCs w:val="0"/>
                <w:sz w:val="20"/>
                <w:szCs w:val="20"/>
              </w:rPr>
              <w:t xml:space="preserve">, William </w:t>
            </w:r>
          </w:p>
        </w:tc>
        <w:tc>
          <w:tcPr>
            <w:tcW w:w="1125" w:type="dxa"/>
            <w:noWrap/>
            <w:hideMark/>
          </w:tcPr>
          <w:p w14:paraId="754F87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Richard Hodgkinson </w:t>
            </w:r>
          </w:p>
        </w:tc>
        <w:tc>
          <w:tcPr>
            <w:tcW w:w="918" w:type="dxa"/>
            <w:noWrap/>
            <w:hideMark/>
          </w:tcPr>
          <w:p w14:paraId="071CAF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1640</w:t>
            </w:r>
          </w:p>
        </w:tc>
        <w:tc>
          <w:tcPr>
            <w:tcW w:w="931" w:type="dxa"/>
            <w:noWrap/>
            <w:hideMark/>
          </w:tcPr>
          <w:p w14:paraId="7272CB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38FD62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BA766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00AF4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Cathedral </w:t>
            </w:r>
          </w:p>
        </w:tc>
        <w:tc>
          <w:tcPr>
            <w:tcW w:w="1118" w:type="dxa"/>
            <w:noWrap/>
            <w:hideMark/>
          </w:tcPr>
          <w:p w14:paraId="0F52BC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4173B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A4C70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1873D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5C429A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022643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6CC413C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541E84F"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Sclater</w:t>
            </w:r>
            <w:proofErr w:type="spellEnd"/>
            <w:r w:rsidRPr="003037D2">
              <w:rPr>
                <w:rFonts w:ascii="Garamond" w:hAnsi="Garamond"/>
                <w:b w:val="0"/>
                <w:bCs w:val="0"/>
                <w:sz w:val="20"/>
                <w:szCs w:val="20"/>
              </w:rPr>
              <w:t xml:space="preserve">, William </w:t>
            </w:r>
          </w:p>
        </w:tc>
        <w:tc>
          <w:tcPr>
            <w:tcW w:w="1125" w:type="dxa"/>
            <w:noWrap/>
            <w:hideMark/>
          </w:tcPr>
          <w:p w14:paraId="1C79CD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Thomas Slater</w:t>
            </w:r>
          </w:p>
        </w:tc>
        <w:tc>
          <w:tcPr>
            <w:tcW w:w="918" w:type="dxa"/>
            <w:noWrap/>
            <w:hideMark/>
          </w:tcPr>
          <w:p w14:paraId="07C8E2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409E52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14C471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4F4328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E81DA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36AE14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F5F13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D6977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22208E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55FCF5E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47266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3D4FB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1050357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937061E"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Scot, Thomas</w:t>
            </w:r>
          </w:p>
        </w:tc>
        <w:tc>
          <w:tcPr>
            <w:tcW w:w="1125" w:type="dxa"/>
            <w:noWrap/>
            <w:hideMark/>
          </w:tcPr>
          <w:p w14:paraId="0EF284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Printers to the </w:t>
            </w:r>
            <w:proofErr w:type="spellStart"/>
            <w:r w:rsidRPr="003037D2">
              <w:rPr>
                <w:rFonts w:ascii="Garamond" w:hAnsi="Garamond"/>
                <w:sz w:val="20"/>
                <w:szCs w:val="20"/>
              </w:rPr>
              <w:t>Universitie</w:t>
            </w:r>
            <w:proofErr w:type="spellEnd"/>
            <w:r w:rsidRPr="003037D2">
              <w:rPr>
                <w:rFonts w:ascii="Garamond" w:hAnsi="Garamond"/>
                <w:sz w:val="20"/>
                <w:szCs w:val="20"/>
              </w:rPr>
              <w:t xml:space="preserve"> of Cambridge</w:t>
            </w:r>
          </w:p>
        </w:tc>
        <w:tc>
          <w:tcPr>
            <w:tcW w:w="918" w:type="dxa"/>
            <w:noWrap/>
            <w:hideMark/>
          </w:tcPr>
          <w:p w14:paraId="08D1963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1633</w:t>
            </w:r>
          </w:p>
        </w:tc>
        <w:tc>
          <w:tcPr>
            <w:tcW w:w="931" w:type="dxa"/>
            <w:noWrap/>
            <w:hideMark/>
          </w:tcPr>
          <w:p w14:paraId="6B7C77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21031F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Cambridge </w:t>
            </w:r>
          </w:p>
        </w:tc>
        <w:tc>
          <w:tcPr>
            <w:tcW w:w="838" w:type="dxa"/>
            <w:noWrap/>
            <w:hideMark/>
          </w:tcPr>
          <w:p w14:paraId="0FD11D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45566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3B4B0F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spellStart"/>
            <w:r w:rsidRPr="003037D2">
              <w:rPr>
                <w:rFonts w:ascii="Garamond" w:hAnsi="Garamond"/>
                <w:sz w:val="20"/>
                <w:szCs w:val="20"/>
              </w:rPr>
              <w:t>Assises</w:t>
            </w:r>
            <w:proofErr w:type="spellEnd"/>
            <w:r w:rsidRPr="003037D2">
              <w:rPr>
                <w:rFonts w:ascii="Garamond" w:hAnsi="Garamond"/>
                <w:sz w:val="20"/>
                <w:szCs w:val="20"/>
              </w:rPr>
              <w:t xml:space="preserve"> </w:t>
            </w:r>
          </w:p>
        </w:tc>
        <w:tc>
          <w:tcPr>
            <w:tcW w:w="981" w:type="dxa"/>
            <w:noWrap/>
            <w:hideMark/>
          </w:tcPr>
          <w:p w14:paraId="49ABEA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354BA1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473E6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2D5F077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1AED5F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B5469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BA2195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02063E8"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Scot, Thomas</w:t>
            </w:r>
          </w:p>
        </w:tc>
        <w:tc>
          <w:tcPr>
            <w:tcW w:w="1125" w:type="dxa"/>
            <w:noWrap/>
            <w:hideMark/>
          </w:tcPr>
          <w:p w14:paraId="25A5AC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Ralph </w:t>
            </w:r>
            <w:proofErr w:type="spellStart"/>
            <w:r w:rsidRPr="003037D2">
              <w:rPr>
                <w:rFonts w:ascii="Garamond" w:hAnsi="Garamond"/>
                <w:sz w:val="20"/>
                <w:szCs w:val="20"/>
              </w:rPr>
              <w:t>Rounthwait</w:t>
            </w:r>
            <w:proofErr w:type="spellEnd"/>
            <w:r w:rsidRPr="003037D2">
              <w:rPr>
                <w:rFonts w:ascii="Garamond" w:hAnsi="Garamond"/>
                <w:sz w:val="20"/>
                <w:szCs w:val="20"/>
              </w:rPr>
              <w:t xml:space="preserve"> </w:t>
            </w:r>
          </w:p>
        </w:tc>
        <w:tc>
          <w:tcPr>
            <w:tcW w:w="918" w:type="dxa"/>
            <w:noWrap/>
            <w:hideMark/>
          </w:tcPr>
          <w:p w14:paraId="5FCECF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1C0D55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6932B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17067B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EAA88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1F4EB8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spellStart"/>
            <w:r w:rsidRPr="003037D2">
              <w:rPr>
                <w:rFonts w:ascii="Garamond" w:hAnsi="Garamond"/>
                <w:sz w:val="20"/>
                <w:szCs w:val="20"/>
              </w:rPr>
              <w:t>Assises</w:t>
            </w:r>
            <w:proofErr w:type="spellEnd"/>
            <w:r w:rsidRPr="003037D2">
              <w:rPr>
                <w:rFonts w:ascii="Garamond" w:hAnsi="Garamond"/>
                <w:sz w:val="20"/>
                <w:szCs w:val="20"/>
              </w:rPr>
              <w:t xml:space="preserve"> </w:t>
            </w:r>
          </w:p>
        </w:tc>
        <w:tc>
          <w:tcPr>
            <w:tcW w:w="981" w:type="dxa"/>
            <w:noWrap/>
            <w:hideMark/>
          </w:tcPr>
          <w:p w14:paraId="29F5B3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1EDD4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2BF22F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0514F0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F68D39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38AB7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0E2255A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4B29F8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Scott, Thomas</w:t>
            </w:r>
          </w:p>
        </w:tc>
        <w:tc>
          <w:tcPr>
            <w:tcW w:w="1125" w:type="dxa"/>
            <w:noWrap/>
            <w:hideMark/>
          </w:tcPr>
          <w:p w14:paraId="639DF8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S.N.</w:t>
            </w:r>
          </w:p>
        </w:tc>
        <w:tc>
          <w:tcPr>
            <w:tcW w:w="918" w:type="dxa"/>
            <w:noWrap/>
            <w:hideMark/>
          </w:tcPr>
          <w:p w14:paraId="3E56CC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22E345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03E066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Holland </w:t>
            </w:r>
          </w:p>
        </w:tc>
        <w:tc>
          <w:tcPr>
            <w:tcW w:w="838" w:type="dxa"/>
            <w:noWrap/>
            <w:hideMark/>
          </w:tcPr>
          <w:p w14:paraId="52D374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52CF4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Town</w:t>
            </w:r>
          </w:p>
        </w:tc>
        <w:tc>
          <w:tcPr>
            <w:tcW w:w="1118" w:type="dxa"/>
            <w:noWrap/>
            <w:hideMark/>
          </w:tcPr>
          <w:p w14:paraId="789AF1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spellStart"/>
            <w:r w:rsidRPr="003037D2">
              <w:rPr>
                <w:rFonts w:ascii="Garamond" w:hAnsi="Garamond"/>
                <w:sz w:val="20"/>
                <w:szCs w:val="20"/>
              </w:rPr>
              <w:t>Assises</w:t>
            </w:r>
            <w:proofErr w:type="spellEnd"/>
            <w:r w:rsidRPr="003037D2">
              <w:rPr>
                <w:rFonts w:ascii="Garamond" w:hAnsi="Garamond"/>
                <w:sz w:val="20"/>
                <w:szCs w:val="20"/>
              </w:rPr>
              <w:t xml:space="preserve"> </w:t>
            </w:r>
          </w:p>
        </w:tc>
        <w:tc>
          <w:tcPr>
            <w:tcW w:w="981" w:type="dxa"/>
            <w:noWrap/>
            <w:hideMark/>
          </w:tcPr>
          <w:p w14:paraId="6B1DB2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D463C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A79B5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Year </w:t>
            </w:r>
          </w:p>
        </w:tc>
        <w:tc>
          <w:tcPr>
            <w:tcW w:w="965" w:type="dxa"/>
            <w:noWrap/>
            <w:hideMark/>
          </w:tcPr>
          <w:p w14:paraId="6A3026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43561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EE339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30E02FC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63D5D5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Sedgwick, Obadiah </w:t>
            </w:r>
          </w:p>
        </w:tc>
        <w:tc>
          <w:tcPr>
            <w:tcW w:w="1125" w:type="dxa"/>
            <w:noWrap/>
            <w:hideMark/>
          </w:tcPr>
          <w:p w14:paraId="0B335C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Samuel Gellibrand </w:t>
            </w:r>
          </w:p>
        </w:tc>
        <w:tc>
          <w:tcPr>
            <w:tcW w:w="918" w:type="dxa"/>
            <w:noWrap/>
            <w:hideMark/>
          </w:tcPr>
          <w:p w14:paraId="4C7FD2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5EBC38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5DF77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8F22F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E1ECF5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House of Commons </w:t>
            </w:r>
          </w:p>
        </w:tc>
        <w:tc>
          <w:tcPr>
            <w:tcW w:w="1118" w:type="dxa"/>
            <w:noWrap/>
            <w:hideMark/>
          </w:tcPr>
          <w:p w14:paraId="1F05EA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11016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139FE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8E1EA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1DF48A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fast </w:t>
            </w:r>
          </w:p>
        </w:tc>
        <w:tc>
          <w:tcPr>
            <w:tcW w:w="1093" w:type="dxa"/>
            <w:noWrap/>
            <w:hideMark/>
          </w:tcPr>
          <w:p w14:paraId="4980644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D94CF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121972D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394E6F7"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Sedgwick, Obadiah </w:t>
            </w:r>
          </w:p>
        </w:tc>
        <w:tc>
          <w:tcPr>
            <w:tcW w:w="1125" w:type="dxa"/>
            <w:noWrap/>
            <w:hideMark/>
          </w:tcPr>
          <w:p w14:paraId="226D62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w:t>
            </w:r>
            <w:proofErr w:type="spellStart"/>
            <w:r w:rsidRPr="003037D2">
              <w:rPr>
                <w:rFonts w:ascii="Garamond" w:hAnsi="Garamond"/>
                <w:sz w:val="20"/>
                <w:szCs w:val="20"/>
              </w:rPr>
              <w:t>Nicholes</w:t>
            </w:r>
            <w:proofErr w:type="spellEnd"/>
            <w:r w:rsidRPr="003037D2">
              <w:rPr>
                <w:rFonts w:ascii="Garamond" w:hAnsi="Garamond"/>
                <w:sz w:val="20"/>
                <w:szCs w:val="20"/>
              </w:rPr>
              <w:t xml:space="preserve"> </w:t>
            </w:r>
          </w:p>
        </w:tc>
        <w:tc>
          <w:tcPr>
            <w:tcW w:w="918" w:type="dxa"/>
            <w:noWrap/>
            <w:hideMark/>
          </w:tcPr>
          <w:p w14:paraId="595A62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1639</w:t>
            </w:r>
          </w:p>
        </w:tc>
        <w:tc>
          <w:tcPr>
            <w:tcW w:w="931" w:type="dxa"/>
            <w:noWrap/>
            <w:hideMark/>
          </w:tcPr>
          <w:p w14:paraId="7B6EAE4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020EB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A06DE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249494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731969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artillery garden </w:t>
            </w:r>
          </w:p>
        </w:tc>
        <w:tc>
          <w:tcPr>
            <w:tcW w:w="981" w:type="dxa"/>
            <w:noWrap/>
            <w:hideMark/>
          </w:tcPr>
          <w:p w14:paraId="30FD92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AE92F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2ECE6C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033B14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A23E9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EBADF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0A2203F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557AF3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Sedgwick, William </w:t>
            </w:r>
          </w:p>
        </w:tc>
        <w:tc>
          <w:tcPr>
            <w:tcW w:w="1125" w:type="dxa"/>
            <w:noWrap/>
            <w:hideMark/>
          </w:tcPr>
          <w:p w14:paraId="3FE8EC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Bellamie</w:t>
            </w:r>
            <w:proofErr w:type="spellEnd"/>
          </w:p>
        </w:tc>
        <w:tc>
          <w:tcPr>
            <w:tcW w:w="918" w:type="dxa"/>
            <w:noWrap/>
            <w:hideMark/>
          </w:tcPr>
          <w:p w14:paraId="65B775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4A19C1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592B217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6AED07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B7FDB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House of Commons</w:t>
            </w:r>
          </w:p>
        </w:tc>
        <w:tc>
          <w:tcPr>
            <w:tcW w:w="1118" w:type="dxa"/>
            <w:noWrap/>
            <w:hideMark/>
          </w:tcPr>
          <w:p w14:paraId="530B93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E2565A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BB938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BC772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fast </w:t>
            </w:r>
          </w:p>
        </w:tc>
        <w:tc>
          <w:tcPr>
            <w:tcW w:w="965" w:type="dxa"/>
            <w:noWrap/>
            <w:hideMark/>
          </w:tcPr>
          <w:p w14:paraId="7D8F71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2FCE32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AA294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0C97B26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5FFA95F"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Sheldon, Richard </w:t>
            </w:r>
          </w:p>
        </w:tc>
        <w:tc>
          <w:tcPr>
            <w:tcW w:w="1125" w:type="dxa"/>
            <w:noWrap/>
            <w:hideMark/>
          </w:tcPr>
          <w:p w14:paraId="4C117E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spellStart"/>
            <w:r w:rsidRPr="003037D2">
              <w:rPr>
                <w:rFonts w:ascii="Garamond" w:hAnsi="Garamond"/>
                <w:sz w:val="20"/>
                <w:szCs w:val="20"/>
              </w:rPr>
              <w:t>Humfrey</w:t>
            </w:r>
            <w:proofErr w:type="spellEnd"/>
            <w:r w:rsidRPr="003037D2">
              <w:rPr>
                <w:rFonts w:ascii="Garamond" w:hAnsi="Garamond"/>
                <w:sz w:val="20"/>
                <w:szCs w:val="20"/>
              </w:rPr>
              <w:t xml:space="preserve"> </w:t>
            </w:r>
            <w:proofErr w:type="spellStart"/>
            <w:r w:rsidRPr="003037D2">
              <w:rPr>
                <w:rFonts w:ascii="Garamond" w:hAnsi="Garamond"/>
                <w:sz w:val="20"/>
                <w:szCs w:val="20"/>
              </w:rPr>
              <w:t>Lownes</w:t>
            </w:r>
            <w:proofErr w:type="spellEnd"/>
          </w:p>
        </w:tc>
        <w:tc>
          <w:tcPr>
            <w:tcW w:w="918" w:type="dxa"/>
            <w:noWrap/>
            <w:hideMark/>
          </w:tcPr>
          <w:p w14:paraId="563477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35E00B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F2EBD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F203D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42E0BF4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Court - Wanstead</w:t>
            </w:r>
          </w:p>
        </w:tc>
        <w:tc>
          <w:tcPr>
            <w:tcW w:w="1118" w:type="dxa"/>
            <w:noWrap/>
            <w:hideMark/>
          </w:tcPr>
          <w:p w14:paraId="43171AC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86B14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EF181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2911" w:type="dxa"/>
            <w:gridSpan w:val="3"/>
            <w:noWrap/>
            <w:hideMark/>
          </w:tcPr>
          <w:p w14:paraId="41F74C1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given several years ago, and (upon request) preached else where </w:t>
            </w:r>
          </w:p>
        </w:tc>
        <w:tc>
          <w:tcPr>
            <w:tcW w:w="963" w:type="dxa"/>
            <w:noWrap/>
            <w:hideMark/>
          </w:tcPr>
          <w:p w14:paraId="472FB7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206AE82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2A30FED"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Sheldon, Richard </w:t>
            </w:r>
          </w:p>
        </w:tc>
        <w:tc>
          <w:tcPr>
            <w:tcW w:w="1125" w:type="dxa"/>
            <w:noWrap/>
            <w:hideMark/>
          </w:tcPr>
          <w:p w14:paraId="34A6C5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William Jones </w:t>
            </w:r>
          </w:p>
        </w:tc>
        <w:tc>
          <w:tcPr>
            <w:tcW w:w="918" w:type="dxa"/>
            <w:noWrap/>
            <w:hideMark/>
          </w:tcPr>
          <w:p w14:paraId="7CE14D6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1625</w:t>
            </w:r>
          </w:p>
        </w:tc>
        <w:tc>
          <w:tcPr>
            <w:tcW w:w="931" w:type="dxa"/>
            <w:noWrap/>
            <w:hideMark/>
          </w:tcPr>
          <w:p w14:paraId="6A6404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A1500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32B56E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7564E8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3B45B7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C9EA9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DC877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853" w:type="dxa"/>
            <w:noWrap/>
            <w:hideMark/>
          </w:tcPr>
          <w:p w14:paraId="3E965A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29239E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69613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683FC1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428034D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0590C4A"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Shute, Nathaniel </w:t>
            </w:r>
          </w:p>
        </w:tc>
        <w:tc>
          <w:tcPr>
            <w:tcW w:w="1125" w:type="dxa"/>
            <w:noWrap/>
            <w:hideMark/>
          </w:tcPr>
          <w:p w14:paraId="333950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Samuel Man </w:t>
            </w:r>
          </w:p>
        </w:tc>
        <w:tc>
          <w:tcPr>
            <w:tcW w:w="918" w:type="dxa"/>
            <w:noWrap/>
            <w:hideMark/>
          </w:tcPr>
          <w:p w14:paraId="38DF3FC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679E1F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81C7E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3828A6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0A7638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Mercer's chapel </w:t>
            </w:r>
          </w:p>
        </w:tc>
        <w:tc>
          <w:tcPr>
            <w:tcW w:w="1118" w:type="dxa"/>
            <w:noWrap/>
            <w:hideMark/>
          </w:tcPr>
          <w:p w14:paraId="74541E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A2EB6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D167B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29571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6A1DE6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18319D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02DB2A8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B77F4BF"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Sibbes</w:t>
            </w:r>
            <w:proofErr w:type="spellEnd"/>
            <w:r w:rsidRPr="003037D2">
              <w:rPr>
                <w:rFonts w:ascii="Garamond" w:hAnsi="Garamond"/>
                <w:b w:val="0"/>
                <w:bCs w:val="0"/>
                <w:sz w:val="20"/>
                <w:szCs w:val="20"/>
              </w:rPr>
              <w:t xml:space="preserve">, Richard </w:t>
            </w:r>
          </w:p>
        </w:tc>
        <w:tc>
          <w:tcPr>
            <w:tcW w:w="1125" w:type="dxa"/>
            <w:noWrap/>
            <w:hideMark/>
          </w:tcPr>
          <w:p w14:paraId="53F518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 </w:t>
            </w:r>
            <w:proofErr w:type="spellStart"/>
            <w:r w:rsidRPr="003037D2">
              <w:rPr>
                <w:rFonts w:ascii="Garamond" w:hAnsi="Garamond"/>
                <w:sz w:val="20"/>
                <w:szCs w:val="20"/>
              </w:rPr>
              <w:t>Dawlman</w:t>
            </w:r>
            <w:proofErr w:type="spellEnd"/>
            <w:r w:rsidRPr="003037D2">
              <w:rPr>
                <w:rFonts w:ascii="Garamond" w:hAnsi="Garamond"/>
                <w:sz w:val="20"/>
                <w:szCs w:val="20"/>
              </w:rPr>
              <w:t xml:space="preserve"> </w:t>
            </w:r>
          </w:p>
        </w:tc>
        <w:tc>
          <w:tcPr>
            <w:tcW w:w="918" w:type="dxa"/>
            <w:noWrap/>
            <w:hideMark/>
          </w:tcPr>
          <w:p w14:paraId="7CBFB3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1634</w:t>
            </w:r>
          </w:p>
        </w:tc>
        <w:tc>
          <w:tcPr>
            <w:tcW w:w="931" w:type="dxa"/>
            <w:noWrap/>
            <w:hideMark/>
          </w:tcPr>
          <w:p w14:paraId="615B16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035" w:type="dxa"/>
            <w:noWrap/>
            <w:hideMark/>
          </w:tcPr>
          <w:p w14:paraId="7E6B01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A202F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6FCCAA8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Merce's Chapel </w:t>
            </w:r>
          </w:p>
        </w:tc>
        <w:tc>
          <w:tcPr>
            <w:tcW w:w="1118" w:type="dxa"/>
            <w:noWrap/>
            <w:hideMark/>
          </w:tcPr>
          <w:p w14:paraId="19B7F9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981" w:type="dxa"/>
            <w:noWrap/>
            <w:hideMark/>
          </w:tcPr>
          <w:p w14:paraId="41E118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380B4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2B94D3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078346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523629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250920B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CFBD97C"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Sibbes</w:t>
            </w:r>
            <w:proofErr w:type="spellEnd"/>
            <w:r w:rsidRPr="003037D2">
              <w:rPr>
                <w:rFonts w:ascii="Garamond" w:hAnsi="Garamond"/>
                <w:b w:val="0"/>
                <w:bCs w:val="0"/>
                <w:sz w:val="20"/>
                <w:szCs w:val="20"/>
              </w:rPr>
              <w:t xml:space="preserve">, Richard </w:t>
            </w:r>
          </w:p>
        </w:tc>
        <w:tc>
          <w:tcPr>
            <w:tcW w:w="1125" w:type="dxa"/>
            <w:noWrap/>
            <w:hideMark/>
          </w:tcPr>
          <w:p w14:paraId="54D32C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Harper </w:t>
            </w:r>
          </w:p>
        </w:tc>
        <w:tc>
          <w:tcPr>
            <w:tcW w:w="918" w:type="dxa"/>
            <w:noWrap/>
            <w:hideMark/>
          </w:tcPr>
          <w:p w14:paraId="4459AC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1636</w:t>
            </w:r>
          </w:p>
        </w:tc>
        <w:tc>
          <w:tcPr>
            <w:tcW w:w="931" w:type="dxa"/>
            <w:noWrap/>
            <w:hideMark/>
          </w:tcPr>
          <w:p w14:paraId="3F4507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035" w:type="dxa"/>
            <w:noWrap/>
            <w:hideMark/>
          </w:tcPr>
          <w:p w14:paraId="564683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A3B14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778AB7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Greys Inn </w:t>
            </w:r>
          </w:p>
        </w:tc>
        <w:tc>
          <w:tcPr>
            <w:tcW w:w="1118" w:type="dxa"/>
            <w:noWrap/>
            <w:hideMark/>
          </w:tcPr>
          <w:p w14:paraId="1FBAA53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66021B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0FB40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01F1DC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36B646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9B67A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8796A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02C7072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A388237"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Sibbes</w:t>
            </w:r>
            <w:proofErr w:type="spellEnd"/>
            <w:r w:rsidRPr="003037D2">
              <w:rPr>
                <w:rFonts w:ascii="Garamond" w:hAnsi="Garamond"/>
                <w:b w:val="0"/>
                <w:bCs w:val="0"/>
                <w:sz w:val="20"/>
                <w:szCs w:val="20"/>
              </w:rPr>
              <w:t xml:space="preserve">, Richard </w:t>
            </w:r>
          </w:p>
        </w:tc>
        <w:tc>
          <w:tcPr>
            <w:tcW w:w="1125" w:type="dxa"/>
            <w:noWrap/>
            <w:hideMark/>
          </w:tcPr>
          <w:p w14:paraId="14E856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Lawrence Chapman </w:t>
            </w:r>
          </w:p>
        </w:tc>
        <w:tc>
          <w:tcPr>
            <w:tcW w:w="918" w:type="dxa"/>
            <w:noWrap/>
            <w:hideMark/>
          </w:tcPr>
          <w:p w14:paraId="30414F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1638</w:t>
            </w:r>
          </w:p>
        </w:tc>
        <w:tc>
          <w:tcPr>
            <w:tcW w:w="931" w:type="dxa"/>
            <w:noWrap/>
            <w:hideMark/>
          </w:tcPr>
          <w:p w14:paraId="548D3C4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035" w:type="dxa"/>
            <w:noWrap/>
            <w:hideMark/>
          </w:tcPr>
          <w:p w14:paraId="494F60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53C3B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72D357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Greys Inn </w:t>
            </w:r>
          </w:p>
        </w:tc>
        <w:tc>
          <w:tcPr>
            <w:tcW w:w="1118" w:type="dxa"/>
            <w:noWrap/>
            <w:hideMark/>
          </w:tcPr>
          <w:p w14:paraId="30DFEE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9DB8C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69A5F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3B5118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311CB3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5189A6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BE8F3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6DDF60C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86A4746"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Skinner, Robert </w:t>
            </w:r>
          </w:p>
        </w:tc>
        <w:tc>
          <w:tcPr>
            <w:tcW w:w="1125" w:type="dxa"/>
            <w:noWrap/>
            <w:hideMark/>
          </w:tcPr>
          <w:p w14:paraId="103D15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Andrew Hebb </w:t>
            </w:r>
          </w:p>
        </w:tc>
        <w:tc>
          <w:tcPr>
            <w:tcW w:w="918" w:type="dxa"/>
            <w:noWrap/>
            <w:hideMark/>
          </w:tcPr>
          <w:p w14:paraId="1275AF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1634</w:t>
            </w:r>
          </w:p>
        </w:tc>
        <w:tc>
          <w:tcPr>
            <w:tcW w:w="931" w:type="dxa"/>
            <w:noWrap/>
            <w:hideMark/>
          </w:tcPr>
          <w:p w14:paraId="47D960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796029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91DE44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ACBB9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 Whitehall </w:t>
            </w:r>
          </w:p>
        </w:tc>
        <w:tc>
          <w:tcPr>
            <w:tcW w:w="1118" w:type="dxa"/>
            <w:noWrap/>
            <w:hideMark/>
          </w:tcPr>
          <w:p w14:paraId="448653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02FF0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A1925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31BF6B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1789E2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FB702E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AF681D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31F61ED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D91A0E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Smart, Peter </w:t>
            </w:r>
          </w:p>
        </w:tc>
        <w:tc>
          <w:tcPr>
            <w:tcW w:w="1125" w:type="dxa"/>
            <w:noWrap/>
            <w:hideMark/>
          </w:tcPr>
          <w:p w14:paraId="46D728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B. Alsop </w:t>
            </w:r>
          </w:p>
        </w:tc>
        <w:tc>
          <w:tcPr>
            <w:tcW w:w="918" w:type="dxa"/>
            <w:noWrap/>
            <w:hideMark/>
          </w:tcPr>
          <w:p w14:paraId="4734858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1640</w:t>
            </w:r>
          </w:p>
        </w:tc>
        <w:tc>
          <w:tcPr>
            <w:tcW w:w="931" w:type="dxa"/>
            <w:noWrap/>
            <w:hideMark/>
          </w:tcPr>
          <w:p w14:paraId="44F43F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92869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E6CF0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444955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Cathedral </w:t>
            </w:r>
          </w:p>
        </w:tc>
        <w:tc>
          <w:tcPr>
            <w:tcW w:w="1118" w:type="dxa"/>
            <w:noWrap/>
            <w:hideMark/>
          </w:tcPr>
          <w:p w14:paraId="4C5024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98D2B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7DA5B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0EEB2BF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6F01B5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F9396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C09E0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71B8198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A09C22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Smart, Peter </w:t>
            </w:r>
          </w:p>
        </w:tc>
        <w:tc>
          <w:tcPr>
            <w:tcW w:w="1125" w:type="dxa"/>
            <w:noWrap/>
            <w:hideMark/>
          </w:tcPr>
          <w:p w14:paraId="7369ED7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18" w:type="dxa"/>
            <w:noWrap/>
            <w:hideMark/>
          </w:tcPr>
          <w:p w14:paraId="41C6E6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1628</w:t>
            </w:r>
          </w:p>
        </w:tc>
        <w:tc>
          <w:tcPr>
            <w:tcW w:w="931" w:type="dxa"/>
            <w:noWrap/>
            <w:hideMark/>
          </w:tcPr>
          <w:p w14:paraId="068131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560EE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29EFB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814402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Cathedral </w:t>
            </w:r>
          </w:p>
        </w:tc>
        <w:tc>
          <w:tcPr>
            <w:tcW w:w="1118" w:type="dxa"/>
            <w:noWrap/>
            <w:hideMark/>
          </w:tcPr>
          <w:p w14:paraId="3BEF0A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C7FA3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7BA38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2E1727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495323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586DD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1EED0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3E0F854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EB7B6F1"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Smart, Peter </w:t>
            </w:r>
          </w:p>
        </w:tc>
        <w:tc>
          <w:tcPr>
            <w:tcW w:w="1125" w:type="dxa"/>
            <w:noWrap/>
            <w:hideMark/>
          </w:tcPr>
          <w:p w14:paraId="28F21B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Charteris </w:t>
            </w:r>
          </w:p>
        </w:tc>
        <w:tc>
          <w:tcPr>
            <w:tcW w:w="918" w:type="dxa"/>
            <w:noWrap/>
            <w:hideMark/>
          </w:tcPr>
          <w:p w14:paraId="6B0BA4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1628</w:t>
            </w:r>
          </w:p>
        </w:tc>
        <w:tc>
          <w:tcPr>
            <w:tcW w:w="931" w:type="dxa"/>
            <w:noWrap/>
            <w:hideMark/>
          </w:tcPr>
          <w:p w14:paraId="38C26F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64A36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Edinburgh </w:t>
            </w:r>
          </w:p>
        </w:tc>
        <w:tc>
          <w:tcPr>
            <w:tcW w:w="838" w:type="dxa"/>
            <w:noWrap/>
            <w:hideMark/>
          </w:tcPr>
          <w:p w14:paraId="38177F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7895FF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Cathedral </w:t>
            </w:r>
          </w:p>
        </w:tc>
        <w:tc>
          <w:tcPr>
            <w:tcW w:w="1118" w:type="dxa"/>
            <w:noWrap/>
            <w:hideMark/>
          </w:tcPr>
          <w:p w14:paraId="2D6B3B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5CD51F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0CEDF7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0B5F33B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5E50C84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C1F43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667901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r>
      <w:tr w:rsidR="00A721D6" w:rsidRPr="003037D2" w14:paraId="07A81F1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4786368"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Smith, Samuel </w:t>
            </w:r>
          </w:p>
        </w:tc>
        <w:tc>
          <w:tcPr>
            <w:tcW w:w="1125" w:type="dxa"/>
            <w:noWrap/>
            <w:hideMark/>
          </w:tcPr>
          <w:p w14:paraId="498A879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Nicholas </w:t>
            </w:r>
            <w:proofErr w:type="spellStart"/>
            <w:r w:rsidRPr="003037D2">
              <w:rPr>
                <w:rFonts w:ascii="Garamond" w:hAnsi="Garamond"/>
                <w:sz w:val="20"/>
                <w:szCs w:val="20"/>
              </w:rPr>
              <w:t>Okes</w:t>
            </w:r>
            <w:proofErr w:type="spellEnd"/>
            <w:r w:rsidRPr="003037D2">
              <w:rPr>
                <w:rFonts w:ascii="Garamond" w:hAnsi="Garamond"/>
                <w:sz w:val="20"/>
                <w:szCs w:val="20"/>
              </w:rPr>
              <w:t xml:space="preserve"> </w:t>
            </w:r>
          </w:p>
        </w:tc>
        <w:tc>
          <w:tcPr>
            <w:tcW w:w="918" w:type="dxa"/>
            <w:noWrap/>
            <w:hideMark/>
          </w:tcPr>
          <w:p w14:paraId="62807A9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75EC62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88AB7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CBA8A2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2B5270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14AA2E8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FC7EF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44DF1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0D4072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7C69D6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03524E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618B63A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7BCC484"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Spencer, Benjamin </w:t>
            </w:r>
          </w:p>
        </w:tc>
        <w:tc>
          <w:tcPr>
            <w:tcW w:w="1125" w:type="dxa"/>
            <w:noWrap/>
            <w:hideMark/>
          </w:tcPr>
          <w:p w14:paraId="7FCBD7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w:t>
            </w:r>
            <w:proofErr w:type="spellStart"/>
            <w:r w:rsidRPr="003037D2">
              <w:rPr>
                <w:rFonts w:ascii="Garamond" w:hAnsi="Garamond"/>
                <w:sz w:val="20"/>
                <w:szCs w:val="20"/>
              </w:rPr>
              <w:t>Paybody</w:t>
            </w:r>
            <w:proofErr w:type="spellEnd"/>
            <w:r w:rsidRPr="003037D2">
              <w:rPr>
                <w:rFonts w:ascii="Garamond" w:hAnsi="Garamond"/>
                <w:sz w:val="20"/>
                <w:szCs w:val="20"/>
              </w:rPr>
              <w:t xml:space="preserve"> </w:t>
            </w:r>
          </w:p>
        </w:tc>
        <w:tc>
          <w:tcPr>
            <w:tcW w:w="918" w:type="dxa"/>
            <w:noWrap/>
            <w:hideMark/>
          </w:tcPr>
          <w:p w14:paraId="4A1D1F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5A41BE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732C3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London</w:t>
            </w:r>
          </w:p>
        </w:tc>
        <w:tc>
          <w:tcPr>
            <w:tcW w:w="838" w:type="dxa"/>
            <w:noWrap/>
            <w:hideMark/>
          </w:tcPr>
          <w:p w14:paraId="618D3F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2CBB5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St. Paul's </w:t>
            </w:r>
          </w:p>
        </w:tc>
        <w:tc>
          <w:tcPr>
            <w:tcW w:w="1118" w:type="dxa"/>
            <w:noWrap/>
            <w:hideMark/>
          </w:tcPr>
          <w:p w14:paraId="5C0583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A86C4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F284B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47EA0E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792E67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44F32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D57EF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r>
      <w:tr w:rsidR="00A721D6" w:rsidRPr="003037D2" w14:paraId="3EDD803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B7BD8F6"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Spencer, John, Groom </w:t>
            </w:r>
          </w:p>
        </w:tc>
        <w:tc>
          <w:tcPr>
            <w:tcW w:w="1125" w:type="dxa"/>
            <w:noWrap/>
            <w:hideMark/>
          </w:tcPr>
          <w:p w14:paraId="193F2B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S.N.</w:t>
            </w:r>
          </w:p>
        </w:tc>
        <w:tc>
          <w:tcPr>
            <w:tcW w:w="918" w:type="dxa"/>
            <w:noWrap/>
            <w:hideMark/>
          </w:tcPr>
          <w:p w14:paraId="2775FC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745B79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45E35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D3EF2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52FBA69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1B3336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16C308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32E58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33FBD08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5E7BF0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fast </w:t>
            </w:r>
          </w:p>
        </w:tc>
        <w:tc>
          <w:tcPr>
            <w:tcW w:w="1093" w:type="dxa"/>
            <w:noWrap/>
            <w:hideMark/>
          </w:tcPr>
          <w:p w14:paraId="53BFE18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33C64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693EED7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28C05C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Squire, John </w:t>
            </w:r>
          </w:p>
        </w:tc>
        <w:tc>
          <w:tcPr>
            <w:tcW w:w="1125" w:type="dxa"/>
            <w:noWrap/>
            <w:hideMark/>
          </w:tcPr>
          <w:p w14:paraId="60C6D8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Piper </w:t>
            </w:r>
          </w:p>
        </w:tc>
        <w:tc>
          <w:tcPr>
            <w:tcW w:w="918" w:type="dxa"/>
            <w:noWrap/>
            <w:hideMark/>
          </w:tcPr>
          <w:p w14:paraId="475A162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1621</w:t>
            </w:r>
          </w:p>
        </w:tc>
        <w:tc>
          <w:tcPr>
            <w:tcW w:w="931" w:type="dxa"/>
            <w:noWrap/>
            <w:hideMark/>
          </w:tcPr>
          <w:p w14:paraId="6610A3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76E43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C15A0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74A9CA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New-Church-Yard </w:t>
            </w:r>
          </w:p>
        </w:tc>
        <w:tc>
          <w:tcPr>
            <w:tcW w:w="1118" w:type="dxa"/>
            <w:noWrap/>
            <w:hideMark/>
          </w:tcPr>
          <w:p w14:paraId="30DD5BE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71C4B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5378BF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818" w:type="dxa"/>
            <w:gridSpan w:val="2"/>
            <w:noWrap/>
            <w:hideMark/>
          </w:tcPr>
          <w:p w14:paraId="5A504E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w:t>
            </w:r>
          </w:p>
        </w:tc>
        <w:tc>
          <w:tcPr>
            <w:tcW w:w="1093" w:type="dxa"/>
            <w:noWrap/>
            <w:hideMark/>
          </w:tcPr>
          <w:p w14:paraId="55E940A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0618B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7427C90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E29660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Squire, John </w:t>
            </w:r>
          </w:p>
        </w:tc>
        <w:tc>
          <w:tcPr>
            <w:tcW w:w="1125" w:type="dxa"/>
            <w:noWrap/>
            <w:hideMark/>
          </w:tcPr>
          <w:p w14:paraId="053B9B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Nathanael Newberry </w:t>
            </w:r>
          </w:p>
        </w:tc>
        <w:tc>
          <w:tcPr>
            <w:tcW w:w="918" w:type="dxa"/>
            <w:noWrap/>
            <w:hideMark/>
          </w:tcPr>
          <w:p w14:paraId="5ACCDE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00819F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7CC51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45554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89583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3AD34A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6EFF3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E65BB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2FDEA46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0B5616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00ACFB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7416E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729D17F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557205D"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Squire, John </w:t>
            </w:r>
          </w:p>
        </w:tc>
        <w:tc>
          <w:tcPr>
            <w:tcW w:w="1125" w:type="dxa"/>
            <w:noWrap/>
            <w:hideMark/>
          </w:tcPr>
          <w:p w14:paraId="6A816E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Clark </w:t>
            </w:r>
          </w:p>
        </w:tc>
        <w:tc>
          <w:tcPr>
            <w:tcW w:w="918" w:type="dxa"/>
            <w:noWrap/>
            <w:hideMark/>
          </w:tcPr>
          <w:p w14:paraId="028168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1637</w:t>
            </w:r>
          </w:p>
        </w:tc>
        <w:tc>
          <w:tcPr>
            <w:tcW w:w="931" w:type="dxa"/>
            <w:noWrap/>
            <w:hideMark/>
          </w:tcPr>
          <w:p w14:paraId="397FBC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45E99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6C3436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2A187C3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St. Paul's </w:t>
            </w:r>
          </w:p>
        </w:tc>
        <w:tc>
          <w:tcPr>
            <w:tcW w:w="1118" w:type="dxa"/>
            <w:noWrap/>
            <w:hideMark/>
          </w:tcPr>
          <w:p w14:paraId="08621F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76408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39B8CE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517873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14EDEE7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Plague </w:t>
            </w:r>
          </w:p>
        </w:tc>
        <w:tc>
          <w:tcPr>
            <w:tcW w:w="1093" w:type="dxa"/>
            <w:noWrap/>
            <w:hideMark/>
          </w:tcPr>
          <w:p w14:paraId="06E2B3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2131F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1663F0D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FAC36D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Squire, John </w:t>
            </w:r>
          </w:p>
        </w:tc>
        <w:tc>
          <w:tcPr>
            <w:tcW w:w="1125" w:type="dxa"/>
            <w:noWrap/>
            <w:hideMark/>
          </w:tcPr>
          <w:p w14:paraId="5CBFC7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spellStart"/>
            <w:r w:rsidRPr="003037D2">
              <w:rPr>
                <w:rFonts w:ascii="Garamond" w:hAnsi="Garamond"/>
                <w:sz w:val="20"/>
                <w:szCs w:val="20"/>
              </w:rPr>
              <w:t>Humfrey</w:t>
            </w:r>
            <w:proofErr w:type="spellEnd"/>
            <w:r w:rsidRPr="003037D2">
              <w:rPr>
                <w:rFonts w:ascii="Garamond" w:hAnsi="Garamond"/>
                <w:sz w:val="20"/>
                <w:szCs w:val="20"/>
              </w:rPr>
              <w:t xml:space="preserve"> Blunden </w:t>
            </w:r>
          </w:p>
        </w:tc>
        <w:tc>
          <w:tcPr>
            <w:tcW w:w="918" w:type="dxa"/>
            <w:noWrap/>
            <w:hideMark/>
          </w:tcPr>
          <w:p w14:paraId="445BB9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1637</w:t>
            </w:r>
          </w:p>
        </w:tc>
        <w:tc>
          <w:tcPr>
            <w:tcW w:w="931" w:type="dxa"/>
            <w:noWrap/>
            <w:hideMark/>
          </w:tcPr>
          <w:p w14:paraId="0DE816D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035" w:type="dxa"/>
            <w:noWrap/>
            <w:hideMark/>
          </w:tcPr>
          <w:p w14:paraId="1BC086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3FE55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F1E5E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Spittle </w:t>
            </w:r>
          </w:p>
        </w:tc>
        <w:tc>
          <w:tcPr>
            <w:tcW w:w="1118" w:type="dxa"/>
            <w:noWrap/>
            <w:hideMark/>
          </w:tcPr>
          <w:p w14:paraId="1B0BF8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St. Paul's </w:t>
            </w:r>
          </w:p>
        </w:tc>
        <w:tc>
          <w:tcPr>
            <w:tcW w:w="981" w:type="dxa"/>
            <w:noWrap/>
            <w:hideMark/>
          </w:tcPr>
          <w:p w14:paraId="35384CA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BE0E6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0DF1DC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12945C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609C63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AAD53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2BC9B5C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31B9B69"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Stinton</w:t>
            </w:r>
            <w:proofErr w:type="spellEnd"/>
            <w:r w:rsidRPr="003037D2">
              <w:rPr>
                <w:rFonts w:ascii="Garamond" w:hAnsi="Garamond"/>
                <w:b w:val="0"/>
                <w:bCs w:val="0"/>
                <w:sz w:val="20"/>
                <w:szCs w:val="20"/>
              </w:rPr>
              <w:t xml:space="preserve">, George </w:t>
            </w:r>
          </w:p>
        </w:tc>
        <w:tc>
          <w:tcPr>
            <w:tcW w:w="1125" w:type="dxa"/>
            <w:noWrap/>
            <w:hideMark/>
          </w:tcPr>
          <w:p w14:paraId="2525D8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H.C. </w:t>
            </w:r>
          </w:p>
        </w:tc>
        <w:tc>
          <w:tcPr>
            <w:tcW w:w="918" w:type="dxa"/>
            <w:noWrap/>
            <w:hideMark/>
          </w:tcPr>
          <w:p w14:paraId="37E2DF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1637</w:t>
            </w:r>
          </w:p>
        </w:tc>
        <w:tc>
          <w:tcPr>
            <w:tcW w:w="931" w:type="dxa"/>
            <w:noWrap/>
            <w:hideMark/>
          </w:tcPr>
          <w:p w14:paraId="159EA7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28A01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spellStart"/>
            <w:r w:rsidRPr="003037D2">
              <w:rPr>
                <w:rFonts w:ascii="Garamond" w:hAnsi="Garamond"/>
                <w:sz w:val="20"/>
                <w:szCs w:val="20"/>
              </w:rPr>
              <w:t>Lodnon</w:t>
            </w:r>
            <w:proofErr w:type="spellEnd"/>
            <w:r w:rsidRPr="003037D2">
              <w:rPr>
                <w:rFonts w:ascii="Garamond" w:hAnsi="Garamond"/>
                <w:sz w:val="20"/>
                <w:szCs w:val="20"/>
              </w:rPr>
              <w:t xml:space="preserve"> </w:t>
            </w:r>
          </w:p>
        </w:tc>
        <w:tc>
          <w:tcPr>
            <w:tcW w:w="838" w:type="dxa"/>
            <w:noWrap/>
            <w:hideMark/>
          </w:tcPr>
          <w:p w14:paraId="0375C8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589351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Cathedral </w:t>
            </w:r>
          </w:p>
        </w:tc>
        <w:tc>
          <w:tcPr>
            <w:tcW w:w="1118" w:type="dxa"/>
            <w:noWrap/>
            <w:hideMark/>
          </w:tcPr>
          <w:p w14:paraId="26A2E17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1AF54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4E4A02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08576AF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1CAE83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Plague </w:t>
            </w:r>
          </w:p>
        </w:tc>
        <w:tc>
          <w:tcPr>
            <w:tcW w:w="1093" w:type="dxa"/>
            <w:noWrap/>
            <w:hideMark/>
          </w:tcPr>
          <w:p w14:paraId="6DF4F1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8E81D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56C183E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45040A7"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Stone, William </w:t>
            </w:r>
          </w:p>
        </w:tc>
        <w:tc>
          <w:tcPr>
            <w:tcW w:w="1125" w:type="dxa"/>
            <w:noWrap/>
            <w:hideMark/>
          </w:tcPr>
          <w:p w14:paraId="45CD35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William </w:t>
            </w:r>
            <w:proofErr w:type="spellStart"/>
            <w:r w:rsidRPr="003037D2">
              <w:rPr>
                <w:rFonts w:ascii="Garamond" w:hAnsi="Garamond"/>
                <w:sz w:val="20"/>
                <w:szCs w:val="20"/>
              </w:rPr>
              <w:t>Sheffard</w:t>
            </w:r>
            <w:proofErr w:type="spellEnd"/>
            <w:r w:rsidRPr="003037D2">
              <w:rPr>
                <w:rFonts w:ascii="Garamond" w:hAnsi="Garamond"/>
                <w:sz w:val="20"/>
                <w:szCs w:val="20"/>
              </w:rPr>
              <w:t xml:space="preserve"> </w:t>
            </w:r>
          </w:p>
        </w:tc>
        <w:tc>
          <w:tcPr>
            <w:tcW w:w="918" w:type="dxa"/>
            <w:noWrap/>
            <w:hideMark/>
          </w:tcPr>
          <w:p w14:paraId="6C9B07F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1623</w:t>
            </w:r>
          </w:p>
        </w:tc>
        <w:tc>
          <w:tcPr>
            <w:tcW w:w="931" w:type="dxa"/>
            <w:noWrap/>
            <w:hideMark/>
          </w:tcPr>
          <w:p w14:paraId="128E39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54272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11D12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235E1C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6C6983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26F0BA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C1CED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CDA48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5D1D321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44178E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7720AFA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8EF48B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Stoughton, John </w:t>
            </w:r>
          </w:p>
        </w:tc>
        <w:tc>
          <w:tcPr>
            <w:tcW w:w="1125" w:type="dxa"/>
            <w:noWrap/>
            <w:hideMark/>
          </w:tcPr>
          <w:p w14:paraId="6EC51C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Bellamie</w:t>
            </w:r>
            <w:proofErr w:type="spellEnd"/>
          </w:p>
        </w:tc>
        <w:tc>
          <w:tcPr>
            <w:tcW w:w="918" w:type="dxa"/>
            <w:noWrap/>
            <w:hideMark/>
          </w:tcPr>
          <w:p w14:paraId="1ADA7F1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1640</w:t>
            </w:r>
          </w:p>
        </w:tc>
        <w:tc>
          <w:tcPr>
            <w:tcW w:w="931" w:type="dxa"/>
            <w:noWrap/>
            <w:hideMark/>
          </w:tcPr>
          <w:p w14:paraId="4B49C7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86645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67392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AC7709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Mercer's chapel </w:t>
            </w:r>
          </w:p>
        </w:tc>
        <w:tc>
          <w:tcPr>
            <w:tcW w:w="1118" w:type="dxa"/>
            <w:noWrap/>
            <w:hideMark/>
          </w:tcPr>
          <w:p w14:paraId="20365C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08724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B8629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24F3F3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3DC0908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F75F5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B4F2A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37562AE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BFE7ABF"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Stoughton, John </w:t>
            </w:r>
          </w:p>
        </w:tc>
        <w:tc>
          <w:tcPr>
            <w:tcW w:w="1125" w:type="dxa"/>
            <w:noWrap/>
            <w:hideMark/>
          </w:tcPr>
          <w:p w14:paraId="2CB7C1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Bellamie</w:t>
            </w:r>
            <w:proofErr w:type="spellEnd"/>
          </w:p>
        </w:tc>
        <w:tc>
          <w:tcPr>
            <w:tcW w:w="918" w:type="dxa"/>
            <w:noWrap/>
            <w:hideMark/>
          </w:tcPr>
          <w:p w14:paraId="2080D2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1640</w:t>
            </w:r>
          </w:p>
        </w:tc>
        <w:tc>
          <w:tcPr>
            <w:tcW w:w="931" w:type="dxa"/>
            <w:noWrap/>
            <w:hideMark/>
          </w:tcPr>
          <w:p w14:paraId="092455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035" w:type="dxa"/>
            <w:noWrap/>
            <w:hideMark/>
          </w:tcPr>
          <w:p w14:paraId="51FE28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E7682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437332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3553EC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FA595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E5E069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382F91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13E6AE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3C85C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89AD7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1C2D98A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FB84EF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Stoughton, John </w:t>
            </w:r>
          </w:p>
        </w:tc>
        <w:tc>
          <w:tcPr>
            <w:tcW w:w="1125" w:type="dxa"/>
            <w:noWrap/>
            <w:hideMark/>
          </w:tcPr>
          <w:p w14:paraId="5CBAF17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Bellamie</w:t>
            </w:r>
            <w:proofErr w:type="spellEnd"/>
          </w:p>
        </w:tc>
        <w:tc>
          <w:tcPr>
            <w:tcW w:w="918" w:type="dxa"/>
            <w:noWrap/>
            <w:hideMark/>
          </w:tcPr>
          <w:p w14:paraId="0ACD32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1640</w:t>
            </w:r>
          </w:p>
        </w:tc>
        <w:tc>
          <w:tcPr>
            <w:tcW w:w="931" w:type="dxa"/>
            <w:noWrap/>
            <w:hideMark/>
          </w:tcPr>
          <w:p w14:paraId="7D06DB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035" w:type="dxa"/>
            <w:noWrap/>
            <w:hideMark/>
          </w:tcPr>
          <w:p w14:paraId="0B1899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9B8483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DB6E75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University </w:t>
            </w:r>
          </w:p>
        </w:tc>
        <w:tc>
          <w:tcPr>
            <w:tcW w:w="1118" w:type="dxa"/>
            <w:noWrap/>
            <w:hideMark/>
          </w:tcPr>
          <w:p w14:paraId="2CD565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981" w:type="dxa"/>
            <w:noWrap/>
            <w:hideMark/>
          </w:tcPr>
          <w:p w14:paraId="11AB31E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FA58B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3CDB58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45D99A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7F82D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6E64D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4216E6C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C468F7F"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Styles, Christopher </w:t>
            </w:r>
          </w:p>
        </w:tc>
        <w:tc>
          <w:tcPr>
            <w:tcW w:w="1125" w:type="dxa"/>
            <w:noWrap/>
            <w:hideMark/>
          </w:tcPr>
          <w:p w14:paraId="59FBB7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Felix </w:t>
            </w:r>
            <w:proofErr w:type="spellStart"/>
            <w:r w:rsidRPr="003037D2">
              <w:rPr>
                <w:rFonts w:ascii="Garamond" w:hAnsi="Garamond"/>
                <w:sz w:val="20"/>
                <w:szCs w:val="20"/>
              </w:rPr>
              <w:t>Kyngston</w:t>
            </w:r>
            <w:proofErr w:type="spellEnd"/>
            <w:r w:rsidRPr="003037D2">
              <w:rPr>
                <w:rFonts w:ascii="Garamond" w:hAnsi="Garamond"/>
                <w:sz w:val="20"/>
                <w:szCs w:val="20"/>
              </w:rPr>
              <w:t xml:space="preserve"> </w:t>
            </w:r>
          </w:p>
        </w:tc>
        <w:tc>
          <w:tcPr>
            <w:tcW w:w="918" w:type="dxa"/>
            <w:noWrap/>
            <w:hideMark/>
          </w:tcPr>
          <w:p w14:paraId="28BC9F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1620</w:t>
            </w:r>
          </w:p>
        </w:tc>
        <w:tc>
          <w:tcPr>
            <w:tcW w:w="931" w:type="dxa"/>
            <w:noWrap/>
            <w:hideMark/>
          </w:tcPr>
          <w:p w14:paraId="6738C8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86294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8F324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2D702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7D7CF7F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E4155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B6BDF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245DBB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3AF9BA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96183B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D07DF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36B6712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3A13F7C"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Sutton, Thomas </w:t>
            </w:r>
          </w:p>
        </w:tc>
        <w:tc>
          <w:tcPr>
            <w:tcW w:w="1125" w:type="dxa"/>
            <w:noWrap/>
            <w:hideMark/>
          </w:tcPr>
          <w:p w14:paraId="5C0D38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Robert </w:t>
            </w:r>
            <w:proofErr w:type="spellStart"/>
            <w:r w:rsidRPr="003037D2">
              <w:rPr>
                <w:rFonts w:ascii="Garamond" w:hAnsi="Garamond"/>
                <w:sz w:val="20"/>
                <w:szCs w:val="20"/>
              </w:rPr>
              <w:t>Milbourne</w:t>
            </w:r>
            <w:proofErr w:type="spellEnd"/>
            <w:r w:rsidRPr="003037D2">
              <w:rPr>
                <w:rFonts w:ascii="Garamond" w:hAnsi="Garamond"/>
                <w:sz w:val="20"/>
                <w:szCs w:val="20"/>
              </w:rPr>
              <w:t xml:space="preserve"> </w:t>
            </w:r>
          </w:p>
        </w:tc>
        <w:tc>
          <w:tcPr>
            <w:tcW w:w="918" w:type="dxa"/>
            <w:noWrap/>
            <w:hideMark/>
          </w:tcPr>
          <w:p w14:paraId="024E0E3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1624</w:t>
            </w:r>
          </w:p>
        </w:tc>
        <w:tc>
          <w:tcPr>
            <w:tcW w:w="931" w:type="dxa"/>
            <w:noWrap/>
            <w:hideMark/>
          </w:tcPr>
          <w:p w14:paraId="0783B1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23DD9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9CE6F2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7F8A8C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01409F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artillery garden </w:t>
            </w:r>
          </w:p>
        </w:tc>
        <w:tc>
          <w:tcPr>
            <w:tcW w:w="981" w:type="dxa"/>
            <w:noWrap/>
            <w:hideMark/>
          </w:tcPr>
          <w:p w14:paraId="27293F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46B4E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53B5B6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7D309D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D1D92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28EAE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3EADF01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02074CA"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Sutton, Thomas </w:t>
            </w:r>
          </w:p>
        </w:tc>
        <w:tc>
          <w:tcPr>
            <w:tcW w:w="1125" w:type="dxa"/>
            <w:noWrap/>
            <w:hideMark/>
          </w:tcPr>
          <w:p w14:paraId="482D1EA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William Jones </w:t>
            </w:r>
          </w:p>
        </w:tc>
        <w:tc>
          <w:tcPr>
            <w:tcW w:w="918" w:type="dxa"/>
            <w:noWrap/>
            <w:hideMark/>
          </w:tcPr>
          <w:p w14:paraId="05FDF2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1632</w:t>
            </w:r>
          </w:p>
        </w:tc>
        <w:tc>
          <w:tcPr>
            <w:tcW w:w="931" w:type="dxa"/>
            <w:noWrap/>
            <w:hideMark/>
          </w:tcPr>
          <w:p w14:paraId="7A4C8EF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661630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C5993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203" w:type="dxa"/>
            <w:noWrap/>
            <w:hideMark/>
          </w:tcPr>
          <w:p w14:paraId="136F82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37EB9D9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Before the judges</w:t>
            </w:r>
          </w:p>
        </w:tc>
        <w:tc>
          <w:tcPr>
            <w:tcW w:w="981" w:type="dxa"/>
            <w:noWrap/>
            <w:hideMark/>
          </w:tcPr>
          <w:p w14:paraId="650965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481E9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6EFD7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6A3AFBF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3E0B8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F189F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26E81AB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1E1671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Swale, Christopher </w:t>
            </w:r>
          </w:p>
        </w:tc>
        <w:tc>
          <w:tcPr>
            <w:tcW w:w="1125" w:type="dxa"/>
            <w:noWrap/>
            <w:hideMark/>
          </w:tcPr>
          <w:p w14:paraId="2F3CE6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Bill </w:t>
            </w:r>
          </w:p>
        </w:tc>
        <w:tc>
          <w:tcPr>
            <w:tcW w:w="918" w:type="dxa"/>
            <w:noWrap/>
            <w:hideMark/>
          </w:tcPr>
          <w:p w14:paraId="4E5FB9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1621</w:t>
            </w:r>
          </w:p>
        </w:tc>
        <w:tc>
          <w:tcPr>
            <w:tcW w:w="931" w:type="dxa"/>
            <w:noWrap/>
            <w:hideMark/>
          </w:tcPr>
          <w:p w14:paraId="4956E4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257F3F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1DACFE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0BEED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 Hampton court </w:t>
            </w:r>
          </w:p>
        </w:tc>
        <w:tc>
          <w:tcPr>
            <w:tcW w:w="1118" w:type="dxa"/>
            <w:noWrap/>
            <w:hideMark/>
          </w:tcPr>
          <w:p w14:paraId="07A46D7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A0730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0CBAF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7118AB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5A7BEE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5F6E81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2D6C18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4155A38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154AF73"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Swan, John </w:t>
            </w:r>
          </w:p>
        </w:tc>
        <w:tc>
          <w:tcPr>
            <w:tcW w:w="1125" w:type="dxa"/>
            <w:noWrap/>
            <w:hideMark/>
          </w:tcPr>
          <w:p w14:paraId="18DB9C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Daniel </w:t>
            </w:r>
            <w:proofErr w:type="spellStart"/>
            <w:r w:rsidRPr="003037D2">
              <w:rPr>
                <w:rFonts w:ascii="Garamond" w:hAnsi="Garamond"/>
                <w:sz w:val="20"/>
                <w:szCs w:val="20"/>
              </w:rPr>
              <w:t>Pakeman</w:t>
            </w:r>
            <w:proofErr w:type="spellEnd"/>
            <w:r w:rsidRPr="003037D2">
              <w:rPr>
                <w:rFonts w:ascii="Garamond" w:hAnsi="Garamond"/>
                <w:sz w:val="20"/>
                <w:szCs w:val="20"/>
              </w:rPr>
              <w:t xml:space="preserve"> </w:t>
            </w:r>
          </w:p>
        </w:tc>
        <w:tc>
          <w:tcPr>
            <w:tcW w:w="918" w:type="dxa"/>
            <w:noWrap/>
            <w:hideMark/>
          </w:tcPr>
          <w:p w14:paraId="3C149B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1639</w:t>
            </w:r>
          </w:p>
        </w:tc>
        <w:tc>
          <w:tcPr>
            <w:tcW w:w="931" w:type="dxa"/>
            <w:noWrap/>
            <w:hideMark/>
          </w:tcPr>
          <w:p w14:paraId="7DA8686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0BAD6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5AB9EE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2A0546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2764C6F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031B0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D53802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3767AD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1F81CC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visitation </w:t>
            </w:r>
          </w:p>
        </w:tc>
        <w:tc>
          <w:tcPr>
            <w:tcW w:w="963" w:type="dxa"/>
            <w:noWrap/>
            <w:hideMark/>
          </w:tcPr>
          <w:p w14:paraId="519AF9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7D3A53C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D6FB276"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Swift, William </w:t>
            </w:r>
          </w:p>
        </w:tc>
        <w:tc>
          <w:tcPr>
            <w:tcW w:w="1125" w:type="dxa"/>
            <w:noWrap/>
            <w:hideMark/>
          </w:tcPr>
          <w:p w14:paraId="111E1D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spellStart"/>
            <w:r w:rsidRPr="003037D2">
              <w:rPr>
                <w:rFonts w:ascii="Garamond" w:hAnsi="Garamond"/>
                <w:sz w:val="20"/>
                <w:szCs w:val="20"/>
              </w:rPr>
              <w:t>Fulke</w:t>
            </w:r>
            <w:proofErr w:type="spellEnd"/>
            <w:r w:rsidRPr="003037D2">
              <w:rPr>
                <w:rFonts w:ascii="Garamond" w:hAnsi="Garamond"/>
                <w:sz w:val="20"/>
                <w:szCs w:val="20"/>
              </w:rPr>
              <w:t xml:space="preserve"> Clifton </w:t>
            </w:r>
          </w:p>
        </w:tc>
        <w:tc>
          <w:tcPr>
            <w:tcW w:w="918" w:type="dxa"/>
            <w:noWrap/>
            <w:hideMark/>
          </w:tcPr>
          <w:p w14:paraId="4B673FA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1622</w:t>
            </w:r>
          </w:p>
        </w:tc>
        <w:tc>
          <w:tcPr>
            <w:tcW w:w="931" w:type="dxa"/>
            <w:noWrap/>
            <w:hideMark/>
          </w:tcPr>
          <w:p w14:paraId="53012C9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N</w:t>
            </w:r>
          </w:p>
        </w:tc>
        <w:tc>
          <w:tcPr>
            <w:tcW w:w="1035" w:type="dxa"/>
            <w:noWrap/>
            <w:hideMark/>
          </w:tcPr>
          <w:p w14:paraId="6F18E8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996F8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FBAA4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5652C08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FB178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66F59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48B8C1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2058" w:type="dxa"/>
            <w:gridSpan w:val="2"/>
            <w:noWrap/>
            <w:hideMark/>
          </w:tcPr>
          <w:p w14:paraId="72DCCF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1C0815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1FC6130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1AD23D4" w14:textId="77777777" w:rsidR="00A721D6" w:rsidRPr="003037D2" w:rsidRDefault="00A721D6" w:rsidP="00A721D6">
            <w:pPr>
              <w:spacing w:line="360" w:lineRule="auto"/>
              <w:rPr>
                <w:rFonts w:ascii="Garamond" w:hAnsi="Garamond"/>
                <w:b w:val="0"/>
                <w:bCs w:val="0"/>
                <w:sz w:val="20"/>
                <w:szCs w:val="20"/>
              </w:rPr>
            </w:pPr>
            <w:proofErr w:type="spellStart"/>
            <w:r w:rsidRPr="003037D2">
              <w:rPr>
                <w:rFonts w:ascii="Garamond" w:hAnsi="Garamond"/>
                <w:b w:val="0"/>
                <w:bCs w:val="0"/>
                <w:sz w:val="20"/>
                <w:szCs w:val="20"/>
              </w:rPr>
              <w:t>Sybthorpe</w:t>
            </w:r>
            <w:proofErr w:type="spellEnd"/>
            <w:r w:rsidRPr="003037D2">
              <w:rPr>
                <w:rFonts w:ascii="Garamond" w:hAnsi="Garamond"/>
                <w:b w:val="0"/>
                <w:bCs w:val="0"/>
                <w:sz w:val="20"/>
                <w:szCs w:val="20"/>
              </w:rPr>
              <w:t xml:space="preserve">, Robert </w:t>
            </w:r>
          </w:p>
        </w:tc>
        <w:tc>
          <w:tcPr>
            <w:tcW w:w="1125" w:type="dxa"/>
            <w:noWrap/>
            <w:hideMark/>
          </w:tcPr>
          <w:p w14:paraId="2A4465B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Richard </w:t>
            </w:r>
            <w:proofErr w:type="spellStart"/>
            <w:r w:rsidRPr="003037D2">
              <w:rPr>
                <w:rFonts w:ascii="Garamond" w:hAnsi="Garamond"/>
                <w:sz w:val="20"/>
                <w:szCs w:val="20"/>
              </w:rPr>
              <w:t>Mynne</w:t>
            </w:r>
            <w:proofErr w:type="spellEnd"/>
            <w:r w:rsidRPr="003037D2">
              <w:rPr>
                <w:rFonts w:ascii="Garamond" w:hAnsi="Garamond"/>
                <w:sz w:val="20"/>
                <w:szCs w:val="20"/>
              </w:rPr>
              <w:t xml:space="preserve"> </w:t>
            </w:r>
          </w:p>
        </w:tc>
        <w:tc>
          <w:tcPr>
            <w:tcW w:w="918" w:type="dxa"/>
            <w:noWrap/>
            <w:hideMark/>
          </w:tcPr>
          <w:p w14:paraId="1CFFE8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1627</w:t>
            </w:r>
          </w:p>
        </w:tc>
        <w:tc>
          <w:tcPr>
            <w:tcW w:w="931" w:type="dxa"/>
            <w:noWrap/>
            <w:hideMark/>
          </w:tcPr>
          <w:p w14:paraId="209355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F496B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EBBDD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835AC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5E377B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roofErr w:type="spellStart"/>
            <w:r w:rsidRPr="003037D2">
              <w:rPr>
                <w:rFonts w:ascii="Garamond" w:hAnsi="Garamond"/>
                <w:sz w:val="20"/>
                <w:szCs w:val="20"/>
              </w:rPr>
              <w:t>Assises</w:t>
            </w:r>
            <w:proofErr w:type="spellEnd"/>
            <w:r w:rsidRPr="003037D2">
              <w:rPr>
                <w:rFonts w:ascii="Garamond" w:hAnsi="Garamond"/>
                <w:sz w:val="20"/>
                <w:szCs w:val="20"/>
              </w:rPr>
              <w:t xml:space="preserve"> </w:t>
            </w:r>
          </w:p>
        </w:tc>
        <w:tc>
          <w:tcPr>
            <w:tcW w:w="981" w:type="dxa"/>
            <w:noWrap/>
            <w:hideMark/>
          </w:tcPr>
          <w:p w14:paraId="118501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686D8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6E249D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0DB717F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41F24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9C1ED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119C847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CD4CFC8"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Sydenham, Humphrey </w:t>
            </w:r>
          </w:p>
        </w:tc>
        <w:tc>
          <w:tcPr>
            <w:tcW w:w="1125" w:type="dxa"/>
            <w:noWrap/>
            <w:hideMark/>
          </w:tcPr>
          <w:p w14:paraId="5B33F6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Parker </w:t>
            </w:r>
          </w:p>
        </w:tc>
        <w:tc>
          <w:tcPr>
            <w:tcW w:w="918" w:type="dxa"/>
            <w:noWrap/>
            <w:hideMark/>
          </w:tcPr>
          <w:p w14:paraId="737665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2019D5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A0D55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C966DB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1FCBB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57BBE1F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DD9589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62873B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08ED26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0CEBCF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Term dates</w:t>
            </w:r>
          </w:p>
        </w:tc>
        <w:tc>
          <w:tcPr>
            <w:tcW w:w="1093" w:type="dxa"/>
            <w:noWrap/>
            <w:hideMark/>
          </w:tcPr>
          <w:p w14:paraId="4D74EBE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98B57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285012F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C935DC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Sydenham, Humphrey </w:t>
            </w:r>
          </w:p>
        </w:tc>
        <w:tc>
          <w:tcPr>
            <w:tcW w:w="1125" w:type="dxa"/>
            <w:noWrap/>
            <w:hideMark/>
          </w:tcPr>
          <w:p w14:paraId="7C81F8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Parker </w:t>
            </w:r>
          </w:p>
        </w:tc>
        <w:tc>
          <w:tcPr>
            <w:tcW w:w="918" w:type="dxa"/>
            <w:noWrap/>
            <w:hideMark/>
          </w:tcPr>
          <w:p w14:paraId="2137A78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1627</w:t>
            </w:r>
          </w:p>
        </w:tc>
        <w:tc>
          <w:tcPr>
            <w:tcW w:w="931" w:type="dxa"/>
            <w:noWrap/>
            <w:hideMark/>
          </w:tcPr>
          <w:p w14:paraId="6F2334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49B09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3AD3D96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C48661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30823F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0FCFB5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E82B53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676EC5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1F95639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calendar </w:t>
            </w:r>
          </w:p>
        </w:tc>
        <w:tc>
          <w:tcPr>
            <w:tcW w:w="963" w:type="dxa"/>
            <w:noWrap/>
            <w:hideMark/>
          </w:tcPr>
          <w:p w14:paraId="411A482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147B909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2F5143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Sydenham, Humphrey </w:t>
            </w:r>
          </w:p>
        </w:tc>
        <w:tc>
          <w:tcPr>
            <w:tcW w:w="1125" w:type="dxa"/>
            <w:noWrap/>
            <w:hideMark/>
          </w:tcPr>
          <w:p w14:paraId="2F14F3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Nicholas </w:t>
            </w:r>
            <w:proofErr w:type="spellStart"/>
            <w:r w:rsidRPr="003037D2">
              <w:rPr>
                <w:rFonts w:ascii="Garamond" w:hAnsi="Garamond"/>
                <w:sz w:val="20"/>
                <w:szCs w:val="20"/>
              </w:rPr>
              <w:t>Fussell</w:t>
            </w:r>
            <w:proofErr w:type="spellEnd"/>
            <w:r w:rsidRPr="003037D2">
              <w:rPr>
                <w:rFonts w:ascii="Garamond" w:hAnsi="Garamond"/>
                <w:sz w:val="20"/>
                <w:szCs w:val="20"/>
              </w:rPr>
              <w:t xml:space="preserve"> and Humphrey Mosley </w:t>
            </w:r>
          </w:p>
        </w:tc>
        <w:tc>
          <w:tcPr>
            <w:tcW w:w="918" w:type="dxa"/>
            <w:noWrap/>
            <w:hideMark/>
          </w:tcPr>
          <w:p w14:paraId="51D7AC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1627</w:t>
            </w:r>
          </w:p>
        </w:tc>
        <w:tc>
          <w:tcPr>
            <w:tcW w:w="931" w:type="dxa"/>
            <w:noWrap/>
            <w:hideMark/>
          </w:tcPr>
          <w:p w14:paraId="5A0524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035" w:type="dxa"/>
            <w:noWrap/>
            <w:hideMark/>
          </w:tcPr>
          <w:p w14:paraId="125AED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4545379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B7329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5C0709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981" w:type="dxa"/>
            <w:noWrap/>
            <w:hideMark/>
          </w:tcPr>
          <w:p w14:paraId="14F945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39E9DE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1818" w:type="dxa"/>
            <w:gridSpan w:val="2"/>
            <w:noWrap/>
            <w:hideMark/>
          </w:tcPr>
          <w:p w14:paraId="5C0269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1093" w:type="dxa"/>
            <w:noWrap/>
            <w:hideMark/>
          </w:tcPr>
          <w:p w14:paraId="63A45C7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337B19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441693D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367889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Sydenham, Humphrey </w:t>
            </w:r>
          </w:p>
        </w:tc>
        <w:tc>
          <w:tcPr>
            <w:tcW w:w="1125" w:type="dxa"/>
            <w:noWrap/>
            <w:hideMark/>
          </w:tcPr>
          <w:p w14:paraId="15EED8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Parker </w:t>
            </w:r>
          </w:p>
        </w:tc>
        <w:tc>
          <w:tcPr>
            <w:tcW w:w="918" w:type="dxa"/>
            <w:noWrap/>
            <w:hideMark/>
          </w:tcPr>
          <w:p w14:paraId="06F9439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23A222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E2139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B9698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5B6D7B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Paul's Cross </w:t>
            </w:r>
          </w:p>
        </w:tc>
        <w:tc>
          <w:tcPr>
            <w:tcW w:w="1118" w:type="dxa"/>
            <w:noWrap/>
            <w:hideMark/>
          </w:tcPr>
          <w:p w14:paraId="121567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A25F1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CBF64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Y</w:t>
            </w:r>
          </w:p>
        </w:tc>
        <w:tc>
          <w:tcPr>
            <w:tcW w:w="853" w:type="dxa"/>
            <w:noWrap/>
            <w:hideMark/>
          </w:tcPr>
          <w:p w14:paraId="5572B99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2D4776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9963A5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0349DF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26150E3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131739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Sydenham, Humphrey </w:t>
            </w:r>
          </w:p>
        </w:tc>
        <w:tc>
          <w:tcPr>
            <w:tcW w:w="1125" w:type="dxa"/>
            <w:noWrap/>
            <w:hideMark/>
          </w:tcPr>
          <w:p w14:paraId="512C87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Parker </w:t>
            </w:r>
          </w:p>
        </w:tc>
        <w:tc>
          <w:tcPr>
            <w:tcW w:w="918" w:type="dxa"/>
            <w:noWrap/>
            <w:hideMark/>
          </w:tcPr>
          <w:p w14:paraId="345DE2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10C8E1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058031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1F651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01A799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Parliament </w:t>
            </w:r>
          </w:p>
        </w:tc>
        <w:tc>
          <w:tcPr>
            <w:tcW w:w="1118" w:type="dxa"/>
            <w:noWrap/>
            <w:hideMark/>
          </w:tcPr>
          <w:p w14:paraId="15B522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981" w:type="dxa"/>
            <w:noWrap/>
            <w:hideMark/>
          </w:tcPr>
          <w:p w14:paraId="6108652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A1EB8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278758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0E66DC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1B2EE2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0B335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6D0D0E3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0CED3E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Sydenham, Humphrey </w:t>
            </w:r>
          </w:p>
        </w:tc>
        <w:tc>
          <w:tcPr>
            <w:tcW w:w="1125" w:type="dxa"/>
            <w:noWrap/>
            <w:hideMark/>
          </w:tcPr>
          <w:p w14:paraId="69A43E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Parker </w:t>
            </w:r>
          </w:p>
        </w:tc>
        <w:tc>
          <w:tcPr>
            <w:tcW w:w="918" w:type="dxa"/>
            <w:noWrap/>
            <w:hideMark/>
          </w:tcPr>
          <w:p w14:paraId="5CF133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1626</w:t>
            </w:r>
          </w:p>
        </w:tc>
        <w:tc>
          <w:tcPr>
            <w:tcW w:w="931" w:type="dxa"/>
            <w:noWrap/>
            <w:hideMark/>
          </w:tcPr>
          <w:p w14:paraId="2C633D6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636AA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A31F8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5A1E688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5B9DE9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4196B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E4C8A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095BE3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2058" w:type="dxa"/>
            <w:gridSpan w:val="2"/>
            <w:noWrap/>
            <w:hideMark/>
          </w:tcPr>
          <w:p w14:paraId="252D41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963" w:type="dxa"/>
            <w:noWrap/>
            <w:hideMark/>
          </w:tcPr>
          <w:p w14:paraId="5444C3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0D3CE2C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8E84D5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lastRenderedPageBreak/>
              <w:t xml:space="preserve">Sydenham, Humphrey </w:t>
            </w:r>
          </w:p>
        </w:tc>
        <w:tc>
          <w:tcPr>
            <w:tcW w:w="1125" w:type="dxa"/>
            <w:noWrap/>
            <w:hideMark/>
          </w:tcPr>
          <w:p w14:paraId="72EB12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Nathaniel Butter </w:t>
            </w:r>
          </w:p>
        </w:tc>
        <w:tc>
          <w:tcPr>
            <w:tcW w:w="918" w:type="dxa"/>
            <w:noWrap/>
            <w:hideMark/>
          </w:tcPr>
          <w:p w14:paraId="3F3AAF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1630</w:t>
            </w:r>
          </w:p>
        </w:tc>
        <w:tc>
          <w:tcPr>
            <w:tcW w:w="931" w:type="dxa"/>
            <w:noWrap/>
            <w:hideMark/>
          </w:tcPr>
          <w:p w14:paraId="49614A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481F7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79093C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7257D2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2E3F3E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B4691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6D4E808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818" w:type="dxa"/>
            <w:gridSpan w:val="2"/>
            <w:noWrap/>
            <w:hideMark/>
          </w:tcPr>
          <w:p w14:paraId="77A63C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funeral </w:t>
            </w:r>
          </w:p>
        </w:tc>
        <w:tc>
          <w:tcPr>
            <w:tcW w:w="1093" w:type="dxa"/>
            <w:noWrap/>
            <w:hideMark/>
          </w:tcPr>
          <w:p w14:paraId="3F6312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56DA3C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1334421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3D3F1A2"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Symonds, Joseph </w:t>
            </w:r>
          </w:p>
        </w:tc>
        <w:tc>
          <w:tcPr>
            <w:tcW w:w="1125" w:type="dxa"/>
            <w:noWrap/>
            <w:hideMark/>
          </w:tcPr>
          <w:p w14:paraId="24E9C6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Luke </w:t>
            </w:r>
            <w:proofErr w:type="spellStart"/>
            <w:r w:rsidRPr="003037D2">
              <w:rPr>
                <w:rFonts w:ascii="Garamond" w:hAnsi="Garamond"/>
                <w:sz w:val="20"/>
                <w:szCs w:val="20"/>
              </w:rPr>
              <w:t>Fawne</w:t>
            </w:r>
            <w:proofErr w:type="spellEnd"/>
          </w:p>
        </w:tc>
        <w:tc>
          <w:tcPr>
            <w:tcW w:w="918" w:type="dxa"/>
            <w:noWrap/>
            <w:hideMark/>
          </w:tcPr>
          <w:p w14:paraId="377C25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30C2EA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40BCAFC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1AFC8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6FA0FA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Westminster </w:t>
            </w:r>
          </w:p>
        </w:tc>
        <w:tc>
          <w:tcPr>
            <w:tcW w:w="1118" w:type="dxa"/>
            <w:noWrap/>
            <w:hideMark/>
          </w:tcPr>
          <w:p w14:paraId="0DADC81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5EE1D5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8CD289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119B6E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12F43D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3EF58A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CE11D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5E05A78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6D90AF5"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T.H. </w:t>
            </w:r>
          </w:p>
        </w:tc>
        <w:tc>
          <w:tcPr>
            <w:tcW w:w="1125" w:type="dxa"/>
            <w:noWrap/>
            <w:hideMark/>
          </w:tcPr>
          <w:p w14:paraId="5F862A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Richard </w:t>
            </w:r>
            <w:proofErr w:type="spellStart"/>
            <w:r w:rsidRPr="003037D2">
              <w:rPr>
                <w:rFonts w:ascii="Garamond" w:hAnsi="Garamond"/>
                <w:sz w:val="20"/>
                <w:szCs w:val="20"/>
              </w:rPr>
              <w:t>Lownds</w:t>
            </w:r>
            <w:proofErr w:type="spellEnd"/>
            <w:r w:rsidRPr="003037D2">
              <w:rPr>
                <w:rFonts w:ascii="Garamond" w:hAnsi="Garamond"/>
                <w:sz w:val="20"/>
                <w:szCs w:val="20"/>
              </w:rPr>
              <w:t xml:space="preserve"> </w:t>
            </w:r>
          </w:p>
        </w:tc>
        <w:tc>
          <w:tcPr>
            <w:tcW w:w="918" w:type="dxa"/>
            <w:noWrap/>
            <w:hideMark/>
          </w:tcPr>
          <w:p w14:paraId="390EC9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1642</w:t>
            </w:r>
          </w:p>
        </w:tc>
        <w:tc>
          <w:tcPr>
            <w:tcW w:w="931" w:type="dxa"/>
            <w:noWrap/>
            <w:hideMark/>
          </w:tcPr>
          <w:p w14:paraId="07425F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1844F2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817F99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3ACF98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Town </w:t>
            </w:r>
          </w:p>
        </w:tc>
        <w:tc>
          <w:tcPr>
            <w:tcW w:w="1118" w:type="dxa"/>
            <w:noWrap/>
            <w:hideMark/>
          </w:tcPr>
          <w:p w14:paraId="49232D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659852F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FB3C3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818" w:type="dxa"/>
            <w:gridSpan w:val="2"/>
            <w:noWrap/>
            <w:hideMark/>
          </w:tcPr>
          <w:p w14:paraId="4E608D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Event - visitation </w:t>
            </w:r>
          </w:p>
        </w:tc>
        <w:tc>
          <w:tcPr>
            <w:tcW w:w="1093" w:type="dxa"/>
            <w:noWrap/>
            <w:hideMark/>
          </w:tcPr>
          <w:p w14:paraId="692031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3206D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049CF48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9F8CB46"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Taylor, Jeremy </w:t>
            </w:r>
          </w:p>
        </w:tc>
        <w:tc>
          <w:tcPr>
            <w:tcW w:w="1125" w:type="dxa"/>
            <w:noWrap/>
            <w:hideMark/>
          </w:tcPr>
          <w:p w14:paraId="789AFF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Leonard Lichfield </w:t>
            </w:r>
          </w:p>
        </w:tc>
        <w:tc>
          <w:tcPr>
            <w:tcW w:w="918" w:type="dxa"/>
            <w:noWrap/>
            <w:hideMark/>
          </w:tcPr>
          <w:p w14:paraId="6D39EE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1638</w:t>
            </w:r>
          </w:p>
        </w:tc>
        <w:tc>
          <w:tcPr>
            <w:tcW w:w="931" w:type="dxa"/>
            <w:noWrap/>
            <w:hideMark/>
          </w:tcPr>
          <w:p w14:paraId="628729E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65FA4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Oxford </w:t>
            </w:r>
          </w:p>
        </w:tc>
        <w:tc>
          <w:tcPr>
            <w:tcW w:w="838" w:type="dxa"/>
            <w:noWrap/>
            <w:hideMark/>
          </w:tcPr>
          <w:p w14:paraId="4E2C94C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1F5436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1118" w:type="dxa"/>
            <w:noWrap/>
            <w:hideMark/>
          </w:tcPr>
          <w:p w14:paraId="7CCA7CD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7F23AD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16B4A1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818" w:type="dxa"/>
            <w:gridSpan w:val="2"/>
            <w:noWrap/>
            <w:hideMark/>
          </w:tcPr>
          <w:p w14:paraId="2AA1AA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Anniversary - gunpowder </w:t>
            </w:r>
          </w:p>
        </w:tc>
        <w:tc>
          <w:tcPr>
            <w:tcW w:w="1093" w:type="dxa"/>
            <w:noWrap/>
            <w:hideMark/>
          </w:tcPr>
          <w:p w14:paraId="171659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4F7CDF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6468FE5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45D468B"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Taylor, John </w:t>
            </w:r>
          </w:p>
        </w:tc>
        <w:tc>
          <w:tcPr>
            <w:tcW w:w="1125" w:type="dxa"/>
            <w:noWrap/>
            <w:hideMark/>
          </w:tcPr>
          <w:p w14:paraId="59680D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S.N.</w:t>
            </w:r>
          </w:p>
        </w:tc>
        <w:tc>
          <w:tcPr>
            <w:tcW w:w="918" w:type="dxa"/>
            <w:noWrap/>
            <w:hideMark/>
          </w:tcPr>
          <w:p w14:paraId="07CC5B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45D252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30B760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5EF43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46EA4A9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House </w:t>
            </w:r>
          </w:p>
        </w:tc>
        <w:tc>
          <w:tcPr>
            <w:tcW w:w="1118" w:type="dxa"/>
            <w:noWrap/>
            <w:hideMark/>
          </w:tcPr>
          <w:p w14:paraId="253D4D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3BCAEB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72A8ED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853" w:type="dxa"/>
            <w:noWrap/>
            <w:hideMark/>
          </w:tcPr>
          <w:p w14:paraId="55AE16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5" w:type="dxa"/>
            <w:noWrap/>
            <w:hideMark/>
          </w:tcPr>
          <w:p w14:paraId="1294F7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77F892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160F4F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1C2C07E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AF35070"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Taylor, John </w:t>
            </w:r>
          </w:p>
        </w:tc>
        <w:tc>
          <w:tcPr>
            <w:tcW w:w="1125" w:type="dxa"/>
            <w:noWrap/>
            <w:hideMark/>
          </w:tcPr>
          <w:p w14:paraId="5361AE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John </w:t>
            </w:r>
            <w:proofErr w:type="spellStart"/>
            <w:r w:rsidRPr="003037D2">
              <w:rPr>
                <w:rFonts w:ascii="Garamond" w:hAnsi="Garamond"/>
                <w:sz w:val="20"/>
                <w:szCs w:val="20"/>
              </w:rPr>
              <w:t>Greenesmith</w:t>
            </w:r>
            <w:proofErr w:type="spellEnd"/>
            <w:r w:rsidRPr="003037D2">
              <w:rPr>
                <w:rFonts w:ascii="Garamond" w:hAnsi="Garamond"/>
                <w:sz w:val="20"/>
                <w:szCs w:val="20"/>
              </w:rPr>
              <w:t xml:space="preserve"> </w:t>
            </w:r>
          </w:p>
        </w:tc>
        <w:tc>
          <w:tcPr>
            <w:tcW w:w="918" w:type="dxa"/>
            <w:noWrap/>
            <w:hideMark/>
          </w:tcPr>
          <w:p w14:paraId="6580BCE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1641</w:t>
            </w:r>
          </w:p>
        </w:tc>
        <w:tc>
          <w:tcPr>
            <w:tcW w:w="931" w:type="dxa"/>
            <w:noWrap/>
            <w:hideMark/>
          </w:tcPr>
          <w:p w14:paraId="16DC89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035" w:type="dxa"/>
            <w:noWrap/>
            <w:hideMark/>
          </w:tcPr>
          <w:p w14:paraId="2585268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0022FE3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597ED4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Court - Westminster </w:t>
            </w:r>
          </w:p>
        </w:tc>
        <w:tc>
          <w:tcPr>
            <w:tcW w:w="1118" w:type="dxa"/>
            <w:noWrap/>
            <w:hideMark/>
          </w:tcPr>
          <w:p w14:paraId="71AA20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Church </w:t>
            </w:r>
          </w:p>
        </w:tc>
        <w:tc>
          <w:tcPr>
            <w:tcW w:w="981" w:type="dxa"/>
            <w:noWrap/>
            <w:hideMark/>
          </w:tcPr>
          <w:p w14:paraId="269B1D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27C9C4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0278BC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Date</w:t>
            </w:r>
          </w:p>
        </w:tc>
        <w:tc>
          <w:tcPr>
            <w:tcW w:w="965" w:type="dxa"/>
            <w:noWrap/>
            <w:hideMark/>
          </w:tcPr>
          <w:p w14:paraId="6CEF1F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2CA57D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63CBCA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r>
      <w:tr w:rsidR="00A721D6" w:rsidRPr="003037D2" w14:paraId="7A24171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037D859" w14:textId="77777777" w:rsidR="00A721D6" w:rsidRPr="003037D2" w:rsidRDefault="00A721D6" w:rsidP="00A721D6">
            <w:pPr>
              <w:spacing w:line="360" w:lineRule="auto"/>
              <w:rPr>
                <w:rFonts w:ascii="Garamond" w:hAnsi="Garamond"/>
                <w:b w:val="0"/>
                <w:bCs w:val="0"/>
                <w:sz w:val="20"/>
                <w:szCs w:val="20"/>
              </w:rPr>
            </w:pPr>
            <w:r w:rsidRPr="003037D2">
              <w:rPr>
                <w:rFonts w:ascii="Garamond" w:hAnsi="Garamond"/>
                <w:b w:val="0"/>
                <w:bCs w:val="0"/>
                <w:sz w:val="20"/>
                <w:szCs w:val="20"/>
              </w:rPr>
              <w:t xml:space="preserve">Taylor, Thomas </w:t>
            </w:r>
          </w:p>
        </w:tc>
        <w:tc>
          <w:tcPr>
            <w:tcW w:w="1125" w:type="dxa"/>
            <w:noWrap/>
            <w:hideMark/>
          </w:tcPr>
          <w:p w14:paraId="5973A7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Thomas Jones </w:t>
            </w:r>
          </w:p>
        </w:tc>
        <w:tc>
          <w:tcPr>
            <w:tcW w:w="918" w:type="dxa"/>
            <w:noWrap/>
            <w:hideMark/>
          </w:tcPr>
          <w:p w14:paraId="44E7D3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1629</w:t>
            </w:r>
          </w:p>
        </w:tc>
        <w:tc>
          <w:tcPr>
            <w:tcW w:w="931" w:type="dxa"/>
            <w:noWrap/>
            <w:hideMark/>
          </w:tcPr>
          <w:p w14:paraId="0C9986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N </w:t>
            </w:r>
          </w:p>
        </w:tc>
        <w:tc>
          <w:tcPr>
            <w:tcW w:w="1035" w:type="dxa"/>
            <w:noWrap/>
            <w:hideMark/>
          </w:tcPr>
          <w:p w14:paraId="78CE72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London </w:t>
            </w:r>
          </w:p>
        </w:tc>
        <w:tc>
          <w:tcPr>
            <w:tcW w:w="838" w:type="dxa"/>
            <w:noWrap/>
            <w:hideMark/>
          </w:tcPr>
          <w:p w14:paraId="23010D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1203" w:type="dxa"/>
            <w:noWrap/>
            <w:hideMark/>
          </w:tcPr>
          <w:p w14:paraId="7A7215C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Before the military company </w:t>
            </w:r>
          </w:p>
        </w:tc>
        <w:tc>
          <w:tcPr>
            <w:tcW w:w="1118" w:type="dxa"/>
            <w:noWrap/>
            <w:hideMark/>
          </w:tcPr>
          <w:p w14:paraId="05B9F2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81" w:type="dxa"/>
            <w:noWrap/>
            <w:hideMark/>
          </w:tcPr>
          <w:p w14:paraId="49A61F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681" w:type="dxa"/>
            <w:noWrap/>
            <w:hideMark/>
          </w:tcPr>
          <w:p w14:paraId="050088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c>
          <w:tcPr>
            <w:tcW w:w="853" w:type="dxa"/>
            <w:noWrap/>
            <w:hideMark/>
          </w:tcPr>
          <w:p w14:paraId="00709C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Date </w:t>
            </w:r>
          </w:p>
        </w:tc>
        <w:tc>
          <w:tcPr>
            <w:tcW w:w="965" w:type="dxa"/>
            <w:noWrap/>
            <w:hideMark/>
          </w:tcPr>
          <w:p w14:paraId="7B38D6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1093" w:type="dxa"/>
            <w:noWrap/>
            <w:hideMark/>
          </w:tcPr>
          <w:p w14:paraId="4E7F15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c>
          <w:tcPr>
            <w:tcW w:w="963" w:type="dxa"/>
            <w:noWrap/>
            <w:hideMark/>
          </w:tcPr>
          <w:p w14:paraId="7C7A47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3037D2">
              <w:rPr>
                <w:rFonts w:ascii="Garamond" w:hAnsi="Garamond"/>
                <w:sz w:val="20"/>
                <w:szCs w:val="20"/>
              </w:rPr>
              <w:t xml:space="preserve">Y </w:t>
            </w:r>
          </w:p>
        </w:tc>
      </w:tr>
      <w:tr w:rsidR="00A721D6" w:rsidRPr="003037D2" w14:paraId="759D2ED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597C352"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Tedder, Richard </w:t>
            </w:r>
          </w:p>
        </w:tc>
        <w:tc>
          <w:tcPr>
            <w:tcW w:w="1125" w:type="dxa"/>
            <w:noWrap/>
            <w:hideMark/>
          </w:tcPr>
          <w:p w14:paraId="3A2D108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Godfrey Emerson </w:t>
            </w:r>
          </w:p>
        </w:tc>
        <w:tc>
          <w:tcPr>
            <w:tcW w:w="918" w:type="dxa"/>
            <w:noWrap/>
            <w:hideMark/>
          </w:tcPr>
          <w:p w14:paraId="6DDF1E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1637</w:t>
            </w:r>
          </w:p>
        </w:tc>
        <w:tc>
          <w:tcPr>
            <w:tcW w:w="931" w:type="dxa"/>
            <w:noWrap/>
            <w:hideMark/>
          </w:tcPr>
          <w:p w14:paraId="239DFA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7E9A64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03FC3A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7E66F2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w:t>
            </w:r>
          </w:p>
        </w:tc>
        <w:tc>
          <w:tcPr>
            <w:tcW w:w="1118" w:type="dxa"/>
            <w:noWrap/>
            <w:hideMark/>
          </w:tcPr>
          <w:p w14:paraId="4E76CF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3EFA80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2B275B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1FE61C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Date </w:t>
            </w:r>
          </w:p>
        </w:tc>
        <w:tc>
          <w:tcPr>
            <w:tcW w:w="2058" w:type="dxa"/>
            <w:gridSpan w:val="2"/>
            <w:noWrap/>
            <w:hideMark/>
          </w:tcPr>
          <w:p w14:paraId="59CEBC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Event - visitation </w:t>
            </w:r>
          </w:p>
        </w:tc>
        <w:tc>
          <w:tcPr>
            <w:tcW w:w="963" w:type="dxa"/>
            <w:noWrap/>
            <w:hideMark/>
          </w:tcPr>
          <w:p w14:paraId="6B3544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0F441A8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A1B855D"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Temple, Thomas </w:t>
            </w:r>
          </w:p>
        </w:tc>
        <w:tc>
          <w:tcPr>
            <w:tcW w:w="1125" w:type="dxa"/>
            <w:noWrap/>
            <w:hideMark/>
          </w:tcPr>
          <w:p w14:paraId="7CD819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Thomas Temple </w:t>
            </w:r>
          </w:p>
        </w:tc>
        <w:tc>
          <w:tcPr>
            <w:tcW w:w="918" w:type="dxa"/>
            <w:noWrap/>
            <w:hideMark/>
          </w:tcPr>
          <w:p w14:paraId="095FBF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1642</w:t>
            </w:r>
          </w:p>
        </w:tc>
        <w:tc>
          <w:tcPr>
            <w:tcW w:w="931" w:type="dxa"/>
            <w:noWrap/>
            <w:hideMark/>
          </w:tcPr>
          <w:p w14:paraId="393C9D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6584BE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London</w:t>
            </w:r>
          </w:p>
        </w:tc>
        <w:tc>
          <w:tcPr>
            <w:tcW w:w="838" w:type="dxa"/>
            <w:noWrap/>
            <w:hideMark/>
          </w:tcPr>
          <w:p w14:paraId="307B26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7F8798A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House of Common s </w:t>
            </w:r>
          </w:p>
        </w:tc>
        <w:tc>
          <w:tcPr>
            <w:tcW w:w="1118" w:type="dxa"/>
            <w:noWrap/>
            <w:hideMark/>
          </w:tcPr>
          <w:p w14:paraId="0FF84E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43F227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3BDC1DA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066A82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Date </w:t>
            </w:r>
          </w:p>
        </w:tc>
        <w:tc>
          <w:tcPr>
            <w:tcW w:w="965" w:type="dxa"/>
            <w:noWrap/>
            <w:hideMark/>
          </w:tcPr>
          <w:p w14:paraId="3F2A06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Event - feast </w:t>
            </w:r>
          </w:p>
        </w:tc>
        <w:tc>
          <w:tcPr>
            <w:tcW w:w="1093" w:type="dxa"/>
            <w:noWrap/>
            <w:hideMark/>
          </w:tcPr>
          <w:p w14:paraId="4A3C2C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0196BF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r>
      <w:tr w:rsidR="00A721D6" w:rsidRPr="003037D2" w14:paraId="78EDF3A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2BB70BC"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Thornton, Richard </w:t>
            </w:r>
          </w:p>
        </w:tc>
        <w:tc>
          <w:tcPr>
            <w:tcW w:w="1125" w:type="dxa"/>
            <w:noWrap/>
            <w:hideMark/>
          </w:tcPr>
          <w:p w14:paraId="2BE0B5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Henry </w:t>
            </w:r>
            <w:proofErr w:type="spellStart"/>
            <w:r w:rsidRPr="003037D2">
              <w:rPr>
                <w:rFonts w:ascii="Garamond" w:hAnsi="Garamond"/>
                <w:sz w:val="21"/>
                <w:szCs w:val="21"/>
              </w:rPr>
              <w:t>Seile</w:t>
            </w:r>
            <w:proofErr w:type="spellEnd"/>
            <w:r w:rsidRPr="003037D2">
              <w:rPr>
                <w:rFonts w:ascii="Garamond" w:hAnsi="Garamond"/>
                <w:sz w:val="21"/>
                <w:szCs w:val="21"/>
              </w:rPr>
              <w:t xml:space="preserve"> </w:t>
            </w:r>
          </w:p>
        </w:tc>
        <w:tc>
          <w:tcPr>
            <w:tcW w:w="918" w:type="dxa"/>
            <w:noWrap/>
            <w:hideMark/>
          </w:tcPr>
          <w:p w14:paraId="66A57F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1635</w:t>
            </w:r>
          </w:p>
        </w:tc>
        <w:tc>
          <w:tcPr>
            <w:tcW w:w="931" w:type="dxa"/>
            <w:noWrap/>
            <w:hideMark/>
          </w:tcPr>
          <w:p w14:paraId="761024F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035" w:type="dxa"/>
            <w:noWrap/>
            <w:hideMark/>
          </w:tcPr>
          <w:p w14:paraId="64684D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1081C6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5DA800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University </w:t>
            </w:r>
          </w:p>
        </w:tc>
        <w:tc>
          <w:tcPr>
            <w:tcW w:w="1118" w:type="dxa"/>
            <w:noWrap/>
            <w:hideMark/>
          </w:tcPr>
          <w:p w14:paraId="111C821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w:t>
            </w:r>
          </w:p>
        </w:tc>
        <w:tc>
          <w:tcPr>
            <w:tcW w:w="981" w:type="dxa"/>
            <w:noWrap/>
            <w:hideMark/>
          </w:tcPr>
          <w:p w14:paraId="0DB867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7661D93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22D6CD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25995C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076CCB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73B81A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1EA4743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BAA1E2B"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Tillinghast, John </w:t>
            </w:r>
          </w:p>
        </w:tc>
        <w:tc>
          <w:tcPr>
            <w:tcW w:w="1125" w:type="dxa"/>
            <w:noWrap/>
            <w:hideMark/>
          </w:tcPr>
          <w:p w14:paraId="28544E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Andrew </w:t>
            </w:r>
            <w:proofErr w:type="spellStart"/>
            <w:r w:rsidRPr="003037D2">
              <w:rPr>
                <w:rFonts w:ascii="Garamond" w:hAnsi="Garamond"/>
                <w:sz w:val="21"/>
                <w:szCs w:val="21"/>
              </w:rPr>
              <w:t>Kembe</w:t>
            </w:r>
            <w:proofErr w:type="spellEnd"/>
            <w:r w:rsidRPr="003037D2">
              <w:rPr>
                <w:rFonts w:ascii="Garamond" w:hAnsi="Garamond"/>
                <w:sz w:val="21"/>
                <w:szCs w:val="21"/>
              </w:rPr>
              <w:t xml:space="preserve"> </w:t>
            </w:r>
          </w:p>
        </w:tc>
        <w:tc>
          <w:tcPr>
            <w:tcW w:w="918" w:type="dxa"/>
            <w:noWrap/>
            <w:hideMark/>
          </w:tcPr>
          <w:p w14:paraId="454A1B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1642</w:t>
            </w:r>
          </w:p>
        </w:tc>
        <w:tc>
          <w:tcPr>
            <w:tcW w:w="931" w:type="dxa"/>
            <w:noWrap/>
            <w:hideMark/>
          </w:tcPr>
          <w:p w14:paraId="471C568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2530B0C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57FA37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3538C3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5DA9F8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5C9F088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5C18220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853" w:type="dxa"/>
            <w:noWrap/>
            <w:hideMark/>
          </w:tcPr>
          <w:p w14:paraId="24DD41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5" w:type="dxa"/>
            <w:noWrap/>
            <w:hideMark/>
          </w:tcPr>
          <w:p w14:paraId="573418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04A055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15F2CC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60EB729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60BB68E"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lastRenderedPageBreak/>
              <w:t xml:space="preserve">Tillinghast, John </w:t>
            </w:r>
          </w:p>
        </w:tc>
        <w:tc>
          <w:tcPr>
            <w:tcW w:w="1125" w:type="dxa"/>
            <w:noWrap/>
            <w:hideMark/>
          </w:tcPr>
          <w:p w14:paraId="2A6725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Andrew </w:t>
            </w:r>
            <w:proofErr w:type="spellStart"/>
            <w:r w:rsidRPr="003037D2">
              <w:rPr>
                <w:rFonts w:ascii="Garamond" w:hAnsi="Garamond"/>
                <w:sz w:val="21"/>
                <w:szCs w:val="21"/>
              </w:rPr>
              <w:t>Kembe</w:t>
            </w:r>
            <w:proofErr w:type="spellEnd"/>
            <w:r w:rsidRPr="003037D2">
              <w:rPr>
                <w:rFonts w:ascii="Garamond" w:hAnsi="Garamond"/>
                <w:sz w:val="21"/>
                <w:szCs w:val="21"/>
              </w:rPr>
              <w:t xml:space="preserve"> </w:t>
            </w:r>
          </w:p>
        </w:tc>
        <w:tc>
          <w:tcPr>
            <w:tcW w:w="918" w:type="dxa"/>
            <w:noWrap/>
            <w:hideMark/>
          </w:tcPr>
          <w:p w14:paraId="520817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1637</w:t>
            </w:r>
          </w:p>
        </w:tc>
        <w:tc>
          <w:tcPr>
            <w:tcW w:w="931" w:type="dxa"/>
            <w:noWrap/>
            <w:hideMark/>
          </w:tcPr>
          <w:p w14:paraId="1B80A2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30F3A9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0EBCA7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7665FC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419E53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71FCEC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0F094C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72CF7D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2058" w:type="dxa"/>
            <w:gridSpan w:val="2"/>
            <w:noWrap/>
            <w:hideMark/>
          </w:tcPr>
          <w:p w14:paraId="1D201C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Event - shipwreck </w:t>
            </w:r>
          </w:p>
        </w:tc>
        <w:tc>
          <w:tcPr>
            <w:tcW w:w="963" w:type="dxa"/>
            <w:noWrap/>
            <w:hideMark/>
          </w:tcPr>
          <w:p w14:paraId="73F3896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1C4B736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397BEA2"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Toy, John </w:t>
            </w:r>
          </w:p>
        </w:tc>
        <w:tc>
          <w:tcPr>
            <w:tcW w:w="1125" w:type="dxa"/>
            <w:noWrap/>
            <w:hideMark/>
          </w:tcPr>
          <w:p w14:paraId="2F7914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S.N. </w:t>
            </w:r>
          </w:p>
        </w:tc>
        <w:tc>
          <w:tcPr>
            <w:tcW w:w="918" w:type="dxa"/>
            <w:noWrap/>
            <w:hideMark/>
          </w:tcPr>
          <w:p w14:paraId="530266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1642</w:t>
            </w:r>
          </w:p>
        </w:tc>
        <w:tc>
          <w:tcPr>
            <w:tcW w:w="931" w:type="dxa"/>
            <w:noWrap/>
            <w:hideMark/>
          </w:tcPr>
          <w:p w14:paraId="1E169C1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035" w:type="dxa"/>
            <w:noWrap/>
            <w:hideMark/>
          </w:tcPr>
          <w:p w14:paraId="646E42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74FCA1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c>
          <w:tcPr>
            <w:tcW w:w="1203" w:type="dxa"/>
            <w:noWrap/>
            <w:hideMark/>
          </w:tcPr>
          <w:p w14:paraId="1AC5AF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Cathedral </w:t>
            </w:r>
          </w:p>
        </w:tc>
        <w:tc>
          <w:tcPr>
            <w:tcW w:w="1118" w:type="dxa"/>
            <w:noWrap/>
            <w:hideMark/>
          </w:tcPr>
          <w:p w14:paraId="2CDDB9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5114A6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205557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051CBE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3AD571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calendar - </w:t>
            </w:r>
            <w:proofErr w:type="spellStart"/>
            <w:r w:rsidRPr="003037D2">
              <w:rPr>
                <w:rFonts w:ascii="Garamond" w:hAnsi="Garamond"/>
                <w:sz w:val="21"/>
                <w:szCs w:val="21"/>
              </w:rPr>
              <w:t>candlemas</w:t>
            </w:r>
            <w:proofErr w:type="spellEnd"/>
            <w:r w:rsidRPr="003037D2">
              <w:rPr>
                <w:rFonts w:ascii="Garamond" w:hAnsi="Garamond"/>
                <w:sz w:val="21"/>
                <w:szCs w:val="21"/>
              </w:rPr>
              <w:t xml:space="preserve"> </w:t>
            </w:r>
          </w:p>
        </w:tc>
        <w:tc>
          <w:tcPr>
            <w:tcW w:w="1093" w:type="dxa"/>
            <w:noWrap/>
            <w:hideMark/>
          </w:tcPr>
          <w:p w14:paraId="296768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Event - funeral </w:t>
            </w:r>
          </w:p>
        </w:tc>
        <w:tc>
          <w:tcPr>
            <w:tcW w:w="963" w:type="dxa"/>
            <w:noWrap/>
            <w:hideMark/>
          </w:tcPr>
          <w:p w14:paraId="7F2DD4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77D8B7E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5963578"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Tozer, Henry </w:t>
            </w:r>
          </w:p>
        </w:tc>
        <w:tc>
          <w:tcPr>
            <w:tcW w:w="1125" w:type="dxa"/>
            <w:noWrap/>
            <w:hideMark/>
          </w:tcPr>
          <w:p w14:paraId="3E8DFF4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Lichfield </w:t>
            </w:r>
          </w:p>
        </w:tc>
        <w:tc>
          <w:tcPr>
            <w:tcW w:w="918" w:type="dxa"/>
            <w:noWrap/>
            <w:hideMark/>
          </w:tcPr>
          <w:p w14:paraId="688739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1633</w:t>
            </w:r>
          </w:p>
        </w:tc>
        <w:tc>
          <w:tcPr>
            <w:tcW w:w="931" w:type="dxa"/>
            <w:noWrap/>
            <w:hideMark/>
          </w:tcPr>
          <w:p w14:paraId="26C74C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46DA95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Oxford </w:t>
            </w:r>
          </w:p>
        </w:tc>
        <w:tc>
          <w:tcPr>
            <w:tcW w:w="838" w:type="dxa"/>
            <w:noWrap/>
            <w:hideMark/>
          </w:tcPr>
          <w:p w14:paraId="4A9753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2A637B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w:t>
            </w:r>
          </w:p>
        </w:tc>
        <w:tc>
          <w:tcPr>
            <w:tcW w:w="1118" w:type="dxa"/>
            <w:noWrap/>
            <w:hideMark/>
          </w:tcPr>
          <w:p w14:paraId="458C79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39188C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7DCA28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818" w:type="dxa"/>
            <w:gridSpan w:val="2"/>
            <w:noWrap/>
            <w:hideMark/>
          </w:tcPr>
          <w:p w14:paraId="4F8861F9" w14:textId="315A7BF9" w:rsidR="00A721D6" w:rsidRPr="003037D2" w:rsidRDefault="00A721D6" w:rsidP="002F1250">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New Year</w:t>
            </w:r>
            <w:r w:rsidR="002F1250">
              <w:rPr>
                <w:rFonts w:ascii="Garamond" w:hAnsi="Garamond"/>
                <w:sz w:val="21"/>
                <w:szCs w:val="21"/>
              </w:rPr>
              <w:t>’</w:t>
            </w:r>
            <w:r w:rsidRPr="003037D2">
              <w:rPr>
                <w:rFonts w:ascii="Garamond" w:hAnsi="Garamond"/>
                <w:sz w:val="21"/>
                <w:szCs w:val="21"/>
              </w:rPr>
              <w:t xml:space="preserve">s </w:t>
            </w:r>
            <w:r w:rsidR="002F1250">
              <w:rPr>
                <w:rFonts w:ascii="Garamond" w:hAnsi="Garamond"/>
                <w:sz w:val="21"/>
                <w:szCs w:val="21"/>
              </w:rPr>
              <w:t>D</w:t>
            </w:r>
            <w:r w:rsidRPr="003037D2">
              <w:rPr>
                <w:rFonts w:ascii="Garamond" w:hAnsi="Garamond"/>
                <w:sz w:val="21"/>
                <w:szCs w:val="21"/>
              </w:rPr>
              <w:t xml:space="preserve">ay </w:t>
            </w:r>
          </w:p>
        </w:tc>
        <w:tc>
          <w:tcPr>
            <w:tcW w:w="1093" w:type="dxa"/>
            <w:noWrap/>
            <w:hideMark/>
          </w:tcPr>
          <w:p w14:paraId="3E236C8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7007D7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411F742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0138E5A"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Tozer, Henry </w:t>
            </w:r>
          </w:p>
        </w:tc>
        <w:tc>
          <w:tcPr>
            <w:tcW w:w="1125" w:type="dxa"/>
            <w:noWrap/>
            <w:hideMark/>
          </w:tcPr>
          <w:p w14:paraId="1948FB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Lichfield </w:t>
            </w:r>
          </w:p>
        </w:tc>
        <w:tc>
          <w:tcPr>
            <w:tcW w:w="918" w:type="dxa"/>
            <w:noWrap/>
            <w:hideMark/>
          </w:tcPr>
          <w:p w14:paraId="1FE5FB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1639</w:t>
            </w:r>
          </w:p>
        </w:tc>
        <w:tc>
          <w:tcPr>
            <w:tcW w:w="931" w:type="dxa"/>
            <w:noWrap/>
            <w:hideMark/>
          </w:tcPr>
          <w:p w14:paraId="54F123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41EE8AD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Oxford </w:t>
            </w:r>
          </w:p>
        </w:tc>
        <w:tc>
          <w:tcPr>
            <w:tcW w:w="838" w:type="dxa"/>
            <w:noWrap/>
            <w:hideMark/>
          </w:tcPr>
          <w:p w14:paraId="7750CB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7195D1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w:t>
            </w:r>
          </w:p>
        </w:tc>
        <w:tc>
          <w:tcPr>
            <w:tcW w:w="1118" w:type="dxa"/>
            <w:noWrap/>
            <w:hideMark/>
          </w:tcPr>
          <w:p w14:paraId="1B8490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47AEB4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143F59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5D64F4F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Date </w:t>
            </w:r>
          </w:p>
        </w:tc>
        <w:tc>
          <w:tcPr>
            <w:tcW w:w="965" w:type="dxa"/>
            <w:noWrap/>
            <w:hideMark/>
          </w:tcPr>
          <w:p w14:paraId="0515E2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339382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3D0D45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53C062F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EB86B09" w14:textId="77777777" w:rsidR="00A721D6" w:rsidRPr="003037D2" w:rsidRDefault="00A721D6" w:rsidP="00A721D6">
            <w:pPr>
              <w:spacing w:line="360" w:lineRule="auto"/>
              <w:rPr>
                <w:rFonts w:ascii="Garamond" w:hAnsi="Garamond"/>
                <w:b w:val="0"/>
                <w:bCs w:val="0"/>
                <w:sz w:val="21"/>
                <w:szCs w:val="21"/>
              </w:rPr>
            </w:pPr>
            <w:proofErr w:type="spellStart"/>
            <w:r w:rsidRPr="003037D2">
              <w:rPr>
                <w:rFonts w:ascii="Garamond" w:hAnsi="Garamond"/>
                <w:b w:val="0"/>
                <w:bCs w:val="0"/>
                <w:sz w:val="21"/>
                <w:szCs w:val="21"/>
              </w:rPr>
              <w:t>Trescot</w:t>
            </w:r>
            <w:proofErr w:type="spellEnd"/>
            <w:r w:rsidRPr="003037D2">
              <w:rPr>
                <w:rFonts w:ascii="Garamond" w:hAnsi="Garamond"/>
                <w:b w:val="0"/>
                <w:bCs w:val="0"/>
                <w:sz w:val="21"/>
                <w:szCs w:val="21"/>
              </w:rPr>
              <w:t xml:space="preserve">, Thomas </w:t>
            </w:r>
          </w:p>
        </w:tc>
        <w:tc>
          <w:tcPr>
            <w:tcW w:w="1125" w:type="dxa"/>
            <w:noWrap/>
            <w:hideMark/>
          </w:tcPr>
          <w:p w14:paraId="33EF3B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Daniel Frere </w:t>
            </w:r>
          </w:p>
        </w:tc>
        <w:tc>
          <w:tcPr>
            <w:tcW w:w="918" w:type="dxa"/>
            <w:noWrap/>
            <w:hideMark/>
          </w:tcPr>
          <w:p w14:paraId="7BBDC7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1642</w:t>
            </w:r>
          </w:p>
        </w:tc>
        <w:tc>
          <w:tcPr>
            <w:tcW w:w="931" w:type="dxa"/>
            <w:noWrap/>
            <w:hideMark/>
          </w:tcPr>
          <w:p w14:paraId="3A89FC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5AB48F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5BEA71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4C192C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7CD8C4E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roofErr w:type="spellStart"/>
            <w:r w:rsidRPr="003037D2">
              <w:rPr>
                <w:rFonts w:ascii="Garamond" w:hAnsi="Garamond"/>
                <w:sz w:val="21"/>
                <w:szCs w:val="21"/>
              </w:rPr>
              <w:t>Assises</w:t>
            </w:r>
            <w:proofErr w:type="spellEnd"/>
            <w:r w:rsidRPr="003037D2">
              <w:rPr>
                <w:rFonts w:ascii="Garamond" w:hAnsi="Garamond"/>
                <w:sz w:val="21"/>
                <w:szCs w:val="21"/>
              </w:rPr>
              <w:t xml:space="preserve"> </w:t>
            </w:r>
          </w:p>
        </w:tc>
        <w:tc>
          <w:tcPr>
            <w:tcW w:w="981" w:type="dxa"/>
            <w:noWrap/>
            <w:hideMark/>
          </w:tcPr>
          <w:p w14:paraId="2307E6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0120E4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853" w:type="dxa"/>
            <w:noWrap/>
            <w:hideMark/>
          </w:tcPr>
          <w:p w14:paraId="65D9C6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5" w:type="dxa"/>
            <w:noWrap/>
            <w:hideMark/>
          </w:tcPr>
          <w:p w14:paraId="6EAE63E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333B57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0699C2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r>
      <w:tr w:rsidR="00A721D6" w:rsidRPr="003037D2" w14:paraId="20F90F9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6A1406D"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Tunstall, Cuthbert </w:t>
            </w:r>
          </w:p>
        </w:tc>
        <w:tc>
          <w:tcPr>
            <w:tcW w:w="1125" w:type="dxa"/>
            <w:noWrap/>
            <w:hideMark/>
          </w:tcPr>
          <w:p w14:paraId="43314C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Thomas Harper </w:t>
            </w:r>
          </w:p>
        </w:tc>
        <w:tc>
          <w:tcPr>
            <w:tcW w:w="918" w:type="dxa"/>
            <w:noWrap/>
            <w:hideMark/>
          </w:tcPr>
          <w:p w14:paraId="555FC8F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1633</w:t>
            </w:r>
          </w:p>
        </w:tc>
        <w:tc>
          <w:tcPr>
            <w:tcW w:w="931" w:type="dxa"/>
            <w:noWrap/>
            <w:hideMark/>
          </w:tcPr>
          <w:p w14:paraId="56AE0C3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6E177B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15E284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2DEFE3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Court </w:t>
            </w:r>
          </w:p>
        </w:tc>
        <w:tc>
          <w:tcPr>
            <w:tcW w:w="1118" w:type="dxa"/>
            <w:noWrap/>
            <w:hideMark/>
          </w:tcPr>
          <w:p w14:paraId="6709A2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77B44F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5B6729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2911" w:type="dxa"/>
            <w:gridSpan w:val="3"/>
            <w:noWrap/>
            <w:hideMark/>
          </w:tcPr>
          <w:p w14:paraId="1FAEB5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calendar - Palm Sunday </w:t>
            </w:r>
          </w:p>
        </w:tc>
        <w:tc>
          <w:tcPr>
            <w:tcW w:w="963" w:type="dxa"/>
            <w:noWrap/>
            <w:hideMark/>
          </w:tcPr>
          <w:p w14:paraId="0C868D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r>
      <w:tr w:rsidR="00A721D6" w:rsidRPr="003037D2" w14:paraId="219898A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DD7CB9B"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Turner, Roger </w:t>
            </w:r>
          </w:p>
        </w:tc>
        <w:tc>
          <w:tcPr>
            <w:tcW w:w="1125" w:type="dxa"/>
            <w:noWrap/>
            <w:hideMark/>
          </w:tcPr>
          <w:p w14:paraId="2AAAB22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Robert </w:t>
            </w:r>
            <w:proofErr w:type="spellStart"/>
            <w:r w:rsidRPr="003037D2">
              <w:rPr>
                <w:rFonts w:ascii="Garamond" w:hAnsi="Garamond"/>
                <w:sz w:val="21"/>
                <w:szCs w:val="21"/>
              </w:rPr>
              <w:t>Bostocke</w:t>
            </w:r>
            <w:proofErr w:type="spellEnd"/>
            <w:r w:rsidRPr="003037D2">
              <w:rPr>
                <w:rFonts w:ascii="Garamond" w:hAnsi="Garamond"/>
                <w:sz w:val="21"/>
                <w:szCs w:val="21"/>
              </w:rPr>
              <w:t xml:space="preserve"> </w:t>
            </w:r>
          </w:p>
        </w:tc>
        <w:tc>
          <w:tcPr>
            <w:tcW w:w="918" w:type="dxa"/>
            <w:noWrap/>
            <w:hideMark/>
          </w:tcPr>
          <w:p w14:paraId="718263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1634</w:t>
            </w:r>
          </w:p>
        </w:tc>
        <w:tc>
          <w:tcPr>
            <w:tcW w:w="931" w:type="dxa"/>
            <w:noWrap/>
            <w:hideMark/>
          </w:tcPr>
          <w:p w14:paraId="322B63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45A132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540FB0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78E8C2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147093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3DCBDA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5098AA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0BE220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7D184A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27DD9A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7B87BE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r>
      <w:tr w:rsidR="00A721D6" w:rsidRPr="003037D2" w14:paraId="3023BDA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625D8EB"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Turner, Thomas </w:t>
            </w:r>
          </w:p>
        </w:tc>
        <w:tc>
          <w:tcPr>
            <w:tcW w:w="1125" w:type="dxa"/>
            <w:noWrap/>
            <w:hideMark/>
          </w:tcPr>
          <w:p w14:paraId="24FFB8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Richard Badger</w:t>
            </w:r>
          </w:p>
        </w:tc>
        <w:tc>
          <w:tcPr>
            <w:tcW w:w="918" w:type="dxa"/>
            <w:noWrap/>
            <w:hideMark/>
          </w:tcPr>
          <w:p w14:paraId="0160FC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1635</w:t>
            </w:r>
          </w:p>
        </w:tc>
        <w:tc>
          <w:tcPr>
            <w:tcW w:w="931" w:type="dxa"/>
            <w:noWrap/>
            <w:hideMark/>
          </w:tcPr>
          <w:p w14:paraId="00BC8E9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5CB6DE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6E76F10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64086D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Court - Whitehall </w:t>
            </w:r>
          </w:p>
        </w:tc>
        <w:tc>
          <w:tcPr>
            <w:tcW w:w="1118" w:type="dxa"/>
            <w:noWrap/>
            <w:hideMark/>
          </w:tcPr>
          <w:p w14:paraId="325DEC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583DD6F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576C17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68DBA5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4D5850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501D90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195014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5EB6B37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62F49F7"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Udall, Ephraim </w:t>
            </w:r>
          </w:p>
        </w:tc>
        <w:tc>
          <w:tcPr>
            <w:tcW w:w="1125" w:type="dxa"/>
            <w:noWrap/>
            <w:hideMark/>
          </w:tcPr>
          <w:p w14:paraId="3F357F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roofErr w:type="spellStart"/>
            <w:r w:rsidRPr="003037D2">
              <w:rPr>
                <w:rFonts w:ascii="Garamond" w:hAnsi="Garamond"/>
                <w:sz w:val="21"/>
                <w:szCs w:val="21"/>
              </w:rPr>
              <w:t>Philemons</w:t>
            </w:r>
            <w:proofErr w:type="spellEnd"/>
            <w:r w:rsidRPr="003037D2">
              <w:rPr>
                <w:rFonts w:ascii="Garamond" w:hAnsi="Garamond"/>
                <w:sz w:val="21"/>
                <w:szCs w:val="21"/>
              </w:rPr>
              <w:t xml:space="preserve"> Stephens </w:t>
            </w:r>
          </w:p>
        </w:tc>
        <w:tc>
          <w:tcPr>
            <w:tcW w:w="918" w:type="dxa"/>
            <w:noWrap/>
            <w:hideMark/>
          </w:tcPr>
          <w:p w14:paraId="026BBA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1642</w:t>
            </w:r>
          </w:p>
        </w:tc>
        <w:tc>
          <w:tcPr>
            <w:tcW w:w="931" w:type="dxa"/>
            <w:noWrap/>
            <w:hideMark/>
          </w:tcPr>
          <w:p w14:paraId="79E4CF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59ED76E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05F830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1D710B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St. Paul's </w:t>
            </w:r>
          </w:p>
        </w:tc>
        <w:tc>
          <w:tcPr>
            <w:tcW w:w="1118" w:type="dxa"/>
            <w:noWrap/>
            <w:hideMark/>
          </w:tcPr>
          <w:p w14:paraId="14C9C0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1AF2E8E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73DC9C4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71647E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374B4B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5E9CD5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41BF30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2A2186E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20ED98F" w14:textId="77777777" w:rsidR="00A721D6" w:rsidRPr="003037D2" w:rsidRDefault="00A721D6" w:rsidP="00A721D6">
            <w:pPr>
              <w:spacing w:line="360" w:lineRule="auto"/>
              <w:rPr>
                <w:rFonts w:ascii="Garamond" w:hAnsi="Garamond"/>
                <w:b w:val="0"/>
                <w:bCs w:val="0"/>
                <w:sz w:val="21"/>
                <w:szCs w:val="21"/>
              </w:rPr>
            </w:pPr>
            <w:proofErr w:type="spellStart"/>
            <w:r w:rsidRPr="003037D2">
              <w:rPr>
                <w:rFonts w:ascii="Garamond" w:hAnsi="Garamond"/>
                <w:b w:val="0"/>
                <w:bCs w:val="0"/>
                <w:sz w:val="21"/>
                <w:szCs w:val="21"/>
              </w:rPr>
              <w:t>Undy</w:t>
            </w:r>
            <w:proofErr w:type="spellEnd"/>
            <w:r w:rsidRPr="003037D2">
              <w:rPr>
                <w:rFonts w:ascii="Garamond" w:hAnsi="Garamond"/>
                <w:b w:val="0"/>
                <w:bCs w:val="0"/>
                <w:sz w:val="21"/>
                <w:szCs w:val="21"/>
              </w:rPr>
              <w:t xml:space="preserve">, Alexander </w:t>
            </w:r>
          </w:p>
        </w:tc>
        <w:tc>
          <w:tcPr>
            <w:tcW w:w="1125" w:type="dxa"/>
            <w:noWrap/>
            <w:hideMark/>
          </w:tcPr>
          <w:p w14:paraId="2EBCFE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Anthony Uphill </w:t>
            </w:r>
          </w:p>
        </w:tc>
        <w:tc>
          <w:tcPr>
            <w:tcW w:w="918" w:type="dxa"/>
            <w:noWrap/>
            <w:hideMark/>
          </w:tcPr>
          <w:p w14:paraId="238876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1625</w:t>
            </w:r>
          </w:p>
        </w:tc>
        <w:tc>
          <w:tcPr>
            <w:tcW w:w="931" w:type="dxa"/>
            <w:noWrap/>
            <w:hideMark/>
          </w:tcPr>
          <w:p w14:paraId="4541D5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099D4A7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723D92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3F17697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0034BA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01DD6E7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26E4141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16E483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Date </w:t>
            </w:r>
          </w:p>
        </w:tc>
        <w:tc>
          <w:tcPr>
            <w:tcW w:w="2058" w:type="dxa"/>
            <w:gridSpan w:val="2"/>
            <w:noWrap/>
            <w:hideMark/>
          </w:tcPr>
          <w:p w14:paraId="57A5E8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Event - visitation </w:t>
            </w:r>
          </w:p>
        </w:tc>
        <w:tc>
          <w:tcPr>
            <w:tcW w:w="963" w:type="dxa"/>
            <w:noWrap/>
            <w:hideMark/>
          </w:tcPr>
          <w:p w14:paraId="12C852E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061F063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341A9C7"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lastRenderedPageBreak/>
              <w:t xml:space="preserve">Ussher, James </w:t>
            </w:r>
          </w:p>
        </w:tc>
        <w:tc>
          <w:tcPr>
            <w:tcW w:w="1125" w:type="dxa"/>
            <w:noWrap/>
            <w:hideMark/>
          </w:tcPr>
          <w:p w14:paraId="691B31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Ephraim Dawson </w:t>
            </w:r>
          </w:p>
        </w:tc>
        <w:tc>
          <w:tcPr>
            <w:tcW w:w="918" w:type="dxa"/>
            <w:noWrap/>
            <w:hideMark/>
          </w:tcPr>
          <w:p w14:paraId="533E3F8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1629</w:t>
            </w:r>
          </w:p>
        </w:tc>
        <w:tc>
          <w:tcPr>
            <w:tcW w:w="931" w:type="dxa"/>
            <w:noWrap/>
            <w:hideMark/>
          </w:tcPr>
          <w:p w14:paraId="16188D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46FF88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541AE2C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2679E8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Court - Wanstead</w:t>
            </w:r>
          </w:p>
        </w:tc>
        <w:tc>
          <w:tcPr>
            <w:tcW w:w="1118" w:type="dxa"/>
            <w:noWrap/>
            <w:hideMark/>
          </w:tcPr>
          <w:p w14:paraId="2DD356D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1FB6DB3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4504521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51CD8A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553CBF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 </w:t>
            </w:r>
          </w:p>
        </w:tc>
        <w:tc>
          <w:tcPr>
            <w:tcW w:w="1093" w:type="dxa"/>
            <w:noWrap/>
            <w:hideMark/>
          </w:tcPr>
          <w:p w14:paraId="168838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02E77F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4F5590A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F3F0410"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Ussher, James </w:t>
            </w:r>
          </w:p>
        </w:tc>
        <w:tc>
          <w:tcPr>
            <w:tcW w:w="1125" w:type="dxa"/>
            <w:noWrap/>
            <w:hideMark/>
          </w:tcPr>
          <w:p w14:paraId="5F8BC9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Ephraim Dawson </w:t>
            </w:r>
          </w:p>
        </w:tc>
        <w:tc>
          <w:tcPr>
            <w:tcW w:w="918" w:type="dxa"/>
            <w:noWrap/>
            <w:hideMark/>
          </w:tcPr>
          <w:p w14:paraId="10C1BD9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1625</w:t>
            </w:r>
          </w:p>
        </w:tc>
        <w:tc>
          <w:tcPr>
            <w:tcW w:w="931" w:type="dxa"/>
            <w:noWrap/>
            <w:hideMark/>
          </w:tcPr>
          <w:p w14:paraId="7392F6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6807E3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11A891A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0AE7F3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Court - Wanstead</w:t>
            </w:r>
          </w:p>
        </w:tc>
        <w:tc>
          <w:tcPr>
            <w:tcW w:w="1118" w:type="dxa"/>
            <w:noWrap/>
            <w:hideMark/>
          </w:tcPr>
          <w:p w14:paraId="7F7C2F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5A33706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026C5E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127FFB4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52D7DF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 </w:t>
            </w:r>
          </w:p>
        </w:tc>
        <w:tc>
          <w:tcPr>
            <w:tcW w:w="1093" w:type="dxa"/>
            <w:noWrap/>
            <w:hideMark/>
          </w:tcPr>
          <w:p w14:paraId="3EA393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246B9C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624971C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09BFF63"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Ussher, James </w:t>
            </w:r>
          </w:p>
        </w:tc>
        <w:tc>
          <w:tcPr>
            <w:tcW w:w="1125" w:type="dxa"/>
            <w:noWrap/>
            <w:hideMark/>
          </w:tcPr>
          <w:p w14:paraId="1BA137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Ephraim Dawson </w:t>
            </w:r>
          </w:p>
        </w:tc>
        <w:tc>
          <w:tcPr>
            <w:tcW w:w="918" w:type="dxa"/>
            <w:noWrap/>
            <w:hideMark/>
          </w:tcPr>
          <w:p w14:paraId="12E7A9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1624</w:t>
            </w:r>
          </w:p>
        </w:tc>
        <w:tc>
          <w:tcPr>
            <w:tcW w:w="931" w:type="dxa"/>
            <w:noWrap/>
            <w:hideMark/>
          </w:tcPr>
          <w:p w14:paraId="5C4DBDF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2D7E00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55EAEE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30BACF6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Court - Wanstead</w:t>
            </w:r>
          </w:p>
        </w:tc>
        <w:tc>
          <w:tcPr>
            <w:tcW w:w="1118" w:type="dxa"/>
            <w:noWrap/>
            <w:hideMark/>
          </w:tcPr>
          <w:p w14:paraId="09B346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3DAE5D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655880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0F50881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1F82A1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 </w:t>
            </w:r>
          </w:p>
        </w:tc>
        <w:tc>
          <w:tcPr>
            <w:tcW w:w="1093" w:type="dxa"/>
            <w:noWrap/>
            <w:hideMark/>
          </w:tcPr>
          <w:p w14:paraId="716BDAE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51B9DC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375A81D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69F8E27"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Ussher, James </w:t>
            </w:r>
          </w:p>
        </w:tc>
        <w:tc>
          <w:tcPr>
            <w:tcW w:w="1125" w:type="dxa"/>
            <w:noWrap/>
            <w:hideMark/>
          </w:tcPr>
          <w:p w14:paraId="221D4F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Ephraim Dawson </w:t>
            </w:r>
          </w:p>
        </w:tc>
        <w:tc>
          <w:tcPr>
            <w:tcW w:w="918" w:type="dxa"/>
            <w:noWrap/>
            <w:hideMark/>
          </w:tcPr>
          <w:p w14:paraId="5979F9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1631</w:t>
            </w:r>
          </w:p>
        </w:tc>
        <w:tc>
          <w:tcPr>
            <w:tcW w:w="931" w:type="dxa"/>
            <w:noWrap/>
            <w:hideMark/>
          </w:tcPr>
          <w:p w14:paraId="376E19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15DDE7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7D0758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1DDAB3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Court - Wanstead</w:t>
            </w:r>
          </w:p>
        </w:tc>
        <w:tc>
          <w:tcPr>
            <w:tcW w:w="1118" w:type="dxa"/>
            <w:noWrap/>
            <w:hideMark/>
          </w:tcPr>
          <w:p w14:paraId="6A2C3F9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3E8FE6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3178B5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7EE5F4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56D7CC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 </w:t>
            </w:r>
          </w:p>
        </w:tc>
        <w:tc>
          <w:tcPr>
            <w:tcW w:w="1093" w:type="dxa"/>
            <w:noWrap/>
            <w:hideMark/>
          </w:tcPr>
          <w:p w14:paraId="2FC3E2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08E0E91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02A41EB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6345D04"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Ussher, James </w:t>
            </w:r>
          </w:p>
        </w:tc>
        <w:tc>
          <w:tcPr>
            <w:tcW w:w="1125" w:type="dxa"/>
            <w:noWrap/>
            <w:hideMark/>
          </w:tcPr>
          <w:p w14:paraId="41E12D9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w:t>
            </w:r>
            <w:proofErr w:type="spellStart"/>
            <w:r w:rsidRPr="003037D2">
              <w:rPr>
                <w:rFonts w:ascii="Garamond" w:hAnsi="Garamond"/>
                <w:sz w:val="21"/>
                <w:szCs w:val="21"/>
              </w:rPr>
              <w:t>Bartlet</w:t>
            </w:r>
            <w:proofErr w:type="spellEnd"/>
            <w:r w:rsidRPr="003037D2">
              <w:rPr>
                <w:rFonts w:ascii="Garamond" w:hAnsi="Garamond"/>
                <w:sz w:val="21"/>
                <w:szCs w:val="21"/>
              </w:rPr>
              <w:t xml:space="preserve"> </w:t>
            </w:r>
          </w:p>
        </w:tc>
        <w:tc>
          <w:tcPr>
            <w:tcW w:w="918" w:type="dxa"/>
            <w:noWrap/>
            <w:hideMark/>
          </w:tcPr>
          <w:p w14:paraId="769F74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1631</w:t>
            </w:r>
          </w:p>
        </w:tc>
        <w:tc>
          <w:tcPr>
            <w:tcW w:w="931" w:type="dxa"/>
            <w:noWrap/>
            <w:hideMark/>
          </w:tcPr>
          <w:p w14:paraId="5E3C30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4611996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2C36B0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491D0A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House of Parliament </w:t>
            </w:r>
          </w:p>
        </w:tc>
        <w:tc>
          <w:tcPr>
            <w:tcW w:w="1118" w:type="dxa"/>
            <w:noWrap/>
            <w:hideMark/>
          </w:tcPr>
          <w:p w14:paraId="7A2F0D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w:t>
            </w:r>
          </w:p>
        </w:tc>
        <w:tc>
          <w:tcPr>
            <w:tcW w:w="981" w:type="dxa"/>
            <w:noWrap/>
            <w:hideMark/>
          </w:tcPr>
          <w:p w14:paraId="7A25B6F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13EA4A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c>
          <w:tcPr>
            <w:tcW w:w="853" w:type="dxa"/>
            <w:noWrap/>
            <w:hideMark/>
          </w:tcPr>
          <w:p w14:paraId="1E2D60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4DD108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672FC8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2F3AED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7B971EC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D3AAE36"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Ussher, James </w:t>
            </w:r>
          </w:p>
        </w:tc>
        <w:tc>
          <w:tcPr>
            <w:tcW w:w="1125" w:type="dxa"/>
            <w:noWrap/>
            <w:hideMark/>
          </w:tcPr>
          <w:p w14:paraId="7F3A51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w:t>
            </w:r>
            <w:proofErr w:type="spellStart"/>
            <w:r w:rsidRPr="003037D2">
              <w:rPr>
                <w:rFonts w:ascii="Garamond" w:hAnsi="Garamond"/>
                <w:sz w:val="21"/>
                <w:szCs w:val="21"/>
              </w:rPr>
              <w:t>Bartlet</w:t>
            </w:r>
            <w:proofErr w:type="spellEnd"/>
            <w:r w:rsidRPr="003037D2">
              <w:rPr>
                <w:rFonts w:ascii="Garamond" w:hAnsi="Garamond"/>
                <w:sz w:val="21"/>
                <w:szCs w:val="21"/>
              </w:rPr>
              <w:t xml:space="preserve"> </w:t>
            </w:r>
          </w:p>
        </w:tc>
        <w:tc>
          <w:tcPr>
            <w:tcW w:w="918" w:type="dxa"/>
            <w:noWrap/>
            <w:hideMark/>
          </w:tcPr>
          <w:p w14:paraId="7B46D4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1624</w:t>
            </w:r>
          </w:p>
        </w:tc>
        <w:tc>
          <w:tcPr>
            <w:tcW w:w="931" w:type="dxa"/>
            <w:noWrap/>
            <w:hideMark/>
          </w:tcPr>
          <w:p w14:paraId="674A5C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2AC476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4DEFD16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0440B8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House of Parliament </w:t>
            </w:r>
          </w:p>
        </w:tc>
        <w:tc>
          <w:tcPr>
            <w:tcW w:w="1118" w:type="dxa"/>
            <w:noWrap/>
            <w:hideMark/>
          </w:tcPr>
          <w:p w14:paraId="41F9AC6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w:t>
            </w:r>
          </w:p>
        </w:tc>
        <w:tc>
          <w:tcPr>
            <w:tcW w:w="981" w:type="dxa"/>
            <w:noWrap/>
            <w:hideMark/>
          </w:tcPr>
          <w:p w14:paraId="22579FF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169FC7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c>
          <w:tcPr>
            <w:tcW w:w="853" w:type="dxa"/>
            <w:noWrap/>
            <w:hideMark/>
          </w:tcPr>
          <w:p w14:paraId="0AA42A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56F1A0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0EB6F1D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1B67E3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7803C3B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F84561D"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Ussher, James </w:t>
            </w:r>
          </w:p>
        </w:tc>
        <w:tc>
          <w:tcPr>
            <w:tcW w:w="1125" w:type="dxa"/>
            <w:noWrap/>
            <w:hideMark/>
          </w:tcPr>
          <w:p w14:paraId="42E87B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w:t>
            </w:r>
            <w:proofErr w:type="spellStart"/>
            <w:r w:rsidRPr="003037D2">
              <w:rPr>
                <w:rFonts w:ascii="Garamond" w:hAnsi="Garamond"/>
                <w:sz w:val="21"/>
                <w:szCs w:val="21"/>
              </w:rPr>
              <w:t>Bartlet</w:t>
            </w:r>
            <w:proofErr w:type="spellEnd"/>
            <w:r w:rsidRPr="003037D2">
              <w:rPr>
                <w:rFonts w:ascii="Garamond" w:hAnsi="Garamond"/>
                <w:sz w:val="21"/>
                <w:szCs w:val="21"/>
              </w:rPr>
              <w:t xml:space="preserve"> </w:t>
            </w:r>
          </w:p>
        </w:tc>
        <w:tc>
          <w:tcPr>
            <w:tcW w:w="918" w:type="dxa"/>
            <w:noWrap/>
            <w:hideMark/>
          </w:tcPr>
          <w:p w14:paraId="6BE0D0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1621</w:t>
            </w:r>
          </w:p>
        </w:tc>
        <w:tc>
          <w:tcPr>
            <w:tcW w:w="931" w:type="dxa"/>
            <w:noWrap/>
            <w:hideMark/>
          </w:tcPr>
          <w:p w14:paraId="2ABD67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3F3876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74209D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2237E2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House of Parliament </w:t>
            </w:r>
          </w:p>
        </w:tc>
        <w:tc>
          <w:tcPr>
            <w:tcW w:w="1118" w:type="dxa"/>
            <w:noWrap/>
            <w:hideMark/>
          </w:tcPr>
          <w:p w14:paraId="5504FC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w:t>
            </w:r>
          </w:p>
        </w:tc>
        <w:tc>
          <w:tcPr>
            <w:tcW w:w="981" w:type="dxa"/>
            <w:noWrap/>
            <w:hideMark/>
          </w:tcPr>
          <w:p w14:paraId="3B5700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13B57E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c>
          <w:tcPr>
            <w:tcW w:w="853" w:type="dxa"/>
            <w:noWrap/>
            <w:hideMark/>
          </w:tcPr>
          <w:p w14:paraId="34CA52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50BD58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0B05E0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7B9401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486AE8A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3771E90"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Ussher, James </w:t>
            </w:r>
          </w:p>
        </w:tc>
        <w:tc>
          <w:tcPr>
            <w:tcW w:w="1125" w:type="dxa"/>
            <w:noWrap/>
            <w:hideMark/>
          </w:tcPr>
          <w:p w14:paraId="4BDC5C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Nicolson </w:t>
            </w:r>
          </w:p>
        </w:tc>
        <w:tc>
          <w:tcPr>
            <w:tcW w:w="918" w:type="dxa"/>
            <w:noWrap/>
            <w:hideMark/>
          </w:tcPr>
          <w:p w14:paraId="5FCB9F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1642</w:t>
            </w:r>
          </w:p>
        </w:tc>
        <w:tc>
          <w:tcPr>
            <w:tcW w:w="931" w:type="dxa"/>
            <w:noWrap/>
            <w:hideMark/>
          </w:tcPr>
          <w:p w14:paraId="21C116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07902E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414B8F6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0AC8BB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House of Parliament </w:t>
            </w:r>
          </w:p>
        </w:tc>
        <w:tc>
          <w:tcPr>
            <w:tcW w:w="1118" w:type="dxa"/>
            <w:noWrap/>
            <w:hideMark/>
          </w:tcPr>
          <w:p w14:paraId="51BB00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w:t>
            </w:r>
          </w:p>
        </w:tc>
        <w:tc>
          <w:tcPr>
            <w:tcW w:w="981" w:type="dxa"/>
            <w:noWrap/>
            <w:hideMark/>
          </w:tcPr>
          <w:p w14:paraId="0E18114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4C5C8B1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1551D71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7FB460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Event - fast </w:t>
            </w:r>
          </w:p>
        </w:tc>
        <w:tc>
          <w:tcPr>
            <w:tcW w:w="1093" w:type="dxa"/>
            <w:noWrap/>
            <w:hideMark/>
          </w:tcPr>
          <w:p w14:paraId="45E6C04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406A48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632DF07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86D20D2"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Valentine, Henry </w:t>
            </w:r>
          </w:p>
        </w:tc>
        <w:tc>
          <w:tcPr>
            <w:tcW w:w="1125" w:type="dxa"/>
            <w:noWrap/>
            <w:hideMark/>
          </w:tcPr>
          <w:p w14:paraId="1D90E8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John Marriott</w:t>
            </w:r>
          </w:p>
        </w:tc>
        <w:tc>
          <w:tcPr>
            <w:tcW w:w="918" w:type="dxa"/>
            <w:noWrap/>
            <w:hideMark/>
          </w:tcPr>
          <w:p w14:paraId="5B2D1E9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1639</w:t>
            </w:r>
          </w:p>
        </w:tc>
        <w:tc>
          <w:tcPr>
            <w:tcW w:w="931" w:type="dxa"/>
            <w:noWrap/>
            <w:hideMark/>
          </w:tcPr>
          <w:p w14:paraId="6CFBD61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1451B3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1D670D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1578FC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St. Paul's </w:t>
            </w:r>
          </w:p>
        </w:tc>
        <w:tc>
          <w:tcPr>
            <w:tcW w:w="1118" w:type="dxa"/>
            <w:noWrap/>
            <w:hideMark/>
          </w:tcPr>
          <w:p w14:paraId="5D8293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75530C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0E0F23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75BFC7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2058" w:type="dxa"/>
            <w:gridSpan w:val="2"/>
            <w:noWrap/>
            <w:hideMark/>
          </w:tcPr>
          <w:p w14:paraId="5955019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Event - inauguration </w:t>
            </w:r>
          </w:p>
        </w:tc>
        <w:tc>
          <w:tcPr>
            <w:tcW w:w="963" w:type="dxa"/>
            <w:noWrap/>
            <w:hideMark/>
          </w:tcPr>
          <w:p w14:paraId="2D2AEF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r>
      <w:tr w:rsidR="00A721D6" w:rsidRPr="003037D2" w14:paraId="39746C5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46F0714"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Valentine, Henry </w:t>
            </w:r>
          </w:p>
        </w:tc>
        <w:tc>
          <w:tcPr>
            <w:tcW w:w="1125" w:type="dxa"/>
            <w:noWrap/>
            <w:hideMark/>
          </w:tcPr>
          <w:p w14:paraId="626F82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Marriott </w:t>
            </w:r>
          </w:p>
        </w:tc>
        <w:tc>
          <w:tcPr>
            <w:tcW w:w="918" w:type="dxa"/>
            <w:noWrap/>
            <w:hideMark/>
          </w:tcPr>
          <w:p w14:paraId="6AE0DD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1627</w:t>
            </w:r>
          </w:p>
        </w:tc>
        <w:tc>
          <w:tcPr>
            <w:tcW w:w="931" w:type="dxa"/>
            <w:noWrap/>
            <w:hideMark/>
          </w:tcPr>
          <w:p w14:paraId="4FA2F3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3959E99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496300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761517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Paul's Cross </w:t>
            </w:r>
          </w:p>
        </w:tc>
        <w:tc>
          <w:tcPr>
            <w:tcW w:w="1118" w:type="dxa"/>
            <w:noWrap/>
            <w:hideMark/>
          </w:tcPr>
          <w:p w14:paraId="222A5D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4E4745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1F42FC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c>
          <w:tcPr>
            <w:tcW w:w="853" w:type="dxa"/>
            <w:noWrap/>
            <w:hideMark/>
          </w:tcPr>
          <w:p w14:paraId="67D008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32EEC0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0C5108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1BAF91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r>
      <w:tr w:rsidR="00A721D6" w:rsidRPr="003037D2" w14:paraId="3E3F0FC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26D4549"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Vase, Robert</w:t>
            </w:r>
          </w:p>
        </w:tc>
        <w:tc>
          <w:tcPr>
            <w:tcW w:w="1125" w:type="dxa"/>
            <w:noWrap/>
            <w:hideMark/>
          </w:tcPr>
          <w:p w14:paraId="7507C8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Robert Bird </w:t>
            </w:r>
          </w:p>
        </w:tc>
        <w:tc>
          <w:tcPr>
            <w:tcW w:w="918" w:type="dxa"/>
            <w:noWrap/>
            <w:hideMark/>
          </w:tcPr>
          <w:p w14:paraId="46AE4A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1625</w:t>
            </w:r>
          </w:p>
        </w:tc>
        <w:tc>
          <w:tcPr>
            <w:tcW w:w="931" w:type="dxa"/>
            <w:noWrap/>
            <w:hideMark/>
          </w:tcPr>
          <w:p w14:paraId="27601F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2DA071D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7F3C991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52C968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Paul's Cross </w:t>
            </w:r>
          </w:p>
        </w:tc>
        <w:tc>
          <w:tcPr>
            <w:tcW w:w="1118" w:type="dxa"/>
            <w:noWrap/>
            <w:hideMark/>
          </w:tcPr>
          <w:p w14:paraId="13C5BC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23E390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6C383B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4458548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0BB029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003A6DE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5C9795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r>
      <w:tr w:rsidR="00A721D6" w:rsidRPr="003037D2" w14:paraId="2258DBE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44C787F" w14:textId="77777777" w:rsidR="00A721D6" w:rsidRPr="003037D2" w:rsidRDefault="00A721D6" w:rsidP="00A721D6">
            <w:pPr>
              <w:spacing w:line="360" w:lineRule="auto"/>
              <w:rPr>
                <w:rFonts w:ascii="Garamond" w:hAnsi="Garamond"/>
                <w:b w:val="0"/>
                <w:bCs w:val="0"/>
                <w:sz w:val="21"/>
                <w:szCs w:val="21"/>
              </w:rPr>
            </w:pPr>
            <w:proofErr w:type="spellStart"/>
            <w:r w:rsidRPr="003037D2">
              <w:rPr>
                <w:rFonts w:ascii="Garamond" w:hAnsi="Garamond"/>
                <w:b w:val="0"/>
                <w:bCs w:val="0"/>
                <w:sz w:val="21"/>
                <w:szCs w:val="21"/>
              </w:rPr>
              <w:t>Vertue</w:t>
            </w:r>
            <w:proofErr w:type="spellEnd"/>
            <w:r w:rsidRPr="003037D2">
              <w:rPr>
                <w:rFonts w:ascii="Garamond" w:hAnsi="Garamond"/>
                <w:b w:val="0"/>
                <w:bCs w:val="0"/>
                <w:sz w:val="21"/>
                <w:szCs w:val="21"/>
              </w:rPr>
              <w:t xml:space="preserve">, Henry </w:t>
            </w:r>
          </w:p>
        </w:tc>
        <w:tc>
          <w:tcPr>
            <w:tcW w:w="1125" w:type="dxa"/>
            <w:noWrap/>
            <w:hideMark/>
          </w:tcPr>
          <w:p w14:paraId="54B74C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Clark </w:t>
            </w:r>
          </w:p>
        </w:tc>
        <w:tc>
          <w:tcPr>
            <w:tcW w:w="918" w:type="dxa"/>
            <w:noWrap/>
            <w:hideMark/>
          </w:tcPr>
          <w:p w14:paraId="17042BB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1637</w:t>
            </w:r>
          </w:p>
        </w:tc>
        <w:tc>
          <w:tcPr>
            <w:tcW w:w="931" w:type="dxa"/>
            <w:noWrap/>
            <w:hideMark/>
          </w:tcPr>
          <w:p w14:paraId="160EA4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4AC262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1E557F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510B5B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St. Paul's </w:t>
            </w:r>
          </w:p>
        </w:tc>
        <w:tc>
          <w:tcPr>
            <w:tcW w:w="1118" w:type="dxa"/>
            <w:noWrap/>
            <w:hideMark/>
          </w:tcPr>
          <w:p w14:paraId="3BB0F43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0E95AA7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1EB856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20ED18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42C347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58A0F58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31F86C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4B42E21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5F9AD79"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lastRenderedPageBreak/>
              <w:t xml:space="preserve">Vicars, </w:t>
            </w:r>
            <w:proofErr w:type="spellStart"/>
            <w:r w:rsidRPr="003037D2">
              <w:rPr>
                <w:rFonts w:ascii="Garamond" w:hAnsi="Garamond"/>
                <w:b w:val="0"/>
                <w:bCs w:val="0"/>
                <w:sz w:val="21"/>
                <w:szCs w:val="21"/>
              </w:rPr>
              <w:t>Thoams</w:t>
            </w:r>
            <w:proofErr w:type="spellEnd"/>
            <w:r w:rsidRPr="003037D2">
              <w:rPr>
                <w:rFonts w:ascii="Garamond" w:hAnsi="Garamond"/>
                <w:b w:val="0"/>
                <w:bCs w:val="0"/>
                <w:sz w:val="21"/>
                <w:szCs w:val="21"/>
              </w:rPr>
              <w:t xml:space="preserve"> </w:t>
            </w:r>
          </w:p>
        </w:tc>
        <w:tc>
          <w:tcPr>
            <w:tcW w:w="1125" w:type="dxa"/>
            <w:noWrap/>
            <w:hideMark/>
          </w:tcPr>
          <w:p w14:paraId="1680D2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R. </w:t>
            </w:r>
            <w:proofErr w:type="spellStart"/>
            <w:r w:rsidRPr="003037D2">
              <w:rPr>
                <w:rFonts w:ascii="Garamond" w:hAnsi="Garamond"/>
                <w:sz w:val="21"/>
                <w:szCs w:val="21"/>
              </w:rPr>
              <w:t>Milburne</w:t>
            </w:r>
            <w:proofErr w:type="spellEnd"/>
            <w:r w:rsidRPr="003037D2">
              <w:rPr>
                <w:rFonts w:ascii="Garamond" w:hAnsi="Garamond"/>
                <w:sz w:val="21"/>
                <w:szCs w:val="21"/>
              </w:rPr>
              <w:t xml:space="preserve"> </w:t>
            </w:r>
          </w:p>
        </w:tc>
        <w:tc>
          <w:tcPr>
            <w:tcW w:w="918" w:type="dxa"/>
            <w:noWrap/>
            <w:hideMark/>
          </w:tcPr>
          <w:p w14:paraId="67146B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1627</w:t>
            </w:r>
          </w:p>
        </w:tc>
        <w:tc>
          <w:tcPr>
            <w:tcW w:w="931" w:type="dxa"/>
            <w:noWrap/>
            <w:hideMark/>
          </w:tcPr>
          <w:p w14:paraId="157D00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778ABD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2085317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30C668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Synod </w:t>
            </w:r>
          </w:p>
        </w:tc>
        <w:tc>
          <w:tcPr>
            <w:tcW w:w="1118" w:type="dxa"/>
            <w:noWrap/>
            <w:hideMark/>
          </w:tcPr>
          <w:p w14:paraId="46B46B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127D62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6F384F6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853" w:type="dxa"/>
            <w:noWrap/>
            <w:hideMark/>
          </w:tcPr>
          <w:p w14:paraId="5E4AA47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5" w:type="dxa"/>
            <w:noWrap/>
            <w:hideMark/>
          </w:tcPr>
          <w:p w14:paraId="7093594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5FD56E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1A04F54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r>
      <w:tr w:rsidR="00A721D6" w:rsidRPr="003037D2" w14:paraId="0EEBF24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FE752E8"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Vincent, </w:t>
            </w:r>
            <w:proofErr w:type="spellStart"/>
            <w:r w:rsidRPr="003037D2">
              <w:rPr>
                <w:rFonts w:ascii="Garamond" w:hAnsi="Garamond"/>
                <w:b w:val="0"/>
                <w:bCs w:val="0"/>
                <w:sz w:val="21"/>
                <w:szCs w:val="21"/>
              </w:rPr>
              <w:t>Humfrey</w:t>
            </w:r>
            <w:proofErr w:type="spellEnd"/>
            <w:r w:rsidRPr="003037D2">
              <w:rPr>
                <w:rFonts w:ascii="Garamond" w:hAnsi="Garamond"/>
                <w:b w:val="0"/>
                <w:bCs w:val="0"/>
                <w:sz w:val="21"/>
                <w:szCs w:val="21"/>
              </w:rPr>
              <w:t xml:space="preserve"> </w:t>
            </w:r>
          </w:p>
        </w:tc>
        <w:tc>
          <w:tcPr>
            <w:tcW w:w="1125" w:type="dxa"/>
            <w:noWrap/>
            <w:hideMark/>
          </w:tcPr>
          <w:p w14:paraId="486478F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I.H. </w:t>
            </w:r>
          </w:p>
        </w:tc>
        <w:tc>
          <w:tcPr>
            <w:tcW w:w="918" w:type="dxa"/>
            <w:noWrap/>
            <w:hideMark/>
          </w:tcPr>
          <w:p w14:paraId="518201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1641</w:t>
            </w:r>
          </w:p>
        </w:tc>
        <w:tc>
          <w:tcPr>
            <w:tcW w:w="931" w:type="dxa"/>
            <w:noWrap/>
            <w:hideMark/>
          </w:tcPr>
          <w:p w14:paraId="038D41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5D1AF9D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6EEF13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64B9EB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w:t>
            </w:r>
          </w:p>
        </w:tc>
        <w:tc>
          <w:tcPr>
            <w:tcW w:w="1118" w:type="dxa"/>
            <w:noWrap/>
            <w:hideMark/>
          </w:tcPr>
          <w:p w14:paraId="4B9246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459824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78BDCA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24079AF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52D17E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49E738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4660E9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r>
      <w:tr w:rsidR="00A721D6" w:rsidRPr="003037D2" w14:paraId="093A3DB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CBB6365"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Vincent, </w:t>
            </w:r>
            <w:proofErr w:type="spellStart"/>
            <w:r w:rsidRPr="003037D2">
              <w:rPr>
                <w:rFonts w:ascii="Garamond" w:hAnsi="Garamond"/>
                <w:b w:val="0"/>
                <w:bCs w:val="0"/>
                <w:sz w:val="21"/>
                <w:szCs w:val="21"/>
              </w:rPr>
              <w:t>Humfrey</w:t>
            </w:r>
            <w:proofErr w:type="spellEnd"/>
            <w:r w:rsidRPr="003037D2">
              <w:rPr>
                <w:rFonts w:ascii="Garamond" w:hAnsi="Garamond"/>
                <w:b w:val="0"/>
                <w:bCs w:val="0"/>
                <w:sz w:val="21"/>
                <w:szCs w:val="21"/>
              </w:rPr>
              <w:t xml:space="preserve"> </w:t>
            </w:r>
          </w:p>
        </w:tc>
        <w:tc>
          <w:tcPr>
            <w:tcW w:w="1125" w:type="dxa"/>
            <w:noWrap/>
            <w:hideMark/>
          </w:tcPr>
          <w:p w14:paraId="0BE0D0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George Higgins 1</w:t>
            </w:r>
          </w:p>
        </w:tc>
        <w:tc>
          <w:tcPr>
            <w:tcW w:w="918" w:type="dxa"/>
            <w:noWrap/>
            <w:hideMark/>
          </w:tcPr>
          <w:p w14:paraId="4ABE55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1641</w:t>
            </w:r>
          </w:p>
        </w:tc>
        <w:tc>
          <w:tcPr>
            <w:tcW w:w="931" w:type="dxa"/>
            <w:noWrap/>
            <w:hideMark/>
          </w:tcPr>
          <w:p w14:paraId="02EA7B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035" w:type="dxa"/>
            <w:noWrap/>
            <w:hideMark/>
          </w:tcPr>
          <w:p w14:paraId="787FCFC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5A5303A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c>
          <w:tcPr>
            <w:tcW w:w="1203" w:type="dxa"/>
            <w:noWrap/>
            <w:hideMark/>
          </w:tcPr>
          <w:p w14:paraId="3DBEE5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w:t>
            </w:r>
          </w:p>
        </w:tc>
        <w:tc>
          <w:tcPr>
            <w:tcW w:w="1118" w:type="dxa"/>
            <w:noWrap/>
            <w:hideMark/>
          </w:tcPr>
          <w:p w14:paraId="5F68A1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4C0820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6ECD5A9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5719E4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17627D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3863FE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6F1B668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56CA761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A5F41B9"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Vines, Richard </w:t>
            </w:r>
          </w:p>
        </w:tc>
        <w:tc>
          <w:tcPr>
            <w:tcW w:w="1125" w:type="dxa"/>
            <w:noWrap/>
            <w:hideMark/>
          </w:tcPr>
          <w:p w14:paraId="536903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Abel Roper </w:t>
            </w:r>
          </w:p>
        </w:tc>
        <w:tc>
          <w:tcPr>
            <w:tcW w:w="918" w:type="dxa"/>
            <w:noWrap/>
            <w:hideMark/>
          </w:tcPr>
          <w:p w14:paraId="7EB0FB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1642</w:t>
            </w:r>
          </w:p>
        </w:tc>
        <w:tc>
          <w:tcPr>
            <w:tcW w:w="931" w:type="dxa"/>
            <w:noWrap/>
            <w:hideMark/>
          </w:tcPr>
          <w:p w14:paraId="66A331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1DB182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3DF31D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32B438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w:t>
            </w:r>
          </w:p>
        </w:tc>
        <w:tc>
          <w:tcPr>
            <w:tcW w:w="2099" w:type="dxa"/>
            <w:gridSpan w:val="2"/>
            <w:noWrap/>
            <w:hideMark/>
          </w:tcPr>
          <w:p w14:paraId="46FA5D3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House of Commons </w:t>
            </w:r>
          </w:p>
        </w:tc>
        <w:tc>
          <w:tcPr>
            <w:tcW w:w="681" w:type="dxa"/>
            <w:noWrap/>
            <w:hideMark/>
          </w:tcPr>
          <w:p w14:paraId="0DD68F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c>
          <w:tcPr>
            <w:tcW w:w="853" w:type="dxa"/>
            <w:noWrap/>
            <w:hideMark/>
          </w:tcPr>
          <w:p w14:paraId="7B4436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02F212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Event - fast </w:t>
            </w:r>
          </w:p>
        </w:tc>
        <w:tc>
          <w:tcPr>
            <w:tcW w:w="1093" w:type="dxa"/>
            <w:noWrap/>
            <w:hideMark/>
          </w:tcPr>
          <w:p w14:paraId="1BC4D3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68E5E6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77B6589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021BD34" w14:textId="77777777" w:rsidR="00A721D6" w:rsidRPr="003037D2" w:rsidRDefault="00A721D6" w:rsidP="00A721D6">
            <w:pPr>
              <w:spacing w:line="360" w:lineRule="auto"/>
              <w:rPr>
                <w:rFonts w:ascii="Garamond" w:hAnsi="Garamond"/>
                <w:b w:val="0"/>
                <w:bCs w:val="0"/>
                <w:sz w:val="21"/>
                <w:szCs w:val="21"/>
              </w:rPr>
            </w:pPr>
            <w:proofErr w:type="spellStart"/>
            <w:r w:rsidRPr="003037D2">
              <w:rPr>
                <w:rFonts w:ascii="Garamond" w:hAnsi="Garamond"/>
                <w:b w:val="0"/>
                <w:bCs w:val="0"/>
                <w:sz w:val="21"/>
                <w:szCs w:val="21"/>
              </w:rPr>
              <w:t>Wakeman</w:t>
            </w:r>
            <w:proofErr w:type="spellEnd"/>
            <w:r w:rsidRPr="003037D2">
              <w:rPr>
                <w:rFonts w:ascii="Garamond" w:hAnsi="Garamond"/>
                <w:b w:val="0"/>
                <w:bCs w:val="0"/>
                <w:sz w:val="21"/>
                <w:szCs w:val="21"/>
              </w:rPr>
              <w:t xml:space="preserve">, Robert </w:t>
            </w:r>
          </w:p>
        </w:tc>
        <w:tc>
          <w:tcPr>
            <w:tcW w:w="1125" w:type="dxa"/>
            <w:noWrap/>
            <w:hideMark/>
          </w:tcPr>
          <w:p w14:paraId="196454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w:t>
            </w:r>
            <w:proofErr w:type="spellStart"/>
            <w:r w:rsidRPr="003037D2">
              <w:rPr>
                <w:rFonts w:ascii="Garamond" w:hAnsi="Garamond"/>
                <w:sz w:val="21"/>
                <w:szCs w:val="21"/>
              </w:rPr>
              <w:t>Bartlet</w:t>
            </w:r>
            <w:proofErr w:type="spellEnd"/>
            <w:r w:rsidRPr="003037D2">
              <w:rPr>
                <w:rFonts w:ascii="Garamond" w:hAnsi="Garamond"/>
                <w:sz w:val="21"/>
                <w:szCs w:val="21"/>
              </w:rPr>
              <w:t xml:space="preserve"> </w:t>
            </w:r>
          </w:p>
        </w:tc>
        <w:tc>
          <w:tcPr>
            <w:tcW w:w="918" w:type="dxa"/>
            <w:noWrap/>
            <w:hideMark/>
          </w:tcPr>
          <w:p w14:paraId="38FB259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1620</w:t>
            </w:r>
          </w:p>
        </w:tc>
        <w:tc>
          <w:tcPr>
            <w:tcW w:w="931" w:type="dxa"/>
            <w:noWrap/>
            <w:hideMark/>
          </w:tcPr>
          <w:p w14:paraId="15DECC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1F5479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06C583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625B76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69D15C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1FDBAD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4990BB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508335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54A43B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3B7A80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659A9E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r>
      <w:tr w:rsidR="00A721D6" w:rsidRPr="003037D2" w14:paraId="41780EE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9707F8E"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Walker, George </w:t>
            </w:r>
          </w:p>
        </w:tc>
        <w:tc>
          <w:tcPr>
            <w:tcW w:w="1125" w:type="dxa"/>
            <w:noWrap/>
            <w:hideMark/>
          </w:tcPr>
          <w:p w14:paraId="5BDA2C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Margery Mar </w:t>
            </w:r>
          </w:p>
        </w:tc>
        <w:tc>
          <w:tcPr>
            <w:tcW w:w="918" w:type="dxa"/>
            <w:noWrap/>
            <w:hideMark/>
          </w:tcPr>
          <w:p w14:paraId="5BDC85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1642</w:t>
            </w:r>
          </w:p>
        </w:tc>
        <w:tc>
          <w:tcPr>
            <w:tcW w:w="931" w:type="dxa"/>
            <w:noWrap/>
            <w:hideMark/>
          </w:tcPr>
          <w:p w14:paraId="35EDBAE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7C2738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079D732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3E56AC4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1E1CF4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57E4FC2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06AA3E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853" w:type="dxa"/>
            <w:noWrap/>
            <w:hideMark/>
          </w:tcPr>
          <w:p w14:paraId="4C3383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5" w:type="dxa"/>
            <w:noWrap/>
            <w:hideMark/>
          </w:tcPr>
          <w:p w14:paraId="6F3E6F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4946D3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3D2B4E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r>
      <w:tr w:rsidR="00A721D6" w:rsidRPr="003037D2" w14:paraId="7881EA1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5DFE1B9"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Walker, Henry </w:t>
            </w:r>
          </w:p>
        </w:tc>
        <w:tc>
          <w:tcPr>
            <w:tcW w:w="1125" w:type="dxa"/>
            <w:noWrap/>
            <w:hideMark/>
          </w:tcPr>
          <w:p w14:paraId="68E346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I.C. </w:t>
            </w:r>
          </w:p>
        </w:tc>
        <w:tc>
          <w:tcPr>
            <w:tcW w:w="918" w:type="dxa"/>
            <w:noWrap/>
            <w:hideMark/>
          </w:tcPr>
          <w:p w14:paraId="72045F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1642</w:t>
            </w:r>
          </w:p>
        </w:tc>
        <w:tc>
          <w:tcPr>
            <w:tcW w:w="931" w:type="dxa"/>
            <w:noWrap/>
            <w:hideMark/>
          </w:tcPr>
          <w:p w14:paraId="2CC63E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4C6580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6D0D98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c>
          <w:tcPr>
            <w:tcW w:w="1203" w:type="dxa"/>
            <w:noWrap/>
            <w:hideMark/>
          </w:tcPr>
          <w:p w14:paraId="3D9D1D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4F83C4F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0D277B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3EB942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853" w:type="dxa"/>
            <w:noWrap/>
            <w:hideMark/>
          </w:tcPr>
          <w:p w14:paraId="64429F8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5" w:type="dxa"/>
            <w:noWrap/>
            <w:hideMark/>
          </w:tcPr>
          <w:p w14:paraId="6AEE1D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4BE74C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0379F3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r>
      <w:tr w:rsidR="00A721D6" w:rsidRPr="003037D2" w14:paraId="75F4842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AFFAF68"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Walker, William </w:t>
            </w:r>
          </w:p>
        </w:tc>
        <w:tc>
          <w:tcPr>
            <w:tcW w:w="1125" w:type="dxa"/>
            <w:noWrap/>
            <w:hideMark/>
          </w:tcPr>
          <w:p w14:paraId="2DF904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Robert Allot </w:t>
            </w:r>
          </w:p>
        </w:tc>
        <w:tc>
          <w:tcPr>
            <w:tcW w:w="918" w:type="dxa"/>
            <w:noWrap/>
            <w:hideMark/>
          </w:tcPr>
          <w:p w14:paraId="45259C9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1629</w:t>
            </w:r>
          </w:p>
        </w:tc>
        <w:tc>
          <w:tcPr>
            <w:tcW w:w="931" w:type="dxa"/>
            <w:noWrap/>
            <w:hideMark/>
          </w:tcPr>
          <w:p w14:paraId="4EF518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2BB265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75DFED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2AABE6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St. Paul's </w:t>
            </w:r>
          </w:p>
        </w:tc>
        <w:tc>
          <w:tcPr>
            <w:tcW w:w="1118" w:type="dxa"/>
            <w:noWrap/>
            <w:hideMark/>
          </w:tcPr>
          <w:p w14:paraId="1FA8FD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310551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341E51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c>
          <w:tcPr>
            <w:tcW w:w="853" w:type="dxa"/>
            <w:noWrap/>
            <w:hideMark/>
          </w:tcPr>
          <w:p w14:paraId="0A3B96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2B13F1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37188E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44185E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4CCA8FF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07F0205"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Wall, John </w:t>
            </w:r>
          </w:p>
        </w:tc>
        <w:tc>
          <w:tcPr>
            <w:tcW w:w="1125" w:type="dxa"/>
            <w:noWrap/>
            <w:hideMark/>
          </w:tcPr>
          <w:p w14:paraId="637D4D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William Turner </w:t>
            </w:r>
          </w:p>
        </w:tc>
        <w:tc>
          <w:tcPr>
            <w:tcW w:w="918" w:type="dxa"/>
            <w:noWrap/>
            <w:hideMark/>
          </w:tcPr>
          <w:p w14:paraId="5919300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1627</w:t>
            </w:r>
          </w:p>
        </w:tc>
        <w:tc>
          <w:tcPr>
            <w:tcW w:w="931" w:type="dxa"/>
            <w:noWrap/>
            <w:hideMark/>
          </w:tcPr>
          <w:p w14:paraId="36552C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7C9A0DA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Oxford </w:t>
            </w:r>
          </w:p>
        </w:tc>
        <w:tc>
          <w:tcPr>
            <w:tcW w:w="838" w:type="dxa"/>
            <w:noWrap/>
            <w:hideMark/>
          </w:tcPr>
          <w:p w14:paraId="3D0AE5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660CDF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16D787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656942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121EA1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853" w:type="dxa"/>
            <w:noWrap/>
            <w:hideMark/>
          </w:tcPr>
          <w:p w14:paraId="3C24DF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5" w:type="dxa"/>
            <w:noWrap/>
            <w:hideMark/>
          </w:tcPr>
          <w:p w14:paraId="6D8D85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693A39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79B917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28556C2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200B7BE"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Wall, John </w:t>
            </w:r>
          </w:p>
        </w:tc>
        <w:tc>
          <w:tcPr>
            <w:tcW w:w="1125" w:type="dxa"/>
            <w:noWrap/>
            <w:hideMark/>
          </w:tcPr>
          <w:p w14:paraId="4095A76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Clarke </w:t>
            </w:r>
          </w:p>
        </w:tc>
        <w:tc>
          <w:tcPr>
            <w:tcW w:w="918" w:type="dxa"/>
            <w:noWrap/>
            <w:hideMark/>
          </w:tcPr>
          <w:p w14:paraId="4844CB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1627</w:t>
            </w:r>
          </w:p>
        </w:tc>
        <w:tc>
          <w:tcPr>
            <w:tcW w:w="931" w:type="dxa"/>
            <w:noWrap/>
            <w:hideMark/>
          </w:tcPr>
          <w:p w14:paraId="123826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0F2930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3A45B6D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1F83C39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w:t>
            </w:r>
          </w:p>
        </w:tc>
        <w:tc>
          <w:tcPr>
            <w:tcW w:w="1118" w:type="dxa"/>
            <w:noWrap/>
            <w:hideMark/>
          </w:tcPr>
          <w:p w14:paraId="1CF3A3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49D7BDF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74A036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414951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5" w:type="dxa"/>
            <w:noWrap/>
            <w:hideMark/>
          </w:tcPr>
          <w:p w14:paraId="34D025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3037D76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694F75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3C18B6A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0234DC3"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Wall, John </w:t>
            </w:r>
          </w:p>
        </w:tc>
        <w:tc>
          <w:tcPr>
            <w:tcW w:w="1125" w:type="dxa"/>
            <w:noWrap/>
            <w:hideMark/>
          </w:tcPr>
          <w:p w14:paraId="156B2F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Lichfield </w:t>
            </w:r>
          </w:p>
        </w:tc>
        <w:tc>
          <w:tcPr>
            <w:tcW w:w="918" w:type="dxa"/>
            <w:noWrap/>
            <w:hideMark/>
          </w:tcPr>
          <w:p w14:paraId="4BFB86B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1626</w:t>
            </w:r>
          </w:p>
        </w:tc>
        <w:tc>
          <w:tcPr>
            <w:tcW w:w="931" w:type="dxa"/>
            <w:noWrap/>
            <w:hideMark/>
          </w:tcPr>
          <w:p w14:paraId="0B6BD4C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42CE95E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Oxford </w:t>
            </w:r>
          </w:p>
        </w:tc>
        <w:tc>
          <w:tcPr>
            <w:tcW w:w="838" w:type="dxa"/>
            <w:noWrap/>
            <w:hideMark/>
          </w:tcPr>
          <w:p w14:paraId="0A59C7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313F2B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5F8195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0949555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5D5A83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818" w:type="dxa"/>
            <w:gridSpan w:val="2"/>
            <w:noWrap/>
            <w:hideMark/>
          </w:tcPr>
          <w:p w14:paraId="746925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Event - visitation </w:t>
            </w:r>
          </w:p>
        </w:tc>
        <w:tc>
          <w:tcPr>
            <w:tcW w:w="1093" w:type="dxa"/>
            <w:noWrap/>
            <w:hideMark/>
          </w:tcPr>
          <w:p w14:paraId="00D0B3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61740C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r>
      <w:tr w:rsidR="00A721D6" w:rsidRPr="003037D2" w14:paraId="0B46B06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B22FDE1"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Wall, John </w:t>
            </w:r>
          </w:p>
        </w:tc>
        <w:tc>
          <w:tcPr>
            <w:tcW w:w="1125" w:type="dxa"/>
            <w:noWrap/>
            <w:hideMark/>
          </w:tcPr>
          <w:p w14:paraId="28726D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Lichfield </w:t>
            </w:r>
          </w:p>
        </w:tc>
        <w:tc>
          <w:tcPr>
            <w:tcW w:w="918" w:type="dxa"/>
            <w:noWrap/>
            <w:hideMark/>
          </w:tcPr>
          <w:p w14:paraId="48ECA76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1623</w:t>
            </w:r>
          </w:p>
        </w:tc>
        <w:tc>
          <w:tcPr>
            <w:tcW w:w="931" w:type="dxa"/>
            <w:noWrap/>
            <w:hideMark/>
          </w:tcPr>
          <w:p w14:paraId="39DFBD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577BFE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Oxford </w:t>
            </w:r>
          </w:p>
        </w:tc>
        <w:tc>
          <w:tcPr>
            <w:tcW w:w="838" w:type="dxa"/>
            <w:noWrap/>
            <w:hideMark/>
          </w:tcPr>
          <w:p w14:paraId="4ACCE8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320BB1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05B5A67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24BF12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513A21D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3E3246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Date </w:t>
            </w:r>
          </w:p>
        </w:tc>
        <w:tc>
          <w:tcPr>
            <w:tcW w:w="2058" w:type="dxa"/>
            <w:gridSpan w:val="2"/>
            <w:noWrap/>
            <w:hideMark/>
          </w:tcPr>
          <w:p w14:paraId="29B8F2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Event - funeral </w:t>
            </w:r>
          </w:p>
        </w:tc>
        <w:tc>
          <w:tcPr>
            <w:tcW w:w="963" w:type="dxa"/>
            <w:noWrap/>
            <w:hideMark/>
          </w:tcPr>
          <w:p w14:paraId="373BC6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r>
      <w:tr w:rsidR="00A721D6" w:rsidRPr="003037D2" w14:paraId="6538F6D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1EABBB5"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lastRenderedPageBreak/>
              <w:t xml:space="preserve">Wall, John </w:t>
            </w:r>
          </w:p>
        </w:tc>
        <w:tc>
          <w:tcPr>
            <w:tcW w:w="1125" w:type="dxa"/>
            <w:noWrap/>
            <w:hideMark/>
          </w:tcPr>
          <w:p w14:paraId="152FE9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Thomas Butler </w:t>
            </w:r>
          </w:p>
        </w:tc>
        <w:tc>
          <w:tcPr>
            <w:tcW w:w="918" w:type="dxa"/>
            <w:noWrap/>
            <w:hideMark/>
          </w:tcPr>
          <w:p w14:paraId="6A1D5F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1628</w:t>
            </w:r>
          </w:p>
        </w:tc>
        <w:tc>
          <w:tcPr>
            <w:tcW w:w="931" w:type="dxa"/>
            <w:noWrap/>
            <w:hideMark/>
          </w:tcPr>
          <w:p w14:paraId="03DF5A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2AAF49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Oxford </w:t>
            </w:r>
          </w:p>
        </w:tc>
        <w:tc>
          <w:tcPr>
            <w:tcW w:w="838" w:type="dxa"/>
            <w:noWrap/>
            <w:hideMark/>
          </w:tcPr>
          <w:p w14:paraId="219073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c>
          <w:tcPr>
            <w:tcW w:w="1203" w:type="dxa"/>
            <w:noWrap/>
            <w:hideMark/>
          </w:tcPr>
          <w:p w14:paraId="3DA10C9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666D40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086144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169F11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853" w:type="dxa"/>
            <w:noWrap/>
            <w:hideMark/>
          </w:tcPr>
          <w:p w14:paraId="6F72BC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5" w:type="dxa"/>
            <w:noWrap/>
            <w:hideMark/>
          </w:tcPr>
          <w:p w14:paraId="1FBA25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433409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3E51DA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r>
      <w:tr w:rsidR="00A721D6" w:rsidRPr="003037D2" w14:paraId="31601C3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56327E4"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Wall, John </w:t>
            </w:r>
          </w:p>
        </w:tc>
        <w:tc>
          <w:tcPr>
            <w:tcW w:w="1125" w:type="dxa"/>
            <w:noWrap/>
            <w:hideMark/>
          </w:tcPr>
          <w:p w14:paraId="57FE4B1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Ed. Forrest</w:t>
            </w:r>
          </w:p>
        </w:tc>
        <w:tc>
          <w:tcPr>
            <w:tcW w:w="918" w:type="dxa"/>
            <w:noWrap/>
            <w:hideMark/>
          </w:tcPr>
          <w:p w14:paraId="5193957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1625</w:t>
            </w:r>
          </w:p>
        </w:tc>
        <w:tc>
          <w:tcPr>
            <w:tcW w:w="931" w:type="dxa"/>
            <w:noWrap/>
            <w:hideMark/>
          </w:tcPr>
          <w:p w14:paraId="25D99D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286D6C2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Oxford </w:t>
            </w:r>
          </w:p>
        </w:tc>
        <w:tc>
          <w:tcPr>
            <w:tcW w:w="838" w:type="dxa"/>
            <w:noWrap/>
            <w:hideMark/>
          </w:tcPr>
          <w:p w14:paraId="08DAEF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521D52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w:t>
            </w:r>
          </w:p>
        </w:tc>
        <w:tc>
          <w:tcPr>
            <w:tcW w:w="1118" w:type="dxa"/>
            <w:noWrap/>
            <w:hideMark/>
          </w:tcPr>
          <w:p w14:paraId="49E258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0B6915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596290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c>
          <w:tcPr>
            <w:tcW w:w="853" w:type="dxa"/>
            <w:noWrap/>
            <w:hideMark/>
          </w:tcPr>
          <w:p w14:paraId="356079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511569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3D727A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6BC64C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53F36C0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F2711C4" w14:textId="77777777" w:rsidR="00A721D6" w:rsidRPr="003037D2" w:rsidRDefault="00A721D6" w:rsidP="00A721D6">
            <w:pPr>
              <w:spacing w:line="360" w:lineRule="auto"/>
              <w:rPr>
                <w:rFonts w:ascii="Garamond" w:hAnsi="Garamond"/>
                <w:b w:val="0"/>
                <w:bCs w:val="0"/>
                <w:sz w:val="21"/>
                <w:szCs w:val="21"/>
              </w:rPr>
            </w:pPr>
            <w:proofErr w:type="spellStart"/>
            <w:r w:rsidRPr="003037D2">
              <w:rPr>
                <w:rFonts w:ascii="Garamond" w:hAnsi="Garamond"/>
                <w:b w:val="0"/>
                <w:bCs w:val="0"/>
                <w:sz w:val="21"/>
                <w:szCs w:val="21"/>
              </w:rPr>
              <w:t>Walle</w:t>
            </w:r>
            <w:proofErr w:type="spellEnd"/>
            <w:r w:rsidRPr="003037D2">
              <w:rPr>
                <w:rFonts w:ascii="Garamond" w:hAnsi="Garamond"/>
                <w:b w:val="0"/>
                <w:bCs w:val="0"/>
                <w:sz w:val="21"/>
                <w:szCs w:val="21"/>
              </w:rPr>
              <w:t>, George</w:t>
            </w:r>
          </w:p>
        </w:tc>
        <w:tc>
          <w:tcPr>
            <w:tcW w:w="1125" w:type="dxa"/>
            <w:noWrap/>
            <w:hideMark/>
          </w:tcPr>
          <w:p w14:paraId="28E177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Robert Allot </w:t>
            </w:r>
          </w:p>
        </w:tc>
        <w:tc>
          <w:tcPr>
            <w:tcW w:w="918" w:type="dxa"/>
            <w:noWrap/>
            <w:hideMark/>
          </w:tcPr>
          <w:p w14:paraId="6CAC87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1635</w:t>
            </w:r>
          </w:p>
        </w:tc>
        <w:tc>
          <w:tcPr>
            <w:tcW w:w="931" w:type="dxa"/>
            <w:noWrap/>
            <w:hideMark/>
          </w:tcPr>
          <w:p w14:paraId="31E2574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533A30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7A6960E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37B7E0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w:t>
            </w:r>
          </w:p>
        </w:tc>
        <w:tc>
          <w:tcPr>
            <w:tcW w:w="1118" w:type="dxa"/>
            <w:noWrap/>
            <w:hideMark/>
          </w:tcPr>
          <w:p w14:paraId="242F53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4692DA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0AD1FE8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351E82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2058" w:type="dxa"/>
            <w:gridSpan w:val="2"/>
            <w:noWrap/>
            <w:hideMark/>
          </w:tcPr>
          <w:p w14:paraId="6E70BE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Event - visitation </w:t>
            </w:r>
          </w:p>
        </w:tc>
        <w:tc>
          <w:tcPr>
            <w:tcW w:w="963" w:type="dxa"/>
            <w:noWrap/>
            <w:hideMark/>
          </w:tcPr>
          <w:p w14:paraId="763B17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r>
      <w:tr w:rsidR="00A721D6" w:rsidRPr="003037D2" w14:paraId="07AD183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C856D44"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Walsall, Samuel </w:t>
            </w:r>
          </w:p>
        </w:tc>
        <w:tc>
          <w:tcPr>
            <w:tcW w:w="1125" w:type="dxa"/>
            <w:noWrap/>
            <w:hideMark/>
          </w:tcPr>
          <w:p w14:paraId="65BDA0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Wright </w:t>
            </w:r>
          </w:p>
        </w:tc>
        <w:tc>
          <w:tcPr>
            <w:tcW w:w="918" w:type="dxa"/>
            <w:noWrap/>
            <w:hideMark/>
          </w:tcPr>
          <w:p w14:paraId="36B682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1622</w:t>
            </w:r>
          </w:p>
        </w:tc>
        <w:tc>
          <w:tcPr>
            <w:tcW w:w="931" w:type="dxa"/>
            <w:noWrap/>
            <w:hideMark/>
          </w:tcPr>
          <w:p w14:paraId="12CBF6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35CCEC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118DE4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c>
          <w:tcPr>
            <w:tcW w:w="1203" w:type="dxa"/>
            <w:noWrap/>
            <w:hideMark/>
          </w:tcPr>
          <w:p w14:paraId="0B86AD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Court - Royston </w:t>
            </w:r>
          </w:p>
        </w:tc>
        <w:tc>
          <w:tcPr>
            <w:tcW w:w="1118" w:type="dxa"/>
            <w:noWrap/>
            <w:hideMark/>
          </w:tcPr>
          <w:p w14:paraId="48CA29D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0EB517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544A81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853" w:type="dxa"/>
            <w:noWrap/>
            <w:hideMark/>
          </w:tcPr>
          <w:p w14:paraId="4967C62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5" w:type="dxa"/>
            <w:noWrap/>
            <w:hideMark/>
          </w:tcPr>
          <w:p w14:paraId="2D29AA9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32818C2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2EEAFB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r>
      <w:tr w:rsidR="00A721D6" w:rsidRPr="003037D2" w14:paraId="1755BC7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6875D5D"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Warburton, George </w:t>
            </w:r>
          </w:p>
        </w:tc>
        <w:tc>
          <w:tcPr>
            <w:tcW w:w="1125" w:type="dxa"/>
            <w:noWrap/>
            <w:hideMark/>
          </w:tcPr>
          <w:p w14:paraId="621568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Bonham Norton and John Bill </w:t>
            </w:r>
          </w:p>
        </w:tc>
        <w:tc>
          <w:tcPr>
            <w:tcW w:w="918" w:type="dxa"/>
            <w:noWrap/>
            <w:hideMark/>
          </w:tcPr>
          <w:p w14:paraId="6A5D1E3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1623</w:t>
            </w:r>
          </w:p>
        </w:tc>
        <w:tc>
          <w:tcPr>
            <w:tcW w:w="931" w:type="dxa"/>
            <w:noWrap/>
            <w:hideMark/>
          </w:tcPr>
          <w:p w14:paraId="115D29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3E16A7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061844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6C0FD7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Court - East-</w:t>
            </w:r>
            <w:proofErr w:type="spellStart"/>
            <w:r w:rsidRPr="003037D2">
              <w:rPr>
                <w:rFonts w:ascii="Garamond" w:hAnsi="Garamond"/>
                <w:sz w:val="21"/>
                <w:szCs w:val="21"/>
              </w:rPr>
              <w:t>Hamstead</w:t>
            </w:r>
            <w:proofErr w:type="spellEnd"/>
            <w:r w:rsidRPr="003037D2">
              <w:rPr>
                <w:rFonts w:ascii="Garamond" w:hAnsi="Garamond"/>
                <w:sz w:val="21"/>
                <w:szCs w:val="21"/>
              </w:rPr>
              <w:t xml:space="preserve"> </w:t>
            </w:r>
          </w:p>
        </w:tc>
        <w:tc>
          <w:tcPr>
            <w:tcW w:w="1118" w:type="dxa"/>
            <w:noWrap/>
            <w:hideMark/>
          </w:tcPr>
          <w:p w14:paraId="36CC03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4BAA4F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5FBF2C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440D0C7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Date </w:t>
            </w:r>
          </w:p>
        </w:tc>
        <w:tc>
          <w:tcPr>
            <w:tcW w:w="2058" w:type="dxa"/>
            <w:gridSpan w:val="2"/>
            <w:noWrap/>
            <w:hideMark/>
          </w:tcPr>
          <w:p w14:paraId="43A3EB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Event - summer progress </w:t>
            </w:r>
          </w:p>
        </w:tc>
        <w:tc>
          <w:tcPr>
            <w:tcW w:w="963" w:type="dxa"/>
            <w:noWrap/>
            <w:hideMark/>
          </w:tcPr>
          <w:p w14:paraId="0283DA2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r>
      <w:tr w:rsidR="00A721D6" w:rsidRPr="003037D2" w14:paraId="3AF9CD2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F2C5CC7"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Ward, Samuel </w:t>
            </w:r>
          </w:p>
        </w:tc>
        <w:tc>
          <w:tcPr>
            <w:tcW w:w="1125" w:type="dxa"/>
            <w:noWrap/>
            <w:hideMark/>
          </w:tcPr>
          <w:p w14:paraId="73F021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Edward Brewster </w:t>
            </w:r>
          </w:p>
        </w:tc>
        <w:tc>
          <w:tcPr>
            <w:tcW w:w="918" w:type="dxa"/>
            <w:noWrap/>
            <w:hideMark/>
          </w:tcPr>
          <w:p w14:paraId="5E44D1B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1628</w:t>
            </w:r>
          </w:p>
        </w:tc>
        <w:tc>
          <w:tcPr>
            <w:tcW w:w="931" w:type="dxa"/>
            <w:noWrap/>
            <w:hideMark/>
          </w:tcPr>
          <w:p w14:paraId="112EB7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484DBDD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6977B0F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2FCC32B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Paul's Cross </w:t>
            </w:r>
          </w:p>
        </w:tc>
        <w:tc>
          <w:tcPr>
            <w:tcW w:w="1118" w:type="dxa"/>
            <w:noWrap/>
            <w:hideMark/>
          </w:tcPr>
          <w:p w14:paraId="47C1970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68CBC2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6BF1BC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853" w:type="dxa"/>
            <w:noWrap/>
            <w:hideMark/>
          </w:tcPr>
          <w:p w14:paraId="33D2F12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3E7B458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1A283C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149BE0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3F0B512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C3F6A4B"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Ward, Samuel </w:t>
            </w:r>
          </w:p>
        </w:tc>
        <w:tc>
          <w:tcPr>
            <w:tcW w:w="1125" w:type="dxa"/>
            <w:noWrap/>
            <w:hideMark/>
          </w:tcPr>
          <w:p w14:paraId="47DD8A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Roger Jackson </w:t>
            </w:r>
          </w:p>
        </w:tc>
        <w:tc>
          <w:tcPr>
            <w:tcW w:w="918" w:type="dxa"/>
            <w:noWrap/>
            <w:hideMark/>
          </w:tcPr>
          <w:p w14:paraId="1904EC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1622</w:t>
            </w:r>
          </w:p>
        </w:tc>
        <w:tc>
          <w:tcPr>
            <w:tcW w:w="931" w:type="dxa"/>
            <w:noWrap/>
            <w:hideMark/>
          </w:tcPr>
          <w:p w14:paraId="6CF7D9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7B5170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7E4D0A9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6C9B2E1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Paul's Cross </w:t>
            </w:r>
          </w:p>
        </w:tc>
        <w:tc>
          <w:tcPr>
            <w:tcW w:w="1118" w:type="dxa"/>
            <w:noWrap/>
            <w:hideMark/>
          </w:tcPr>
          <w:p w14:paraId="184546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34A25A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537E9F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853" w:type="dxa"/>
            <w:noWrap/>
            <w:hideMark/>
          </w:tcPr>
          <w:p w14:paraId="3BAF6D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53FE3F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5BCDA41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7B1DBD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47DAF8B9"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03570AE"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Ward, Samuel </w:t>
            </w:r>
          </w:p>
        </w:tc>
        <w:tc>
          <w:tcPr>
            <w:tcW w:w="1125" w:type="dxa"/>
            <w:noWrap/>
            <w:hideMark/>
          </w:tcPr>
          <w:p w14:paraId="0D30947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Marriott and John </w:t>
            </w:r>
            <w:proofErr w:type="spellStart"/>
            <w:r w:rsidRPr="003037D2">
              <w:rPr>
                <w:rFonts w:ascii="Garamond" w:hAnsi="Garamond"/>
                <w:sz w:val="21"/>
                <w:szCs w:val="21"/>
              </w:rPr>
              <w:t>Grismand</w:t>
            </w:r>
            <w:proofErr w:type="spellEnd"/>
            <w:r w:rsidRPr="003037D2">
              <w:rPr>
                <w:rFonts w:ascii="Garamond" w:hAnsi="Garamond"/>
                <w:sz w:val="21"/>
                <w:szCs w:val="21"/>
              </w:rPr>
              <w:t xml:space="preserve"> </w:t>
            </w:r>
          </w:p>
        </w:tc>
        <w:tc>
          <w:tcPr>
            <w:tcW w:w="918" w:type="dxa"/>
            <w:noWrap/>
            <w:hideMark/>
          </w:tcPr>
          <w:p w14:paraId="1BBB3C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1622</w:t>
            </w:r>
          </w:p>
        </w:tc>
        <w:tc>
          <w:tcPr>
            <w:tcW w:w="931" w:type="dxa"/>
            <w:noWrap/>
            <w:hideMark/>
          </w:tcPr>
          <w:p w14:paraId="7903E3A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25416D8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5A1401F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4C9BB7A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0CE206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5625B48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7F8B1E3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818" w:type="dxa"/>
            <w:gridSpan w:val="2"/>
            <w:noWrap/>
            <w:hideMark/>
          </w:tcPr>
          <w:p w14:paraId="171324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Event - visitation </w:t>
            </w:r>
          </w:p>
        </w:tc>
        <w:tc>
          <w:tcPr>
            <w:tcW w:w="1093" w:type="dxa"/>
            <w:noWrap/>
            <w:hideMark/>
          </w:tcPr>
          <w:p w14:paraId="5462D0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6DEA12A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68067D7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6849984"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Ward, Samuel </w:t>
            </w:r>
          </w:p>
        </w:tc>
        <w:tc>
          <w:tcPr>
            <w:tcW w:w="1125" w:type="dxa"/>
            <w:noWrap/>
            <w:hideMark/>
          </w:tcPr>
          <w:p w14:paraId="18021B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Marriott and John </w:t>
            </w:r>
            <w:proofErr w:type="spellStart"/>
            <w:r w:rsidRPr="003037D2">
              <w:rPr>
                <w:rFonts w:ascii="Garamond" w:hAnsi="Garamond"/>
                <w:sz w:val="21"/>
                <w:szCs w:val="21"/>
              </w:rPr>
              <w:t>Grismand</w:t>
            </w:r>
            <w:proofErr w:type="spellEnd"/>
            <w:r w:rsidRPr="003037D2">
              <w:rPr>
                <w:rFonts w:ascii="Garamond" w:hAnsi="Garamond"/>
                <w:sz w:val="21"/>
                <w:szCs w:val="21"/>
              </w:rPr>
              <w:t xml:space="preserve"> </w:t>
            </w:r>
          </w:p>
        </w:tc>
        <w:tc>
          <w:tcPr>
            <w:tcW w:w="918" w:type="dxa"/>
            <w:noWrap/>
            <w:hideMark/>
          </w:tcPr>
          <w:p w14:paraId="23DDEAE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1621</w:t>
            </w:r>
          </w:p>
        </w:tc>
        <w:tc>
          <w:tcPr>
            <w:tcW w:w="931" w:type="dxa"/>
            <w:noWrap/>
            <w:hideMark/>
          </w:tcPr>
          <w:p w14:paraId="1388A36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7BF0EB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6479F7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3605D8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1946D9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Assize </w:t>
            </w:r>
          </w:p>
        </w:tc>
        <w:tc>
          <w:tcPr>
            <w:tcW w:w="981" w:type="dxa"/>
            <w:noWrap/>
            <w:hideMark/>
          </w:tcPr>
          <w:p w14:paraId="4E0E6A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1A1012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853" w:type="dxa"/>
            <w:noWrap/>
            <w:hideMark/>
          </w:tcPr>
          <w:p w14:paraId="759A7B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5" w:type="dxa"/>
            <w:noWrap/>
            <w:hideMark/>
          </w:tcPr>
          <w:p w14:paraId="4279DB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57F3CC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3EF56A9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r>
      <w:tr w:rsidR="00A721D6" w:rsidRPr="003037D2" w14:paraId="6E89508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C0825EE"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lastRenderedPageBreak/>
              <w:t xml:space="preserve">Ward, Samuel </w:t>
            </w:r>
          </w:p>
        </w:tc>
        <w:tc>
          <w:tcPr>
            <w:tcW w:w="1125" w:type="dxa"/>
            <w:noWrap/>
            <w:hideMark/>
          </w:tcPr>
          <w:p w14:paraId="3FA4044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Marriott and John </w:t>
            </w:r>
            <w:proofErr w:type="spellStart"/>
            <w:r w:rsidRPr="003037D2">
              <w:rPr>
                <w:rFonts w:ascii="Garamond" w:hAnsi="Garamond"/>
                <w:sz w:val="21"/>
                <w:szCs w:val="21"/>
              </w:rPr>
              <w:t>Grismand</w:t>
            </w:r>
            <w:proofErr w:type="spellEnd"/>
            <w:r w:rsidRPr="003037D2">
              <w:rPr>
                <w:rFonts w:ascii="Garamond" w:hAnsi="Garamond"/>
                <w:sz w:val="21"/>
                <w:szCs w:val="21"/>
              </w:rPr>
              <w:t xml:space="preserve"> </w:t>
            </w:r>
          </w:p>
        </w:tc>
        <w:tc>
          <w:tcPr>
            <w:tcW w:w="918" w:type="dxa"/>
            <w:noWrap/>
            <w:hideMark/>
          </w:tcPr>
          <w:p w14:paraId="124542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1623</w:t>
            </w:r>
          </w:p>
        </w:tc>
        <w:tc>
          <w:tcPr>
            <w:tcW w:w="931" w:type="dxa"/>
            <w:noWrap/>
            <w:hideMark/>
          </w:tcPr>
          <w:p w14:paraId="061FB9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0A1AD6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42A9CF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0784DE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0F5BAB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Assize </w:t>
            </w:r>
          </w:p>
        </w:tc>
        <w:tc>
          <w:tcPr>
            <w:tcW w:w="981" w:type="dxa"/>
            <w:noWrap/>
            <w:hideMark/>
          </w:tcPr>
          <w:p w14:paraId="4AD5285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6E7989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853" w:type="dxa"/>
            <w:noWrap/>
            <w:hideMark/>
          </w:tcPr>
          <w:p w14:paraId="479992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5" w:type="dxa"/>
            <w:noWrap/>
            <w:hideMark/>
          </w:tcPr>
          <w:p w14:paraId="699087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68B675A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3ACD3C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r>
      <w:tr w:rsidR="00A721D6" w:rsidRPr="003037D2" w14:paraId="02233D3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4E312E7"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Ward, Samuel </w:t>
            </w:r>
          </w:p>
        </w:tc>
        <w:tc>
          <w:tcPr>
            <w:tcW w:w="1125" w:type="dxa"/>
            <w:noWrap/>
            <w:hideMark/>
          </w:tcPr>
          <w:p w14:paraId="3658E2E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Marriott and John </w:t>
            </w:r>
            <w:proofErr w:type="spellStart"/>
            <w:r w:rsidRPr="003037D2">
              <w:rPr>
                <w:rFonts w:ascii="Garamond" w:hAnsi="Garamond"/>
                <w:sz w:val="21"/>
                <w:szCs w:val="21"/>
              </w:rPr>
              <w:t>Grismand</w:t>
            </w:r>
            <w:proofErr w:type="spellEnd"/>
            <w:r w:rsidRPr="003037D2">
              <w:rPr>
                <w:rFonts w:ascii="Garamond" w:hAnsi="Garamond"/>
                <w:sz w:val="21"/>
                <w:szCs w:val="21"/>
              </w:rPr>
              <w:t xml:space="preserve"> </w:t>
            </w:r>
          </w:p>
        </w:tc>
        <w:tc>
          <w:tcPr>
            <w:tcW w:w="918" w:type="dxa"/>
            <w:noWrap/>
            <w:hideMark/>
          </w:tcPr>
          <w:p w14:paraId="0B04F6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1624</w:t>
            </w:r>
          </w:p>
        </w:tc>
        <w:tc>
          <w:tcPr>
            <w:tcW w:w="931" w:type="dxa"/>
            <w:noWrap/>
            <w:hideMark/>
          </w:tcPr>
          <w:p w14:paraId="586EBD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2B5EC0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6D1930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7A5560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385694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6C93A3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77006E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669756F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2058" w:type="dxa"/>
            <w:gridSpan w:val="2"/>
            <w:noWrap/>
            <w:hideMark/>
          </w:tcPr>
          <w:p w14:paraId="56F0A9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Event - Prince's return </w:t>
            </w:r>
          </w:p>
        </w:tc>
        <w:tc>
          <w:tcPr>
            <w:tcW w:w="963" w:type="dxa"/>
            <w:noWrap/>
            <w:hideMark/>
          </w:tcPr>
          <w:p w14:paraId="69A88C8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39618B8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CEFD5E6"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Watson, Richard </w:t>
            </w:r>
          </w:p>
        </w:tc>
        <w:tc>
          <w:tcPr>
            <w:tcW w:w="1125" w:type="dxa"/>
            <w:noWrap/>
            <w:hideMark/>
          </w:tcPr>
          <w:p w14:paraId="37EDA28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Roger Daniel </w:t>
            </w:r>
          </w:p>
        </w:tc>
        <w:tc>
          <w:tcPr>
            <w:tcW w:w="918" w:type="dxa"/>
            <w:noWrap/>
            <w:hideMark/>
          </w:tcPr>
          <w:p w14:paraId="328050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1642</w:t>
            </w:r>
          </w:p>
        </w:tc>
        <w:tc>
          <w:tcPr>
            <w:tcW w:w="931" w:type="dxa"/>
            <w:noWrap/>
            <w:hideMark/>
          </w:tcPr>
          <w:p w14:paraId="7FA7F6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69AE31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Cambridge </w:t>
            </w:r>
          </w:p>
        </w:tc>
        <w:tc>
          <w:tcPr>
            <w:tcW w:w="838" w:type="dxa"/>
            <w:noWrap/>
            <w:hideMark/>
          </w:tcPr>
          <w:p w14:paraId="5A9B6A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c>
          <w:tcPr>
            <w:tcW w:w="1203" w:type="dxa"/>
            <w:noWrap/>
            <w:hideMark/>
          </w:tcPr>
          <w:p w14:paraId="174806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w:t>
            </w:r>
          </w:p>
        </w:tc>
        <w:tc>
          <w:tcPr>
            <w:tcW w:w="1118" w:type="dxa"/>
            <w:noWrap/>
            <w:hideMark/>
          </w:tcPr>
          <w:p w14:paraId="412E09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1E3086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46A9179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853" w:type="dxa"/>
            <w:noWrap/>
            <w:hideMark/>
          </w:tcPr>
          <w:p w14:paraId="5FF9EA0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5" w:type="dxa"/>
            <w:noWrap/>
            <w:hideMark/>
          </w:tcPr>
          <w:p w14:paraId="1194961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0C4DDD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22372A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r>
      <w:tr w:rsidR="00A721D6" w:rsidRPr="003037D2" w14:paraId="3CDA265F"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E328E09"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Watts, William </w:t>
            </w:r>
          </w:p>
        </w:tc>
        <w:tc>
          <w:tcPr>
            <w:tcW w:w="1125" w:type="dxa"/>
            <w:noWrap/>
            <w:hideMark/>
          </w:tcPr>
          <w:p w14:paraId="247FE0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Cowper </w:t>
            </w:r>
          </w:p>
        </w:tc>
        <w:tc>
          <w:tcPr>
            <w:tcW w:w="918" w:type="dxa"/>
            <w:noWrap/>
            <w:hideMark/>
          </w:tcPr>
          <w:p w14:paraId="58E23F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1637</w:t>
            </w:r>
          </w:p>
        </w:tc>
        <w:tc>
          <w:tcPr>
            <w:tcW w:w="931" w:type="dxa"/>
            <w:noWrap/>
            <w:hideMark/>
          </w:tcPr>
          <w:p w14:paraId="7AB83F3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095D596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5D3C729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c>
          <w:tcPr>
            <w:tcW w:w="1203" w:type="dxa"/>
            <w:noWrap/>
            <w:hideMark/>
          </w:tcPr>
          <w:p w14:paraId="73056D2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St. Paul's </w:t>
            </w:r>
          </w:p>
        </w:tc>
        <w:tc>
          <w:tcPr>
            <w:tcW w:w="1118" w:type="dxa"/>
            <w:noWrap/>
            <w:hideMark/>
          </w:tcPr>
          <w:p w14:paraId="3238C6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4730C19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3480243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32F906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1688A2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Term dates</w:t>
            </w:r>
          </w:p>
        </w:tc>
        <w:tc>
          <w:tcPr>
            <w:tcW w:w="1093" w:type="dxa"/>
            <w:noWrap/>
            <w:hideMark/>
          </w:tcPr>
          <w:p w14:paraId="12D3AE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5DD12DE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486F39B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17FEDA3D"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Westfield, Thomas </w:t>
            </w:r>
          </w:p>
        </w:tc>
        <w:tc>
          <w:tcPr>
            <w:tcW w:w="1125" w:type="dxa"/>
            <w:noWrap/>
            <w:hideMark/>
          </w:tcPr>
          <w:p w14:paraId="270713D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 Partridge </w:t>
            </w:r>
          </w:p>
        </w:tc>
        <w:tc>
          <w:tcPr>
            <w:tcW w:w="918" w:type="dxa"/>
            <w:noWrap/>
            <w:hideMark/>
          </w:tcPr>
          <w:p w14:paraId="559072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1641</w:t>
            </w:r>
          </w:p>
        </w:tc>
        <w:tc>
          <w:tcPr>
            <w:tcW w:w="931" w:type="dxa"/>
            <w:noWrap/>
            <w:hideMark/>
          </w:tcPr>
          <w:p w14:paraId="217DB5F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6EBB5F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25462B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c>
          <w:tcPr>
            <w:tcW w:w="1203" w:type="dxa"/>
            <w:noWrap/>
            <w:hideMark/>
          </w:tcPr>
          <w:p w14:paraId="101120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St. Paul's </w:t>
            </w:r>
          </w:p>
        </w:tc>
        <w:tc>
          <w:tcPr>
            <w:tcW w:w="1118" w:type="dxa"/>
            <w:noWrap/>
            <w:hideMark/>
          </w:tcPr>
          <w:p w14:paraId="7C0F5E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74978C3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74EAC0B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c>
          <w:tcPr>
            <w:tcW w:w="853" w:type="dxa"/>
            <w:noWrap/>
            <w:hideMark/>
          </w:tcPr>
          <w:p w14:paraId="6CF0293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Date </w:t>
            </w:r>
          </w:p>
        </w:tc>
        <w:tc>
          <w:tcPr>
            <w:tcW w:w="965" w:type="dxa"/>
            <w:noWrap/>
            <w:hideMark/>
          </w:tcPr>
          <w:p w14:paraId="546ACD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2051AE4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7896B3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5D2E988B"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E04F8F7" w14:textId="77777777" w:rsidR="00A721D6" w:rsidRPr="003037D2" w:rsidRDefault="00A721D6" w:rsidP="00A721D6">
            <w:pPr>
              <w:spacing w:line="360" w:lineRule="auto"/>
              <w:rPr>
                <w:rFonts w:ascii="Garamond" w:hAnsi="Garamond"/>
                <w:b w:val="0"/>
                <w:bCs w:val="0"/>
                <w:sz w:val="21"/>
                <w:szCs w:val="21"/>
              </w:rPr>
            </w:pPr>
            <w:proofErr w:type="spellStart"/>
            <w:r w:rsidRPr="003037D2">
              <w:rPr>
                <w:rFonts w:ascii="Garamond" w:hAnsi="Garamond"/>
                <w:b w:val="0"/>
                <w:bCs w:val="0"/>
                <w:sz w:val="21"/>
                <w:szCs w:val="21"/>
              </w:rPr>
              <w:t>Whately</w:t>
            </w:r>
            <w:proofErr w:type="spellEnd"/>
            <w:r w:rsidRPr="003037D2">
              <w:rPr>
                <w:rFonts w:ascii="Garamond" w:hAnsi="Garamond"/>
                <w:b w:val="0"/>
                <w:bCs w:val="0"/>
                <w:sz w:val="21"/>
                <w:szCs w:val="21"/>
              </w:rPr>
              <w:t xml:space="preserve">, William </w:t>
            </w:r>
          </w:p>
        </w:tc>
        <w:tc>
          <w:tcPr>
            <w:tcW w:w="1125" w:type="dxa"/>
            <w:noWrap/>
            <w:hideMark/>
          </w:tcPr>
          <w:p w14:paraId="4FD0086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George Edwards </w:t>
            </w:r>
          </w:p>
        </w:tc>
        <w:tc>
          <w:tcPr>
            <w:tcW w:w="918" w:type="dxa"/>
            <w:noWrap/>
            <w:hideMark/>
          </w:tcPr>
          <w:p w14:paraId="7ADE336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1628</w:t>
            </w:r>
          </w:p>
        </w:tc>
        <w:tc>
          <w:tcPr>
            <w:tcW w:w="931" w:type="dxa"/>
            <w:noWrap/>
            <w:hideMark/>
          </w:tcPr>
          <w:p w14:paraId="3966B8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34CC8E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267B12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5A87A1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204030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59911B2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2ECA94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2CA2B4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78E7D1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Event - fire </w:t>
            </w:r>
          </w:p>
        </w:tc>
        <w:tc>
          <w:tcPr>
            <w:tcW w:w="1093" w:type="dxa"/>
            <w:noWrap/>
            <w:hideMark/>
          </w:tcPr>
          <w:p w14:paraId="704BFF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2E9D22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7FF4A7C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F9EE2F6" w14:textId="77777777" w:rsidR="00A721D6" w:rsidRPr="003037D2" w:rsidRDefault="00A721D6" w:rsidP="00A721D6">
            <w:pPr>
              <w:spacing w:line="360" w:lineRule="auto"/>
              <w:rPr>
                <w:rFonts w:ascii="Garamond" w:hAnsi="Garamond"/>
                <w:b w:val="0"/>
                <w:bCs w:val="0"/>
                <w:sz w:val="21"/>
                <w:szCs w:val="21"/>
              </w:rPr>
            </w:pPr>
            <w:proofErr w:type="spellStart"/>
            <w:r w:rsidRPr="003037D2">
              <w:rPr>
                <w:rFonts w:ascii="Garamond" w:hAnsi="Garamond"/>
                <w:b w:val="0"/>
                <w:bCs w:val="0"/>
                <w:sz w:val="21"/>
                <w:szCs w:val="21"/>
              </w:rPr>
              <w:t>Whately</w:t>
            </w:r>
            <w:proofErr w:type="spellEnd"/>
            <w:r w:rsidRPr="003037D2">
              <w:rPr>
                <w:rFonts w:ascii="Garamond" w:hAnsi="Garamond"/>
                <w:b w:val="0"/>
                <w:bCs w:val="0"/>
                <w:sz w:val="21"/>
                <w:szCs w:val="21"/>
              </w:rPr>
              <w:t xml:space="preserve">, William </w:t>
            </w:r>
          </w:p>
        </w:tc>
        <w:tc>
          <w:tcPr>
            <w:tcW w:w="1125" w:type="dxa"/>
            <w:noWrap/>
            <w:hideMark/>
          </w:tcPr>
          <w:p w14:paraId="6D75E8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George Edwards </w:t>
            </w:r>
          </w:p>
        </w:tc>
        <w:tc>
          <w:tcPr>
            <w:tcW w:w="918" w:type="dxa"/>
            <w:noWrap/>
            <w:hideMark/>
          </w:tcPr>
          <w:p w14:paraId="5F6E47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1630</w:t>
            </w:r>
          </w:p>
        </w:tc>
        <w:tc>
          <w:tcPr>
            <w:tcW w:w="931" w:type="dxa"/>
            <w:noWrap/>
            <w:hideMark/>
          </w:tcPr>
          <w:p w14:paraId="24B2D2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7B3519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3F1897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2D859FC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7A4F16C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472A35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39533B8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4920781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7DAB414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Event - fire </w:t>
            </w:r>
          </w:p>
        </w:tc>
        <w:tc>
          <w:tcPr>
            <w:tcW w:w="1093" w:type="dxa"/>
            <w:noWrap/>
            <w:hideMark/>
          </w:tcPr>
          <w:p w14:paraId="2DF4FC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2A9A63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3D36CD6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7D4C552" w14:textId="77777777" w:rsidR="00A721D6" w:rsidRPr="003037D2" w:rsidRDefault="00A721D6" w:rsidP="00A721D6">
            <w:pPr>
              <w:spacing w:line="360" w:lineRule="auto"/>
              <w:rPr>
                <w:rFonts w:ascii="Garamond" w:hAnsi="Garamond"/>
                <w:b w:val="0"/>
                <w:bCs w:val="0"/>
                <w:sz w:val="21"/>
                <w:szCs w:val="21"/>
              </w:rPr>
            </w:pPr>
            <w:proofErr w:type="spellStart"/>
            <w:r w:rsidRPr="003037D2">
              <w:rPr>
                <w:rFonts w:ascii="Garamond" w:hAnsi="Garamond"/>
                <w:b w:val="0"/>
                <w:bCs w:val="0"/>
                <w:sz w:val="21"/>
                <w:szCs w:val="21"/>
              </w:rPr>
              <w:t>Whately</w:t>
            </w:r>
            <w:proofErr w:type="spellEnd"/>
            <w:r w:rsidRPr="003037D2">
              <w:rPr>
                <w:rFonts w:ascii="Garamond" w:hAnsi="Garamond"/>
                <w:b w:val="0"/>
                <w:bCs w:val="0"/>
                <w:sz w:val="21"/>
                <w:szCs w:val="21"/>
              </w:rPr>
              <w:t xml:space="preserve">, William </w:t>
            </w:r>
          </w:p>
        </w:tc>
        <w:tc>
          <w:tcPr>
            <w:tcW w:w="1125" w:type="dxa"/>
            <w:noWrap/>
            <w:hideMark/>
          </w:tcPr>
          <w:p w14:paraId="68A2C0C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Edward Langham </w:t>
            </w:r>
          </w:p>
        </w:tc>
        <w:tc>
          <w:tcPr>
            <w:tcW w:w="918" w:type="dxa"/>
            <w:noWrap/>
            <w:hideMark/>
          </w:tcPr>
          <w:p w14:paraId="46CA01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1628</w:t>
            </w:r>
          </w:p>
        </w:tc>
        <w:tc>
          <w:tcPr>
            <w:tcW w:w="931" w:type="dxa"/>
            <w:noWrap/>
            <w:hideMark/>
          </w:tcPr>
          <w:p w14:paraId="4E9D3E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01764B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323ED6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2FC7C0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1D40207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402B574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59C11F2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60D49B7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575D19F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Event - fire </w:t>
            </w:r>
          </w:p>
        </w:tc>
        <w:tc>
          <w:tcPr>
            <w:tcW w:w="1093" w:type="dxa"/>
            <w:noWrap/>
            <w:hideMark/>
          </w:tcPr>
          <w:p w14:paraId="29B91A1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3D2B32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39AB3E9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A71EEA8" w14:textId="77777777" w:rsidR="00A721D6" w:rsidRPr="003037D2" w:rsidRDefault="00A721D6" w:rsidP="00A721D6">
            <w:pPr>
              <w:spacing w:line="360" w:lineRule="auto"/>
              <w:rPr>
                <w:rFonts w:ascii="Garamond" w:hAnsi="Garamond"/>
                <w:b w:val="0"/>
                <w:bCs w:val="0"/>
                <w:sz w:val="21"/>
                <w:szCs w:val="21"/>
              </w:rPr>
            </w:pPr>
            <w:proofErr w:type="spellStart"/>
            <w:r w:rsidRPr="003037D2">
              <w:rPr>
                <w:rFonts w:ascii="Garamond" w:hAnsi="Garamond"/>
                <w:b w:val="0"/>
                <w:bCs w:val="0"/>
                <w:sz w:val="21"/>
                <w:szCs w:val="21"/>
              </w:rPr>
              <w:t>Whitbie</w:t>
            </w:r>
            <w:proofErr w:type="spellEnd"/>
            <w:r w:rsidRPr="003037D2">
              <w:rPr>
                <w:rFonts w:ascii="Garamond" w:hAnsi="Garamond"/>
                <w:b w:val="0"/>
                <w:bCs w:val="0"/>
                <w:sz w:val="21"/>
                <w:szCs w:val="21"/>
              </w:rPr>
              <w:t xml:space="preserve">, Oliver </w:t>
            </w:r>
          </w:p>
        </w:tc>
        <w:tc>
          <w:tcPr>
            <w:tcW w:w="1125" w:type="dxa"/>
            <w:noWrap/>
            <w:hideMark/>
          </w:tcPr>
          <w:p w14:paraId="7FDD9C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Richard Whittaker </w:t>
            </w:r>
          </w:p>
        </w:tc>
        <w:tc>
          <w:tcPr>
            <w:tcW w:w="918" w:type="dxa"/>
            <w:noWrap/>
            <w:hideMark/>
          </w:tcPr>
          <w:p w14:paraId="73D7B19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1637</w:t>
            </w:r>
          </w:p>
        </w:tc>
        <w:tc>
          <w:tcPr>
            <w:tcW w:w="931" w:type="dxa"/>
            <w:noWrap/>
            <w:hideMark/>
          </w:tcPr>
          <w:p w14:paraId="34C59A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1BB55E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17EE1E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251455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St. Paul's </w:t>
            </w:r>
          </w:p>
        </w:tc>
        <w:tc>
          <w:tcPr>
            <w:tcW w:w="2099" w:type="dxa"/>
            <w:gridSpan w:val="2"/>
            <w:noWrap/>
            <w:hideMark/>
          </w:tcPr>
          <w:p w14:paraId="181A995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‘appointed for the </w:t>
            </w:r>
            <w:proofErr w:type="spellStart"/>
            <w:r w:rsidRPr="003037D2">
              <w:rPr>
                <w:rFonts w:ascii="Garamond" w:hAnsi="Garamond"/>
                <w:sz w:val="21"/>
                <w:szCs w:val="21"/>
              </w:rPr>
              <w:t>crosse</w:t>
            </w:r>
            <w:proofErr w:type="spellEnd"/>
            <w:r w:rsidRPr="003037D2">
              <w:rPr>
                <w:rFonts w:ascii="Garamond" w:hAnsi="Garamond"/>
                <w:sz w:val="21"/>
                <w:szCs w:val="21"/>
              </w:rPr>
              <w:t xml:space="preserve">’ </w:t>
            </w:r>
          </w:p>
        </w:tc>
        <w:tc>
          <w:tcPr>
            <w:tcW w:w="681" w:type="dxa"/>
            <w:noWrap/>
            <w:hideMark/>
          </w:tcPr>
          <w:p w14:paraId="4F7A45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20C71D4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Date </w:t>
            </w:r>
          </w:p>
        </w:tc>
        <w:tc>
          <w:tcPr>
            <w:tcW w:w="965" w:type="dxa"/>
            <w:noWrap/>
            <w:hideMark/>
          </w:tcPr>
          <w:p w14:paraId="11B9FD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Event - plague </w:t>
            </w:r>
          </w:p>
        </w:tc>
        <w:tc>
          <w:tcPr>
            <w:tcW w:w="1093" w:type="dxa"/>
            <w:noWrap/>
            <w:hideMark/>
          </w:tcPr>
          <w:p w14:paraId="2734D0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3033435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r>
      <w:tr w:rsidR="00A721D6" w:rsidRPr="003037D2" w14:paraId="56007B4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98C11F8"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lastRenderedPageBreak/>
              <w:t xml:space="preserve">White, Christopher </w:t>
            </w:r>
          </w:p>
        </w:tc>
        <w:tc>
          <w:tcPr>
            <w:tcW w:w="1125" w:type="dxa"/>
            <w:noWrap/>
            <w:hideMark/>
          </w:tcPr>
          <w:p w14:paraId="0D9A5A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Bonham Norton and John Bill </w:t>
            </w:r>
          </w:p>
        </w:tc>
        <w:tc>
          <w:tcPr>
            <w:tcW w:w="918" w:type="dxa"/>
            <w:noWrap/>
            <w:hideMark/>
          </w:tcPr>
          <w:p w14:paraId="7589AAF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1622</w:t>
            </w:r>
          </w:p>
        </w:tc>
        <w:tc>
          <w:tcPr>
            <w:tcW w:w="931" w:type="dxa"/>
            <w:noWrap/>
            <w:hideMark/>
          </w:tcPr>
          <w:p w14:paraId="3D71291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394128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13BD65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63F021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Cathedral </w:t>
            </w:r>
          </w:p>
        </w:tc>
        <w:tc>
          <w:tcPr>
            <w:tcW w:w="1118" w:type="dxa"/>
            <w:noWrap/>
            <w:hideMark/>
          </w:tcPr>
          <w:p w14:paraId="0E3AB56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7D4E2B3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3ADD1E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4FF154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784C97D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2D6A3A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5F5B8B6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1DE3193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B8588B0"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Whittaker, Jeremiah </w:t>
            </w:r>
          </w:p>
        </w:tc>
        <w:tc>
          <w:tcPr>
            <w:tcW w:w="1125" w:type="dxa"/>
            <w:noWrap/>
            <w:hideMark/>
          </w:tcPr>
          <w:p w14:paraId="7CD9AF7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w:t>
            </w:r>
            <w:proofErr w:type="spellStart"/>
            <w:r w:rsidRPr="003037D2">
              <w:rPr>
                <w:rFonts w:ascii="Garamond" w:hAnsi="Garamond"/>
                <w:sz w:val="21"/>
                <w:szCs w:val="21"/>
              </w:rPr>
              <w:t>Bellamie</w:t>
            </w:r>
            <w:proofErr w:type="spellEnd"/>
          </w:p>
        </w:tc>
        <w:tc>
          <w:tcPr>
            <w:tcW w:w="918" w:type="dxa"/>
            <w:noWrap/>
            <w:hideMark/>
          </w:tcPr>
          <w:p w14:paraId="462E29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1642</w:t>
            </w:r>
          </w:p>
        </w:tc>
        <w:tc>
          <w:tcPr>
            <w:tcW w:w="931" w:type="dxa"/>
            <w:noWrap/>
            <w:hideMark/>
          </w:tcPr>
          <w:p w14:paraId="73F8EE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2FF2E53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1451722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139470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House of Commons </w:t>
            </w:r>
          </w:p>
        </w:tc>
        <w:tc>
          <w:tcPr>
            <w:tcW w:w="1118" w:type="dxa"/>
            <w:noWrap/>
            <w:hideMark/>
          </w:tcPr>
          <w:p w14:paraId="40B811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7093DC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737678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c>
          <w:tcPr>
            <w:tcW w:w="853" w:type="dxa"/>
            <w:noWrap/>
            <w:hideMark/>
          </w:tcPr>
          <w:p w14:paraId="22F2A44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Date </w:t>
            </w:r>
          </w:p>
        </w:tc>
        <w:tc>
          <w:tcPr>
            <w:tcW w:w="965" w:type="dxa"/>
            <w:noWrap/>
            <w:hideMark/>
          </w:tcPr>
          <w:p w14:paraId="519409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Event - fast </w:t>
            </w:r>
          </w:p>
        </w:tc>
        <w:tc>
          <w:tcPr>
            <w:tcW w:w="1093" w:type="dxa"/>
            <w:noWrap/>
            <w:hideMark/>
          </w:tcPr>
          <w:p w14:paraId="37408D4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427858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r>
      <w:tr w:rsidR="00A721D6" w:rsidRPr="003037D2" w14:paraId="09308778"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C4B319E"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Whittaker, Jeremiah </w:t>
            </w:r>
          </w:p>
        </w:tc>
        <w:tc>
          <w:tcPr>
            <w:tcW w:w="1125" w:type="dxa"/>
            <w:noWrap/>
            <w:hideMark/>
          </w:tcPr>
          <w:p w14:paraId="5BBB3D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Rothwell </w:t>
            </w:r>
          </w:p>
        </w:tc>
        <w:tc>
          <w:tcPr>
            <w:tcW w:w="918" w:type="dxa"/>
            <w:noWrap/>
            <w:hideMark/>
          </w:tcPr>
          <w:p w14:paraId="393A40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1642</w:t>
            </w:r>
          </w:p>
        </w:tc>
        <w:tc>
          <w:tcPr>
            <w:tcW w:w="931" w:type="dxa"/>
            <w:noWrap/>
            <w:hideMark/>
          </w:tcPr>
          <w:p w14:paraId="0AD338A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64323BC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762B656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79DF12A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House of Commons </w:t>
            </w:r>
          </w:p>
        </w:tc>
        <w:tc>
          <w:tcPr>
            <w:tcW w:w="1118" w:type="dxa"/>
            <w:noWrap/>
            <w:hideMark/>
          </w:tcPr>
          <w:p w14:paraId="7DDAE3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516177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23324F7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c>
          <w:tcPr>
            <w:tcW w:w="853" w:type="dxa"/>
            <w:noWrap/>
            <w:hideMark/>
          </w:tcPr>
          <w:p w14:paraId="5C1FDD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Date </w:t>
            </w:r>
          </w:p>
        </w:tc>
        <w:tc>
          <w:tcPr>
            <w:tcW w:w="965" w:type="dxa"/>
            <w:noWrap/>
            <w:hideMark/>
          </w:tcPr>
          <w:p w14:paraId="4D7AA9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Event - fast </w:t>
            </w:r>
          </w:p>
        </w:tc>
        <w:tc>
          <w:tcPr>
            <w:tcW w:w="1093" w:type="dxa"/>
            <w:noWrap/>
            <w:hideMark/>
          </w:tcPr>
          <w:p w14:paraId="75C445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059D938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r>
      <w:tr w:rsidR="00A721D6" w:rsidRPr="003037D2" w14:paraId="036EE82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5C9C4A3" w14:textId="77777777" w:rsidR="00A721D6" w:rsidRPr="003037D2" w:rsidRDefault="00A721D6" w:rsidP="00A721D6">
            <w:pPr>
              <w:spacing w:line="360" w:lineRule="auto"/>
              <w:rPr>
                <w:rFonts w:ascii="Garamond" w:hAnsi="Garamond"/>
                <w:b w:val="0"/>
                <w:bCs w:val="0"/>
                <w:sz w:val="21"/>
                <w:szCs w:val="21"/>
              </w:rPr>
            </w:pPr>
            <w:proofErr w:type="spellStart"/>
            <w:r w:rsidRPr="003037D2">
              <w:rPr>
                <w:rFonts w:ascii="Garamond" w:hAnsi="Garamond"/>
                <w:b w:val="0"/>
                <w:bCs w:val="0"/>
                <w:sz w:val="21"/>
                <w:szCs w:val="21"/>
              </w:rPr>
              <w:t>Widdowes</w:t>
            </w:r>
            <w:proofErr w:type="spellEnd"/>
            <w:r w:rsidRPr="003037D2">
              <w:rPr>
                <w:rFonts w:ascii="Garamond" w:hAnsi="Garamond"/>
                <w:b w:val="0"/>
                <w:bCs w:val="0"/>
                <w:sz w:val="21"/>
                <w:szCs w:val="21"/>
              </w:rPr>
              <w:t xml:space="preserve">, Giles </w:t>
            </w:r>
          </w:p>
        </w:tc>
        <w:tc>
          <w:tcPr>
            <w:tcW w:w="1125" w:type="dxa"/>
            <w:noWrap/>
            <w:hideMark/>
          </w:tcPr>
          <w:p w14:paraId="488963F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 Lichfield </w:t>
            </w:r>
          </w:p>
        </w:tc>
        <w:tc>
          <w:tcPr>
            <w:tcW w:w="918" w:type="dxa"/>
            <w:noWrap/>
            <w:hideMark/>
          </w:tcPr>
          <w:p w14:paraId="59CD419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1631</w:t>
            </w:r>
          </w:p>
        </w:tc>
        <w:tc>
          <w:tcPr>
            <w:tcW w:w="931" w:type="dxa"/>
            <w:noWrap/>
            <w:hideMark/>
          </w:tcPr>
          <w:p w14:paraId="325A1A8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45B9146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Oxford </w:t>
            </w:r>
          </w:p>
        </w:tc>
        <w:tc>
          <w:tcPr>
            <w:tcW w:w="838" w:type="dxa"/>
            <w:noWrap/>
            <w:hideMark/>
          </w:tcPr>
          <w:p w14:paraId="685149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117CA9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768A3D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30548B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366E7E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853" w:type="dxa"/>
            <w:noWrap/>
            <w:hideMark/>
          </w:tcPr>
          <w:p w14:paraId="47F7B8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5" w:type="dxa"/>
            <w:noWrap/>
            <w:hideMark/>
          </w:tcPr>
          <w:p w14:paraId="055DF7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00F3F0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29642F1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7B98C78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50CC4BD6" w14:textId="77777777" w:rsidR="00A721D6" w:rsidRPr="003037D2" w:rsidRDefault="00A721D6" w:rsidP="00A721D6">
            <w:pPr>
              <w:spacing w:line="360" w:lineRule="auto"/>
              <w:rPr>
                <w:rFonts w:ascii="Garamond" w:hAnsi="Garamond"/>
                <w:b w:val="0"/>
                <w:bCs w:val="0"/>
                <w:sz w:val="21"/>
                <w:szCs w:val="21"/>
              </w:rPr>
            </w:pPr>
            <w:proofErr w:type="spellStart"/>
            <w:r w:rsidRPr="003037D2">
              <w:rPr>
                <w:rFonts w:ascii="Garamond" w:hAnsi="Garamond"/>
                <w:b w:val="0"/>
                <w:bCs w:val="0"/>
                <w:sz w:val="21"/>
                <w:szCs w:val="21"/>
              </w:rPr>
              <w:t>Widdowes</w:t>
            </w:r>
            <w:proofErr w:type="spellEnd"/>
            <w:r w:rsidRPr="003037D2">
              <w:rPr>
                <w:rFonts w:ascii="Garamond" w:hAnsi="Garamond"/>
                <w:b w:val="0"/>
                <w:bCs w:val="0"/>
                <w:sz w:val="21"/>
                <w:szCs w:val="21"/>
              </w:rPr>
              <w:t xml:space="preserve">, Giles </w:t>
            </w:r>
          </w:p>
        </w:tc>
        <w:tc>
          <w:tcPr>
            <w:tcW w:w="1125" w:type="dxa"/>
            <w:noWrap/>
            <w:hideMark/>
          </w:tcPr>
          <w:p w14:paraId="48862D0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 Lichfield </w:t>
            </w:r>
          </w:p>
        </w:tc>
        <w:tc>
          <w:tcPr>
            <w:tcW w:w="918" w:type="dxa"/>
            <w:noWrap/>
            <w:hideMark/>
          </w:tcPr>
          <w:p w14:paraId="5E79D3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1630</w:t>
            </w:r>
          </w:p>
        </w:tc>
        <w:tc>
          <w:tcPr>
            <w:tcW w:w="931" w:type="dxa"/>
            <w:noWrap/>
            <w:hideMark/>
          </w:tcPr>
          <w:p w14:paraId="02B5FE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1AEC722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Oxford </w:t>
            </w:r>
          </w:p>
        </w:tc>
        <w:tc>
          <w:tcPr>
            <w:tcW w:w="838" w:type="dxa"/>
            <w:noWrap/>
            <w:hideMark/>
          </w:tcPr>
          <w:p w14:paraId="7BE434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7CC7F6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1E50FCB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23FC96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2C3712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853" w:type="dxa"/>
            <w:noWrap/>
            <w:hideMark/>
          </w:tcPr>
          <w:p w14:paraId="57BE9A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5" w:type="dxa"/>
            <w:noWrap/>
            <w:hideMark/>
          </w:tcPr>
          <w:p w14:paraId="46347B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666989E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79DBAD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349E120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F2C326F" w14:textId="77777777" w:rsidR="00A721D6" w:rsidRPr="003037D2" w:rsidRDefault="00A721D6" w:rsidP="00A721D6">
            <w:pPr>
              <w:spacing w:line="360" w:lineRule="auto"/>
              <w:rPr>
                <w:rFonts w:ascii="Garamond" w:hAnsi="Garamond"/>
                <w:b w:val="0"/>
                <w:bCs w:val="0"/>
                <w:sz w:val="21"/>
                <w:szCs w:val="21"/>
              </w:rPr>
            </w:pPr>
            <w:proofErr w:type="spellStart"/>
            <w:r w:rsidRPr="003037D2">
              <w:rPr>
                <w:rFonts w:ascii="Garamond" w:hAnsi="Garamond"/>
                <w:b w:val="0"/>
                <w:bCs w:val="0"/>
                <w:sz w:val="21"/>
                <w:szCs w:val="21"/>
              </w:rPr>
              <w:t>Wigmore</w:t>
            </w:r>
            <w:proofErr w:type="spellEnd"/>
            <w:r w:rsidRPr="003037D2">
              <w:rPr>
                <w:rFonts w:ascii="Garamond" w:hAnsi="Garamond"/>
                <w:b w:val="0"/>
                <w:bCs w:val="0"/>
                <w:sz w:val="21"/>
                <w:szCs w:val="21"/>
              </w:rPr>
              <w:t xml:space="preserve">, Michael </w:t>
            </w:r>
          </w:p>
        </w:tc>
        <w:tc>
          <w:tcPr>
            <w:tcW w:w="1125" w:type="dxa"/>
            <w:noWrap/>
            <w:hideMark/>
          </w:tcPr>
          <w:p w14:paraId="4D97877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William </w:t>
            </w:r>
            <w:proofErr w:type="spellStart"/>
            <w:r w:rsidRPr="003037D2">
              <w:rPr>
                <w:rFonts w:ascii="Garamond" w:hAnsi="Garamond"/>
                <w:sz w:val="21"/>
                <w:szCs w:val="21"/>
              </w:rPr>
              <w:t>Leake</w:t>
            </w:r>
            <w:proofErr w:type="spellEnd"/>
          </w:p>
        </w:tc>
        <w:tc>
          <w:tcPr>
            <w:tcW w:w="918" w:type="dxa"/>
            <w:noWrap/>
            <w:hideMark/>
          </w:tcPr>
          <w:p w14:paraId="4933DFF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1641</w:t>
            </w:r>
          </w:p>
        </w:tc>
        <w:tc>
          <w:tcPr>
            <w:tcW w:w="931" w:type="dxa"/>
            <w:noWrap/>
            <w:hideMark/>
          </w:tcPr>
          <w:p w14:paraId="66236EA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7859D74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29A4EF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378C7A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233D82E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Assizes </w:t>
            </w:r>
          </w:p>
        </w:tc>
        <w:tc>
          <w:tcPr>
            <w:tcW w:w="981" w:type="dxa"/>
            <w:noWrap/>
            <w:hideMark/>
          </w:tcPr>
          <w:p w14:paraId="09D33C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07BBFB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51BCC3A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Year </w:t>
            </w:r>
          </w:p>
        </w:tc>
        <w:tc>
          <w:tcPr>
            <w:tcW w:w="965" w:type="dxa"/>
            <w:noWrap/>
            <w:hideMark/>
          </w:tcPr>
          <w:p w14:paraId="51AA067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02C659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0E64304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0462FF8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F258FE6" w14:textId="77777777" w:rsidR="00A721D6" w:rsidRPr="003037D2" w:rsidRDefault="00A721D6" w:rsidP="00A721D6">
            <w:pPr>
              <w:spacing w:line="360" w:lineRule="auto"/>
              <w:rPr>
                <w:rFonts w:ascii="Garamond" w:hAnsi="Garamond"/>
                <w:b w:val="0"/>
                <w:bCs w:val="0"/>
                <w:sz w:val="21"/>
                <w:szCs w:val="21"/>
              </w:rPr>
            </w:pPr>
            <w:proofErr w:type="spellStart"/>
            <w:r w:rsidRPr="003037D2">
              <w:rPr>
                <w:rFonts w:ascii="Garamond" w:hAnsi="Garamond"/>
                <w:b w:val="0"/>
                <w:bCs w:val="0"/>
                <w:sz w:val="21"/>
                <w:szCs w:val="21"/>
              </w:rPr>
              <w:t>Wigmore</w:t>
            </w:r>
            <w:proofErr w:type="spellEnd"/>
            <w:r w:rsidRPr="003037D2">
              <w:rPr>
                <w:rFonts w:ascii="Garamond" w:hAnsi="Garamond"/>
                <w:b w:val="0"/>
                <w:bCs w:val="0"/>
                <w:sz w:val="21"/>
                <w:szCs w:val="21"/>
              </w:rPr>
              <w:t xml:space="preserve">, Michael </w:t>
            </w:r>
          </w:p>
        </w:tc>
        <w:tc>
          <w:tcPr>
            <w:tcW w:w="1125" w:type="dxa"/>
            <w:noWrap/>
            <w:hideMark/>
          </w:tcPr>
          <w:p w14:paraId="4F0E34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Budge </w:t>
            </w:r>
          </w:p>
        </w:tc>
        <w:tc>
          <w:tcPr>
            <w:tcW w:w="918" w:type="dxa"/>
            <w:noWrap/>
            <w:hideMark/>
          </w:tcPr>
          <w:p w14:paraId="6F09E36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1620</w:t>
            </w:r>
          </w:p>
        </w:tc>
        <w:tc>
          <w:tcPr>
            <w:tcW w:w="931" w:type="dxa"/>
            <w:noWrap/>
            <w:hideMark/>
          </w:tcPr>
          <w:p w14:paraId="69655E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70D4FF3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364EF4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0DF4D33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Paul's Cross </w:t>
            </w:r>
          </w:p>
        </w:tc>
        <w:tc>
          <w:tcPr>
            <w:tcW w:w="1118" w:type="dxa"/>
            <w:noWrap/>
            <w:hideMark/>
          </w:tcPr>
          <w:p w14:paraId="0457A59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31779B8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5497049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c>
          <w:tcPr>
            <w:tcW w:w="853" w:type="dxa"/>
            <w:noWrap/>
            <w:hideMark/>
          </w:tcPr>
          <w:p w14:paraId="409871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roofErr w:type="spellStart"/>
            <w:r w:rsidRPr="003037D2">
              <w:rPr>
                <w:rFonts w:ascii="Garamond" w:hAnsi="Garamond"/>
                <w:sz w:val="21"/>
                <w:szCs w:val="21"/>
              </w:rPr>
              <w:t>Daate</w:t>
            </w:r>
            <w:proofErr w:type="spellEnd"/>
          </w:p>
        </w:tc>
        <w:tc>
          <w:tcPr>
            <w:tcW w:w="965" w:type="dxa"/>
            <w:noWrap/>
            <w:hideMark/>
          </w:tcPr>
          <w:p w14:paraId="334212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08D7C1F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583856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23A59D23"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4F274A0"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Wilkinson, Henry </w:t>
            </w:r>
          </w:p>
        </w:tc>
        <w:tc>
          <w:tcPr>
            <w:tcW w:w="1125" w:type="dxa"/>
            <w:noWrap/>
            <w:hideMark/>
          </w:tcPr>
          <w:p w14:paraId="4471050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Humphrey Robinson </w:t>
            </w:r>
          </w:p>
        </w:tc>
        <w:tc>
          <w:tcPr>
            <w:tcW w:w="918" w:type="dxa"/>
            <w:noWrap/>
            <w:hideMark/>
          </w:tcPr>
          <w:p w14:paraId="3ED9B9E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1641</w:t>
            </w:r>
          </w:p>
        </w:tc>
        <w:tc>
          <w:tcPr>
            <w:tcW w:w="931" w:type="dxa"/>
            <w:noWrap/>
            <w:hideMark/>
          </w:tcPr>
          <w:p w14:paraId="41BD91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208E8E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180582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266E62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w:t>
            </w:r>
          </w:p>
        </w:tc>
        <w:tc>
          <w:tcPr>
            <w:tcW w:w="1118" w:type="dxa"/>
            <w:noWrap/>
            <w:hideMark/>
          </w:tcPr>
          <w:p w14:paraId="73C18A3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62E1464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77524F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853" w:type="dxa"/>
            <w:noWrap/>
            <w:hideMark/>
          </w:tcPr>
          <w:p w14:paraId="2BC9CA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7773C72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2FABB46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6934A4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3C6FCE5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389FBF1"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Wilkinson, Robert </w:t>
            </w:r>
          </w:p>
        </w:tc>
        <w:tc>
          <w:tcPr>
            <w:tcW w:w="1125" w:type="dxa"/>
            <w:noWrap/>
            <w:hideMark/>
          </w:tcPr>
          <w:p w14:paraId="7F9317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Henry Holland and George Gibbs </w:t>
            </w:r>
          </w:p>
        </w:tc>
        <w:tc>
          <w:tcPr>
            <w:tcW w:w="918" w:type="dxa"/>
            <w:noWrap/>
            <w:hideMark/>
          </w:tcPr>
          <w:p w14:paraId="48ED164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1625</w:t>
            </w:r>
          </w:p>
        </w:tc>
        <w:tc>
          <w:tcPr>
            <w:tcW w:w="931" w:type="dxa"/>
            <w:noWrap/>
            <w:hideMark/>
          </w:tcPr>
          <w:p w14:paraId="4A7B8DA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00F6624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0724845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c>
          <w:tcPr>
            <w:tcW w:w="1203" w:type="dxa"/>
            <w:noWrap/>
            <w:hideMark/>
          </w:tcPr>
          <w:p w14:paraId="1EF531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Court - Whitehall </w:t>
            </w:r>
          </w:p>
        </w:tc>
        <w:tc>
          <w:tcPr>
            <w:tcW w:w="1118" w:type="dxa"/>
            <w:noWrap/>
            <w:hideMark/>
          </w:tcPr>
          <w:p w14:paraId="3F838B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348C8F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0F614E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853" w:type="dxa"/>
            <w:noWrap/>
            <w:hideMark/>
          </w:tcPr>
          <w:p w14:paraId="2314A31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5" w:type="dxa"/>
            <w:noWrap/>
            <w:hideMark/>
          </w:tcPr>
          <w:p w14:paraId="69C2359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5A8F12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3DD556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00AFD2A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84CA219"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lastRenderedPageBreak/>
              <w:t xml:space="preserve">Willan, Robert </w:t>
            </w:r>
          </w:p>
        </w:tc>
        <w:tc>
          <w:tcPr>
            <w:tcW w:w="1125" w:type="dxa"/>
            <w:noWrap/>
            <w:hideMark/>
          </w:tcPr>
          <w:p w14:paraId="1EF36A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Bill </w:t>
            </w:r>
          </w:p>
        </w:tc>
        <w:tc>
          <w:tcPr>
            <w:tcW w:w="918" w:type="dxa"/>
            <w:noWrap/>
            <w:hideMark/>
          </w:tcPr>
          <w:p w14:paraId="7B4AA7E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1622</w:t>
            </w:r>
          </w:p>
        </w:tc>
        <w:tc>
          <w:tcPr>
            <w:tcW w:w="931" w:type="dxa"/>
            <w:noWrap/>
            <w:hideMark/>
          </w:tcPr>
          <w:p w14:paraId="7A17B06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79D7C3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6576BBF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1716ADC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Court - Westminster </w:t>
            </w:r>
          </w:p>
        </w:tc>
        <w:tc>
          <w:tcPr>
            <w:tcW w:w="2099" w:type="dxa"/>
            <w:gridSpan w:val="2"/>
            <w:noWrap/>
            <w:hideMark/>
          </w:tcPr>
          <w:p w14:paraId="5C1689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‘Before the judges’ </w:t>
            </w:r>
          </w:p>
        </w:tc>
        <w:tc>
          <w:tcPr>
            <w:tcW w:w="681" w:type="dxa"/>
            <w:noWrap/>
            <w:hideMark/>
          </w:tcPr>
          <w:p w14:paraId="67B758D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7FD80BF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Date  </w:t>
            </w:r>
          </w:p>
        </w:tc>
        <w:tc>
          <w:tcPr>
            <w:tcW w:w="2058" w:type="dxa"/>
            <w:gridSpan w:val="2"/>
            <w:noWrap/>
            <w:hideMark/>
          </w:tcPr>
          <w:p w14:paraId="1E4FF71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commemorating gunpowder treason </w:t>
            </w:r>
          </w:p>
        </w:tc>
        <w:tc>
          <w:tcPr>
            <w:tcW w:w="963" w:type="dxa"/>
            <w:noWrap/>
            <w:hideMark/>
          </w:tcPr>
          <w:p w14:paraId="7CC7310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r>
      <w:tr w:rsidR="00A721D6" w:rsidRPr="003037D2" w14:paraId="78C53E3C"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431EC1E"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Williams, </w:t>
            </w:r>
            <w:proofErr w:type="spellStart"/>
            <w:r w:rsidRPr="003037D2">
              <w:rPr>
                <w:rFonts w:ascii="Garamond" w:hAnsi="Garamond"/>
                <w:b w:val="0"/>
                <w:bCs w:val="0"/>
                <w:sz w:val="21"/>
                <w:szCs w:val="21"/>
              </w:rPr>
              <w:t>Gryffith</w:t>
            </w:r>
            <w:proofErr w:type="spellEnd"/>
            <w:r w:rsidRPr="003037D2">
              <w:rPr>
                <w:rFonts w:ascii="Garamond" w:hAnsi="Garamond"/>
                <w:b w:val="0"/>
                <w:bCs w:val="0"/>
                <w:sz w:val="21"/>
                <w:szCs w:val="21"/>
              </w:rPr>
              <w:t xml:space="preserve"> </w:t>
            </w:r>
          </w:p>
        </w:tc>
        <w:tc>
          <w:tcPr>
            <w:tcW w:w="1125" w:type="dxa"/>
            <w:noWrap/>
            <w:hideMark/>
          </w:tcPr>
          <w:p w14:paraId="3A3C40B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Nathaniel Butter </w:t>
            </w:r>
          </w:p>
        </w:tc>
        <w:tc>
          <w:tcPr>
            <w:tcW w:w="918" w:type="dxa"/>
            <w:noWrap/>
            <w:hideMark/>
          </w:tcPr>
          <w:p w14:paraId="348BC7F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1622</w:t>
            </w:r>
          </w:p>
        </w:tc>
        <w:tc>
          <w:tcPr>
            <w:tcW w:w="931" w:type="dxa"/>
            <w:noWrap/>
            <w:hideMark/>
          </w:tcPr>
          <w:p w14:paraId="7182D82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035" w:type="dxa"/>
            <w:noWrap/>
            <w:hideMark/>
          </w:tcPr>
          <w:p w14:paraId="43ABE5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348F5CE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7AEBCCC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St. Paul's </w:t>
            </w:r>
          </w:p>
        </w:tc>
        <w:tc>
          <w:tcPr>
            <w:tcW w:w="1118" w:type="dxa"/>
            <w:noWrap/>
            <w:hideMark/>
          </w:tcPr>
          <w:p w14:paraId="431AE2D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Paul's Cross </w:t>
            </w:r>
          </w:p>
        </w:tc>
        <w:tc>
          <w:tcPr>
            <w:tcW w:w="981" w:type="dxa"/>
            <w:noWrap/>
            <w:hideMark/>
          </w:tcPr>
          <w:p w14:paraId="797D9D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631CF0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683071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2058" w:type="dxa"/>
            <w:gridSpan w:val="2"/>
            <w:noWrap/>
            <w:hideMark/>
          </w:tcPr>
          <w:p w14:paraId="258C1B4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Event - political </w:t>
            </w:r>
          </w:p>
        </w:tc>
        <w:tc>
          <w:tcPr>
            <w:tcW w:w="963" w:type="dxa"/>
            <w:noWrap/>
            <w:hideMark/>
          </w:tcPr>
          <w:p w14:paraId="0AFF21E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65F76C8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1F18C64"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Williams, John </w:t>
            </w:r>
          </w:p>
        </w:tc>
        <w:tc>
          <w:tcPr>
            <w:tcW w:w="1125" w:type="dxa"/>
            <w:noWrap/>
            <w:hideMark/>
          </w:tcPr>
          <w:p w14:paraId="6AA3B7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Bill </w:t>
            </w:r>
          </w:p>
        </w:tc>
        <w:tc>
          <w:tcPr>
            <w:tcW w:w="918" w:type="dxa"/>
            <w:noWrap/>
            <w:hideMark/>
          </w:tcPr>
          <w:p w14:paraId="25BA648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1625</w:t>
            </w:r>
          </w:p>
        </w:tc>
        <w:tc>
          <w:tcPr>
            <w:tcW w:w="931" w:type="dxa"/>
            <w:noWrap/>
            <w:hideMark/>
          </w:tcPr>
          <w:p w14:paraId="7AAE503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0C479C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324145E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0D23407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Court - Westminster </w:t>
            </w:r>
          </w:p>
        </w:tc>
        <w:tc>
          <w:tcPr>
            <w:tcW w:w="1118" w:type="dxa"/>
            <w:noWrap/>
            <w:hideMark/>
          </w:tcPr>
          <w:p w14:paraId="1C6C68F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w:t>
            </w:r>
          </w:p>
        </w:tc>
        <w:tc>
          <w:tcPr>
            <w:tcW w:w="981" w:type="dxa"/>
            <w:noWrap/>
            <w:hideMark/>
          </w:tcPr>
          <w:p w14:paraId="0602FE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3BF223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53512C0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Date </w:t>
            </w:r>
          </w:p>
        </w:tc>
        <w:tc>
          <w:tcPr>
            <w:tcW w:w="2058" w:type="dxa"/>
            <w:gridSpan w:val="2"/>
            <w:noWrap/>
            <w:hideMark/>
          </w:tcPr>
          <w:p w14:paraId="6C11D3E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Event - funeral (of the king) </w:t>
            </w:r>
          </w:p>
        </w:tc>
        <w:tc>
          <w:tcPr>
            <w:tcW w:w="963" w:type="dxa"/>
            <w:noWrap/>
            <w:hideMark/>
          </w:tcPr>
          <w:p w14:paraId="02FAAE2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1B6A826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00B3B87"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Williams, John </w:t>
            </w:r>
          </w:p>
        </w:tc>
        <w:tc>
          <w:tcPr>
            <w:tcW w:w="1125" w:type="dxa"/>
            <w:noWrap/>
            <w:hideMark/>
          </w:tcPr>
          <w:p w14:paraId="29F79BA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Bill </w:t>
            </w:r>
          </w:p>
        </w:tc>
        <w:tc>
          <w:tcPr>
            <w:tcW w:w="918" w:type="dxa"/>
            <w:noWrap/>
            <w:hideMark/>
          </w:tcPr>
          <w:p w14:paraId="1B1A7D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1628</w:t>
            </w:r>
          </w:p>
        </w:tc>
        <w:tc>
          <w:tcPr>
            <w:tcW w:w="931" w:type="dxa"/>
            <w:noWrap/>
            <w:hideMark/>
          </w:tcPr>
          <w:p w14:paraId="625812A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67D0AF4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4BE1982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2897DE9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Court - Westminster </w:t>
            </w:r>
          </w:p>
        </w:tc>
        <w:tc>
          <w:tcPr>
            <w:tcW w:w="1118" w:type="dxa"/>
            <w:noWrap/>
            <w:hideMark/>
          </w:tcPr>
          <w:p w14:paraId="65427A4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w:t>
            </w:r>
          </w:p>
        </w:tc>
        <w:tc>
          <w:tcPr>
            <w:tcW w:w="981" w:type="dxa"/>
            <w:noWrap/>
            <w:hideMark/>
          </w:tcPr>
          <w:p w14:paraId="4259DD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0C95F37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6FAA1C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2058" w:type="dxa"/>
            <w:gridSpan w:val="2"/>
            <w:noWrap/>
            <w:hideMark/>
          </w:tcPr>
          <w:p w14:paraId="6C1D1F7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calendar - Ash Wednesday </w:t>
            </w:r>
          </w:p>
        </w:tc>
        <w:tc>
          <w:tcPr>
            <w:tcW w:w="963" w:type="dxa"/>
            <w:noWrap/>
            <w:hideMark/>
          </w:tcPr>
          <w:p w14:paraId="344D7AB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3F31FB27"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0193F72"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Williams, John </w:t>
            </w:r>
          </w:p>
        </w:tc>
        <w:tc>
          <w:tcPr>
            <w:tcW w:w="1125" w:type="dxa"/>
            <w:noWrap/>
            <w:hideMark/>
          </w:tcPr>
          <w:p w14:paraId="43A3E1B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Robert Barker and John Bill </w:t>
            </w:r>
          </w:p>
        </w:tc>
        <w:tc>
          <w:tcPr>
            <w:tcW w:w="918" w:type="dxa"/>
            <w:noWrap/>
            <w:hideMark/>
          </w:tcPr>
          <w:p w14:paraId="0115FE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1620</w:t>
            </w:r>
          </w:p>
        </w:tc>
        <w:tc>
          <w:tcPr>
            <w:tcW w:w="931" w:type="dxa"/>
            <w:noWrap/>
            <w:hideMark/>
          </w:tcPr>
          <w:p w14:paraId="43D6D46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239EA8A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18B876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779CFA1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Court - Theobalds</w:t>
            </w:r>
          </w:p>
        </w:tc>
        <w:tc>
          <w:tcPr>
            <w:tcW w:w="1118" w:type="dxa"/>
            <w:noWrap/>
            <w:hideMark/>
          </w:tcPr>
          <w:p w14:paraId="5C3449A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5CFB90E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39F3791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4C7A1D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03B8B16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5F7A425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704FC4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7DC4ED31"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7B7CD7DD"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Williams, John </w:t>
            </w:r>
          </w:p>
        </w:tc>
        <w:tc>
          <w:tcPr>
            <w:tcW w:w="1125" w:type="dxa"/>
            <w:noWrap/>
            <w:hideMark/>
          </w:tcPr>
          <w:p w14:paraId="7F722B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Bill </w:t>
            </w:r>
          </w:p>
        </w:tc>
        <w:tc>
          <w:tcPr>
            <w:tcW w:w="918" w:type="dxa"/>
            <w:noWrap/>
            <w:hideMark/>
          </w:tcPr>
          <w:p w14:paraId="59EF3A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1628</w:t>
            </w:r>
          </w:p>
        </w:tc>
        <w:tc>
          <w:tcPr>
            <w:tcW w:w="931" w:type="dxa"/>
            <w:noWrap/>
            <w:hideMark/>
          </w:tcPr>
          <w:p w14:paraId="49AEF7F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586C0C2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441C43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0B495E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Court - Westminster </w:t>
            </w:r>
          </w:p>
        </w:tc>
        <w:tc>
          <w:tcPr>
            <w:tcW w:w="1118" w:type="dxa"/>
            <w:noWrap/>
            <w:hideMark/>
          </w:tcPr>
          <w:p w14:paraId="18C6AF5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w:t>
            </w:r>
          </w:p>
        </w:tc>
        <w:tc>
          <w:tcPr>
            <w:tcW w:w="981" w:type="dxa"/>
            <w:noWrap/>
            <w:hideMark/>
          </w:tcPr>
          <w:p w14:paraId="1940B64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629CB0C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3037BCD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655403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631FFA4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5CD1F5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3EFF7DAA"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06CC7700"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Wilson, Thomas </w:t>
            </w:r>
          </w:p>
        </w:tc>
        <w:tc>
          <w:tcPr>
            <w:tcW w:w="1125" w:type="dxa"/>
            <w:noWrap/>
            <w:hideMark/>
          </w:tcPr>
          <w:p w14:paraId="6CFDFAC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w:t>
            </w:r>
            <w:proofErr w:type="spellStart"/>
            <w:r w:rsidRPr="003037D2">
              <w:rPr>
                <w:rFonts w:ascii="Garamond" w:hAnsi="Garamond"/>
                <w:sz w:val="21"/>
                <w:szCs w:val="21"/>
              </w:rPr>
              <w:t>Bartlet</w:t>
            </w:r>
            <w:proofErr w:type="spellEnd"/>
            <w:r w:rsidRPr="003037D2">
              <w:rPr>
                <w:rFonts w:ascii="Garamond" w:hAnsi="Garamond"/>
                <w:sz w:val="21"/>
                <w:szCs w:val="21"/>
              </w:rPr>
              <w:t xml:space="preserve"> </w:t>
            </w:r>
          </w:p>
        </w:tc>
        <w:tc>
          <w:tcPr>
            <w:tcW w:w="918" w:type="dxa"/>
            <w:noWrap/>
            <w:hideMark/>
          </w:tcPr>
          <w:p w14:paraId="6689FA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1641</w:t>
            </w:r>
          </w:p>
        </w:tc>
        <w:tc>
          <w:tcPr>
            <w:tcW w:w="931" w:type="dxa"/>
            <w:noWrap/>
            <w:hideMark/>
          </w:tcPr>
          <w:p w14:paraId="5666B2E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3CE954F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5E6DE29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389AD10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House of Commons </w:t>
            </w:r>
          </w:p>
        </w:tc>
        <w:tc>
          <w:tcPr>
            <w:tcW w:w="1118" w:type="dxa"/>
            <w:noWrap/>
            <w:hideMark/>
          </w:tcPr>
          <w:p w14:paraId="26513A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w:t>
            </w:r>
          </w:p>
        </w:tc>
        <w:tc>
          <w:tcPr>
            <w:tcW w:w="981" w:type="dxa"/>
            <w:noWrap/>
            <w:hideMark/>
          </w:tcPr>
          <w:p w14:paraId="1533B09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7B0B664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Y</w:t>
            </w:r>
          </w:p>
        </w:tc>
        <w:tc>
          <w:tcPr>
            <w:tcW w:w="853" w:type="dxa"/>
            <w:noWrap/>
            <w:hideMark/>
          </w:tcPr>
          <w:p w14:paraId="7F608E0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3636B97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6C766A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15CEF0F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26BC672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6A84AA3D"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Wimbledon, Thomas </w:t>
            </w:r>
          </w:p>
        </w:tc>
        <w:tc>
          <w:tcPr>
            <w:tcW w:w="1125" w:type="dxa"/>
            <w:noWrap/>
            <w:hideMark/>
          </w:tcPr>
          <w:p w14:paraId="7E83CA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 Cotes and R. Cotes </w:t>
            </w:r>
          </w:p>
        </w:tc>
        <w:tc>
          <w:tcPr>
            <w:tcW w:w="918" w:type="dxa"/>
            <w:noWrap/>
            <w:hideMark/>
          </w:tcPr>
          <w:p w14:paraId="210D3E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1629</w:t>
            </w:r>
          </w:p>
        </w:tc>
        <w:tc>
          <w:tcPr>
            <w:tcW w:w="931" w:type="dxa"/>
            <w:noWrap/>
            <w:hideMark/>
          </w:tcPr>
          <w:p w14:paraId="142EB0E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5E45B93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33DEE2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08A6DD5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Paul's Cross </w:t>
            </w:r>
          </w:p>
        </w:tc>
        <w:tc>
          <w:tcPr>
            <w:tcW w:w="1118" w:type="dxa"/>
            <w:noWrap/>
            <w:hideMark/>
          </w:tcPr>
          <w:p w14:paraId="04865EC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31EF8C2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4DE192E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61CDB2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calendar </w:t>
            </w:r>
          </w:p>
        </w:tc>
        <w:tc>
          <w:tcPr>
            <w:tcW w:w="2058" w:type="dxa"/>
            <w:gridSpan w:val="2"/>
            <w:noWrap/>
            <w:hideMark/>
          </w:tcPr>
          <w:p w14:paraId="2B35CDB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Rediscovered, from 1388 </w:t>
            </w:r>
          </w:p>
        </w:tc>
        <w:tc>
          <w:tcPr>
            <w:tcW w:w="963" w:type="dxa"/>
            <w:noWrap/>
            <w:hideMark/>
          </w:tcPr>
          <w:p w14:paraId="4A2273A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r>
      <w:tr w:rsidR="00A721D6" w:rsidRPr="003037D2" w14:paraId="644B824D"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4CEED16"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lastRenderedPageBreak/>
              <w:t xml:space="preserve">Wimbledon, Thomas </w:t>
            </w:r>
          </w:p>
        </w:tc>
        <w:tc>
          <w:tcPr>
            <w:tcW w:w="1125" w:type="dxa"/>
            <w:noWrap/>
            <w:hideMark/>
          </w:tcPr>
          <w:p w14:paraId="316A20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Thomas Cotes</w:t>
            </w:r>
          </w:p>
        </w:tc>
        <w:tc>
          <w:tcPr>
            <w:tcW w:w="918" w:type="dxa"/>
            <w:noWrap/>
            <w:hideMark/>
          </w:tcPr>
          <w:p w14:paraId="4F6477D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1634</w:t>
            </w:r>
          </w:p>
        </w:tc>
        <w:tc>
          <w:tcPr>
            <w:tcW w:w="931" w:type="dxa"/>
            <w:noWrap/>
            <w:hideMark/>
          </w:tcPr>
          <w:p w14:paraId="5C555F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52460B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64220F0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09A7EA5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Paul's Cross </w:t>
            </w:r>
          </w:p>
        </w:tc>
        <w:tc>
          <w:tcPr>
            <w:tcW w:w="1118" w:type="dxa"/>
            <w:noWrap/>
            <w:hideMark/>
          </w:tcPr>
          <w:p w14:paraId="09D6FC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178F774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75DEC2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7DE698B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calendar </w:t>
            </w:r>
          </w:p>
        </w:tc>
        <w:tc>
          <w:tcPr>
            <w:tcW w:w="2058" w:type="dxa"/>
            <w:gridSpan w:val="2"/>
            <w:noWrap/>
            <w:hideMark/>
          </w:tcPr>
          <w:p w14:paraId="127D64D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Rediscovered, from 1388 </w:t>
            </w:r>
          </w:p>
        </w:tc>
        <w:tc>
          <w:tcPr>
            <w:tcW w:w="963" w:type="dxa"/>
            <w:noWrap/>
            <w:hideMark/>
          </w:tcPr>
          <w:p w14:paraId="6F928D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r>
      <w:tr w:rsidR="00A721D6" w:rsidRPr="003037D2" w14:paraId="5D58A0A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FD2A84D"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Wimbledon, Thomas </w:t>
            </w:r>
          </w:p>
        </w:tc>
        <w:tc>
          <w:tcPr>
            <w:tcW w:w="1125" w:type="dxa"/>
            <w:noWrap/>
            <w:hideMark/>
          </w:tcPr>
          <w:p w14:paraId="0F8F742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Thomas Cotes</w:t>
            </w:r>
          </w:p>
        </w:tc>
        <w:tc>
          <w:tcPr>
            <w:tcW w:w="918" w:type="dxa"/>
            <w:noWrap/>
            <w:hideMark/>
          </w:tcPr>
          <w:p w14:paraId="0D66EDE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1635</w:t>
            </w:r>
          </w:p>
        </w:tc>
        <w:tc>
          <w:tcPr>
            <w:tcW w:w="931" w:type="dxa"/>
            <w:noWrap/>
            <w:hideMark/>
          </w:tcPr>
          <w:p w14:paraId="40C0AD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3ABB9D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4A8965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1406872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Paul's Cross </w:t>
            </w:r>
          </w:p>
        </w:tc>
        <w:tc>
          <w:tcPr>
            <w:tcW w:w="1118" w:type="dxa"/>
            <w:noWrap/>
            <w:hideMark/>
          </w:tcPr>
          <w:p w14:paraId="597CE0B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26C52FE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75CCB5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496722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Church calendar </w:t>
            </w:r>
          </w:p>
        </w:tc>
        <w:tc>
          <w:tcPr>
            <w:tcW w:w="2058" w:type="dxa"/>
            <w:gridSpan w:val="2"/>
            <w:noWrap/>
            <w:hideMark/>
          </w:tcPr>
          <w:p w14:paraId="14908AE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Rediscovered, from 1388 </w:t>
            </w:r>
          </w:p>
        </w:tc>
        <w:tc>
          <w:tcPr>
            <w:tcW w:w="963" w:type="dxa"/>
            <w:noWrap/>
            <w:hideMark/>
          </w:tcPr>
          <w:p w14:paraId="082DBA8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r>
      <w:tr w:rsidR="00A721D6" w:rsidRPr="003037D2" w14:paraId="54E36104"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C17426A"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Wing, John </w:t>
            </w:r>
          </w:p>
        </w:tc>
        <w:tc>
          <w:tcPr>
            <w:tcW w:w="1125" w:type="dxa"/>
            <w:noWrap/>
            <w:hideMark/>
          </w:tcPr>
          <w:p w14:paraId="135BB50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Martin Abraham </w:t>
            </w:r>
            <w:proofErr w:type="spellStart"/>
            <w:r w:rsidRPr="003037D2">
              <w:rPr>
                <w:rFonts w:ascii="Garamond" w:hAnsi="Garamond"/>
                <w:sz w:val="21"/>
                <w:szCs w:val="21"/>
              </w:rPr>
              <w:t>vander</w:t>
            </w:r>
            <w:proofErr w:type="spellEnd"/>
            <w:r w:rsidRPr="003037D2">
              <w:rPr>
                <w:rFonts w:ascii="Garamond" w:hAnsi="Garamond"/>
                <w:sz w:val="21"/>
                <w:szCs w:val="21"/>
              </w:rPr>
              <w:t xml:space="preserve"> </w:t>
            </w:r>
            <w:proofErr w:type="spellStart"/>
            <w:r w:rsidRPr="003037D2">
              <w:rPr>
                <w:rFonts w:ascii="Garamond" w:hAnsi="Garamond"/>
                <w:sz w:val="21"/>
                <w:szCs w:val="21"/>
              </w:rPr>
              <w:t>Nolck</w:t>
            </w:r>
            <w:proofErr w:type="spellEnd"/>
            <w:r w:rsidRPr="003037D2">
              <w:rPr>
                <w:rFonts w:ascii="Garamond" w:hAnsi="Garamond"/>
                <w:sz w:val="21"/>
                <w:szCs w:val="21"/>
              </w:rPr>
              <w:t xml:space="preserve"> </w:t>
            </w:r>
          </w:p>
        </w:tc>
        <w:tc>
          <w:tcPr>
            <w:tcW w:w="918" w:type="dxa"/>
            <w:noWrap/>
            <w:hideMark/>
          </w:tcPr>
          <w:p w14:paraId="403B88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1621</w:t>
            </w:r>
          </w:p>
        </w:tc>
        <w:tc>
          <w:tcPr>
            <w:tcW w:w="931" w:type="dxa"/>
            <w:noWrap/>
            <w:hideMark/>
          </w:tcPr>
          <w:p w14:paraId="46E9FB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196AAFB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Flushing </w:t>
            </w:r>
          </w:p>
        </w:tc>
        <w:tc>
          <w:tcPr>
            <w:tcW w:w="838" w:type="dxa"/>
            <w:noWrap/>
            <w:hideMark/>
          </w:tcPr>
          <w:p w14:paraId="2CE2D7B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157A6D1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14B7A42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6421711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71FC620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7A49D59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Month </w:t>
            </w:r>
          </w:p>
        </w:tc>
        <w:tc>
          <w:tcPr>
            <w:tcW w:w="965" w:type="dxa"/>
            <w:noWrap/>
            <w:hideMark/>
          </w:tcPr>
          <w:p w14:paraId="7D934E3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172D01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34A2640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2FCB734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20DAA73"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Wing, John </w:t>
            </w:r>
          </w:p>
        </w:tc>
        <w:tc>
          <w:tcPr>
            <w:tcW w:w="1125" w:type="dxa"/>
            <w:noWrap/>
            <w:hideMark/>
          </w:tcPr>
          <w:p w14:paraId="5150C90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Martin Abraham </w:t>
            </w:r>
            <w:proofErr w:type="spellStart"/>
            <w:r w:rsidRPr="003037D2">
              <w:rPr>
                <w:rFonts w:ascii="Garamond" w:hAnsi="Garamond"/>
                <w:sz w:val="21"/>
                <w:szCs w:val="21"/>
              </w:rPr>
              <w:t>vander</w:t>
            </w:r>
            <w:proofErr w:type="spellEnd"/>
            <w:r w:rsidRPr="003037D2">
              <w:rPr>
                <w:rFonts w:ascii="Garamond" w:hAnsi="Garamond"/>
                <w:sz w:val="21"/>
                <w:szCs w:val="21"/>
              </w:rPr>
              <w:t xml:space="preserve"> </w:t>
            </w:r>
            <w:proofErr w:type="spellStart"/>
            <w:r w:rsidRPr="003037D2">
              <w:rPr>
                <w:rFonts w:ascii="Garamond" w:hAnsi="Garamond"/>
                <w:sz w:val="21"/>
                <w:szCs w:val="21"/>
              </w:rPr>
              <w:t>Nolck</w:t>
            </w:r>
            <w:proofErr w:type="spellEnd"/>
            <w:r w:rsidRPr="003037D2">
              <w:rPr>
                <w:rFonts w:ascii="Garamond" w:hAnsi="Garamond"/>
                <w:sz w:val="21"/>
                <w:szCs w:val="21"/>
              </w:rPr>
              <w:t xml:space="preserve"> </w:t>
            </w:r>
          </w:p>
        </w:tc>
        <w:tc>
          <w:tcPr>
            <w:tcW w:w="918" w:type="dxa"/>
            <w:noWrap/>
            <w:hideMark/>
          </w:tcPr>
          <w:p w14:paraId="233C134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1623</w:t>
            </w:r>
          </w:p>
        </w:tc>
        <w:tc>
          <w:tcPr>
            <w:tcW w:w="931" w:type="dxa"/>
            <w:noWrap/>
            <w:hideMark/>
          </w:tcPr>
          <w:p w14:paraId="52BCD5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314DCA2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Flushing </w:t>
            </w:r>
          </w:p>
        </w:tc>
        <w:tc>
          <w:tcPr>
            <w:tcW w:w="838" w:type="dxa"/>
            <w:noWrap/>
            <w:hideMark/>
          </w:tcPr>
          <w:p w14:paraId="1050DBB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090AA38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Court </w:t>
            </w:r>
          </w:p>
        </w:tc>
        <w:tc>
          <w:tcPr>
            <w:tcW w:w="1118" w:type="dxa"/>
            <w:noWrap/>
            <w:hideMark/>
          </w:tcPr>
          <w:p w14:paraId="7830188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981" w:type="dxa"/>
            <w:noWrap/>
            <w:hideMark/>
          </w:tcPr>
          <w:p w14:paraId="682AE7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50FAA44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3A7D8BF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7D7052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5913768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5AB6BF0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1C4C559E"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B11DDFB"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Wing, John </w:t>
            </w:r>
          </w:p>
        </w:tc>
        <w:tc>
          <w:tcPr>
            <w:tcW w:w="1125" w:type="dxa"/>
            <w:noWrap/>
            <w:hideMark/>
          </w:tcPr>
          <w:p w14:paraId="677DBDB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w:t>
            </w:r>
            <w:proofErr w:type="spellStart"/>
            <w:r w:rsidRPr="003037D2">
              <w:rPr>
                <w:rFonts w:ascii="Garamond" w:hAnsi="Garamond"/>
                <w:sz w:val="21"/>
                <w:szCs w:val="21"/>
              </w:rPr>
              <w:t>Bellamie</w:t>
            </w:r>
            <w:proofErr w:type="spellEnd"/>
          </w:p>
        </w:tc>
        <w:tc>
          <w:tcPr>
            <w:tcW w:w="918" w:type="dxa"/>
            <w:noWrap/>
            <w:hideMark/>
          </w:tcPr>
          <w:p w14:paraId="5DE35BD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1624</w:t>
            </w:r>
          </w:p>
        </w:tc>
        <w:tc>
          <w:tcPr>
            <w:tcW w:w="931" w:type="dxa"/>
            <w:noWrap/>
            <w:hideMark/>
          </w:tcPr>
          <w:p w14:paraId="7647ECF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405AF56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7C8669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4B7FE85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Court </w:t>
            </w:r>
          </w:p>
        </w:tc>
        <w:tc>
          <w:tcPr>
            <w:tcW w:w="1118" w:type="dxa"/>
            <w:noWrap/>
            <w:hideMark/>
          </w:tcPr>
          <w:p w14:paraId="0500CDF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981" w:type="dxa"/>
            <w:noWrap/>
            <w:hideMark/>
          </w:tcPr>
          <w:p w14:paraId="0AE9277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2D9C9BD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6C1327C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35E9B84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624EBA6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0151057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23C09326"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377D53A2"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Woodwall, William </w:t>
            </w:r>
          </w:p>
        </w:tc>
        <w:tc>
          <w:tcPr>
            <w:tcW w:w="1125" w:type="dxa"/>
            <w:noWrap/>
            <w:hideMark/>
          </w:tcPr>
          <w:p w14:paraId="5DFE4CE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John Marriott </w:t>
            </w:r>
          </w:p>
        </w:tc>
        <w:tc>
          <w:tcPr>
            <w:tcW w:w="918" w:type="dxa"/>
            <w:noWrap/>
            <w:hideMark/>
          </w:tcPr>
          <w:p w14:paraId="7FD8EA0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1621</w:t>
            </w:r>
          </w:p>
        </w:tc>
        <w:tc>
          <w:tcPr>
            <w:tcW w:w="931" w:type="dxa"/>
            <w:noWrap/>
            <w:hideMark/>
          </w:tcPr>
          <w:p w14:paraId="3F96B32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1364E52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20B88D5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63124F7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Town</w:t>
            </w:r>
          </w:p>
        </w:tc>
        <w:tc>
          <w:tcPr>
            <w:tcW w:w="1118" w:type="dxa"/>
            <w:noWrap/>
            <w:hideMark/>
          </w:tcPr>
          <w:p w14:paraId="507E74E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1E58578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3E22AF0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53A2A43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2058" w:type="dxa"/>
            <w:gridSpan w:val="2"/>
            <w:noWrap/>
            <w:hideMark/>
          </w:tcPr>
          <w:p w14:paraId="2181F2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Event - funeral </w:t>
            </w:r>
          </w:p>
        </w:tc>
        <w:tc>
          <w:tcPr>
            <w:tcW w:w="963" w:type="dxa"/>
            <w:noWrap/>
            <w:hideMark/>
          </w:tcPr>
          <w:p w14:paraId="1141C8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r>
      <w:tr w:rsidR="00A721D6" w:rsidRPr="003037D2" w14:paraId="79FE4D50"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DD9E143"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Worthington, Robert </w:t>
            </w:r>
          </w:p>
        </w:tc>
        <w:tc>
          <w:tcPr>
            <w:tcW w:w="1125" w:type="dxa"/>
            <w:noWrap/>
            <w:hideMark/>
          </w:tcPr>
          <w:p w14:paraId="1AA3939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Robert </w:t>
            </w:r>
            <w:proofErr w:type="spellStart"/>
            <w:r w:rsidRPr="003037D2">
              <w:rPr>
                <w:rFonts w:ascii="Garamond" w:hAnsi="Garamond"/>
                <w:sz w:val="21"/>
                <w:szCs w:val="21"/>
              </w:rPr>
              <w:t>Mylbourn</w:t>
            </w:r>
            <w:proofErr w:type="spellEnd"/>
            <w:r w:rsidRPr="003037D2">
              <w:rPr>
                <w:rFonts w:ascii="Garamond" w:hAnsi="Garamond"/>
                <w:sz w:val="21"/>
                <w:szCs w:val="21"/>
              </w:rPr>
              <w:t xml:space="preserve"> e </w:t>
            </w:r>
          </w:p>
        </w:tc>
        <w:tc>
          <w:tcPr>
            <w:tcW w:w="918" w:type="dxa"/>
            <w:noWrap/>
            <w:hideMark/>
          </w:tcPr>
          <w:p w14:paraId="1062EAC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1620</w:t>
            </w:r>
          </w:p>
        </w:tc>
        <w:tc>
          <w:tcPr>
            <w:tcW w:w="931" w:type="dxa"/>
            <w:noWrap/>
            <w:hideMark/>
          </w:tcPr>
          <w:p w14:paraId="3DD631C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5D409CC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12CC217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3C2CA68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17FD49C9"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6B04551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204178F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0AC9C63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79C6E25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5DE5BE5A"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51C47D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657157B5"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2BE8DDFD" w14:textId="77777777" w:rsidR="00A721D6" w:rsidRPr="003037D2" w:rsidRDefault="00A721D6" w:rsidP="00A721D6">
            <w:pPr>
              <w:spacing w:line="360" w:lineRule="auto"/>
              <w:rPr>
                <w:rFonts w:ascii="Garamond" w:hAnsi="Garamond"/>
                <w:b w:val="0"/>
                <w:bCs w:val="0"/>
                <w:sz w:val="21"/>
                <w:szCs w:val="21"/>
              </w:rPr>
            </w:pPr>
            <w:r w:rsidRPr="003037D2">
              <w:rPr>
                <w:rFonts w:ascii="Garamond" w:hAnsi="Garamond"/>
                <w:b w:val="0"/>
                <w:bCs w:val="0"/>
                <w:sz w:val="21"/>
                <w:szCs w:val="21"/>
              </w:rPr>
              <w:t xml:space="preserve">Wren, Matthew </w:t>
            </w:r>
          </w:p>
        </w:tc>
        <w:tc>
          <w:tcPr>
            <w:tcW w:w="1125" w:type="dxa"/>
            <w:noWrap/>
            <w:hideMark/>
          </w:tcPr>
          <w:p w14:paraId="1F990A5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Thomas and John Buck </w:t>
            </w:r>
          </w:p>
        </w:tc>
        <w:tc>
          <w:tcPr>
            <w:tcW w:w="918" w:type="dxa"/>
            <w:noWrap/>
            <w:hideMark/>
          </w:tcPr>
          <w:p w14:paraId="4D2EF78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1628</w:t>
            </w:r>
          </w:p>
        </w:tc>
        <w:tc>
          <w:tcPr>
            <w:tcW w:w="931" w:type="dxa"/>
            <w:noWrap/>
            <w:hideMark/>
          </w:tcPr>
          <w:p w14:paraId="1DDC132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1ED674D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244E0BA4"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612165BF"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Court - Whitehall </w:t>
            </w:r>
          </w:p>
        </w:tc>
        <w:tc>
          <w:tcPr>
            <w:tcW w:w="1118" w:type="dxa"/>
            <w:noWrap/>
            <w:hideMark/>
          </w:tcPr>
          <w:p w14:paraId="5949420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6A77DB9D"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13310FA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5C31FF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0518A56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1D8DC0F3"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622FF90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r w:rsidR="00A721D6" w:rsidRPr="003037D2" w14:paraId="60756002" w14:textId="77777777" w:rsidTr="00A721D6">
        <w:trPr>
          <w:trHeight w:val="300"/>
        </w:trPr>
        <w:tc>
          <w:tcPr>
            <w:cnfStyle w:val="001000000000" w:firstRow="0" w:lastRow="0" w:firstColumn="1" w:lastColumn="0" w:oddVBand="0" w:evenVBand="0" w:oddHBand="0" w:evenHBand="0" w:firstRowFirstColumn="0" w:firstRowLastColumn="0" w:lastRowFirstColumn="0" w:lastRowLastColumn="0"/>
            <w:tcW w:w="1244" w:type="dxa"/>
            <w:noWrap/>
            <w:hideMark/>
          </w:tcPr>
          <w:p w14:paraId="483EB69C" w14:textId="77777777" w:rsidR="00A721D6" w:rsidRPr="003037D2" w:rsidRDefault="00A721D6" w:rsidP="00A721D6">
            <w:pPr>
              <w:spacing w:line="360" w:lineRule="auto"/>
              <w:rPr>
                <w:rFonts w:ascii="Garamond" w:hAnsi="Garamond"/>
                <w:b w:val="0"/>
                <w:bCs w:val="0"/>
                <w:sz w:val="21"/>
                <w:szCs w:val="21"/>
              </w:rPr>
            </w:pPr>
            <w:proofErr w:type="spellStart"/>
            <w:r w:rsidRPr="003037D2">
              <w:rPr>
                <w:rFonts w:ascii="Garamond" w:hAnsi="Garamond"/>
                <w:b w:val="0"/>
                <w:bCs w:val="0"/>
                <w:sz w:val="21"/>
                <w:szCs w:val="21"/>
              </w:rPr>
              <w:t>Yonger</w:t>
            </w:r>
            <w:proofErr w:type="spellEnd"/>
            <w:r w:rsidRPr="003037D2">
              <w:rPr>
                <w:rFonts w:ascii="Garamond" w:hAnsi="Garamond"/>
                <w:b w:val="0"/>
                <w:bCs w:val="0"/>
                <w:sz w:val="21"/>
                <w:szCs w:val="21"/>
              </w:rPr>
              <w:t xml:space="preserve">, William </w:t>
            </w:r>
          </w:p>
        </w:tc>
        <w:tc>
          <w:tcPr>
            <w:tcW w:w="1125" w:type="dxa"/>
            <w:noWrap/>
            <w:hideMark/>
          </w:tcPr>
          <w:p w14:paraId="28F0622E"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Christopher </w:t>
            </w:r>
            <w:proofErr w:type="spellStart"/>
            <w:r w:rsidRPr="003037D2">
              <w:rPr>
                <w:rFonts w:ascii="Garamond" w:hAnsi="Garamond"/>
                <w:sz w:val="21"/>
                <w:szCs w:val="21"/>
              </w:rPr>
              <w:t>Puntar</w:t>
            </w:r>
            <w:proofErr w:type="spellEnd"/>
          </w:p>
        </w:tc>
        <w:tc>
          <w:tcPr>
            <w:tcW w:w="918" w:type="dxa"/>
            <w:noWrap/>
            <w:hideMark/>
          </w:tcPr>
          <w:p w14:paraId="28F33A95"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1621</w:t>
            </w:r>
          </w:p>
        </w:tc>
        <w:tc>
          <w:tcPr>
            <w:tcW w:w="931" w:type="dxa"/>
            <w:noWrap/>
            <w:hideMark/>
          </w:tcPr>
          <w:p w14:paraId="161B1EA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N </w:t>
            </w:r>
          </w:p>
        </w:tc>
        <w:tc>
          <w:tcPr>
            <w:tcW w:w="1035" w:type="dxa"/>
            <w:noWrap/>
            <w:hideMark/>
          </w:tcPr>
          <w:p w14:paraId="2972B851"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London </w:t>
            </w:r>
          </w:p>
        </w:tc>
        <w:tc>
          <w:tcPr>
            <w:tcW w:w="838" w:type="dxa"/>
            <w:noWrap/>
            <w:hideMark/>
          </w:tcPr>
          <w:p w14:paraId="3115CD40"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1203" w:type="dxa"/>
            <w:noWrap/>
            <w:hideMark/>
          </w:tcPr>
          <w:p w14:paraId="2C6FD137"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Town </w:t>
            </w:r>
          </w:p>
        </w:tc>
        <w:tc>
          <w:tcPr>
            <w:tcW w:w="1118" w:type="dxa"/>
            <w:noWrap/>
            <w:hideMark/>
          </w:tcPr>
          <w:p w14:paraId="58B9F0F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81" w:type="dxa"/>
            <w:noWrap/>
            <w:hideMark/>
          </w:tcPr>
          <w:p w14:paraId="705E003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681" w:type="dxa"/>
            <w:noWrap/>
            <w:hideMark/>
          </w:tcPr>
          <w:p w14:paraId="613BC2BB"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c>
          <w:tcPr>
            <w:tcW w:w="853" w:type="dxa"/>
            <w:noWrap/>
            <w:hideMark/>
          </w:tcPr>
          <w:p w14:paraId="4CAA5DF8"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Date</w:t>
            </w:r>
          </w:p>
        </w:tc>
        <w:tc>
          <w:tcPr>
            <w:tcW w:w="965" w:type="dxa"/>
            <w:noWrap/>
            <w:hideMark/>
          </w:tcPr>
          <w:p w14:paraId="3EE3CB5C"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1093" w:type="dxa"/>
            <w:noWrap/>
            <w:hideMark/>
          </w:tcPr>
          <w:p w14:paraId="43FD6136"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p>
        </w:tc>
        <w:tc>
          <w:tcPr>
            <w:tcW w:w="963" w:type="dxa"/>
            <w:noWrap/>
            <w:hideMark/>
          </w:tcPr>
          <w:p w14:paraId="6A8737D2" w14:textId="77777777" w:rsidR="00A721D6" w:rsidRPr="003037D2" w:rsidRDefault="00A721D6" w:rsidP="00A721D6">
            <w:pPr>
              <w:spacing w:line="360" w:lineRule="auto"/>
              <w:cnfStyle w:val="000000000000" w:firstRow="0" w:lastRow="0" w:firstColumn="0" w:lastColumn="0" w:oddVBand="0" w:evenVBand="0" w:oddHBand="0" w:evenHBand="0" w:firstRowFirstColumn="0" w:firstRowLastColumn="0" w:lastRowFirstColumn="0" w:lastRowLastColumn="0"/>
              <w:rPr>
                <w:rFonts w:ascii="Garamond" w:hAnsi="Garamond"/>
                <w:sz w:val="21"/>
                <w:szCs w:val="21"/>
              </w:rPr>
            </w:pPr>
            <w:r w:rsidRPr="003037D2">
              <w:rPr>
                <w:rFonts w:ascii="Garamond" w:hAnsi="Garamond"/>
                <w:sz w:val="21"/>
                <w:szCs w:val="21"/>
              </w:rPr>
              <w:t xml:space="preserve">Y </w:t>
            </w:r>
          </w:p>
        </w:tc>
      </w:tr>
    </w:tbl>
    <w:p w14:paraId="11F11C13" w14:textId="77777777" w:rsidR="00A721D6" w:rsidRPr="003037D2" w:rsidRDefault="00A721D6" w:rsidP="00A721D6">
      <w:pPr>
        <w:spacing w:line="360" w:lineRule="auto"/>
        <w:rPr>
          <w:rFonts w:ascii="Garamond" w:hAnsi="Garamond"/>
          <w:lang w:eastAsia="zh-CN"/>
        </w:rPr>
      </w:pPr>
    </w:p>
    <w:p w14:paraId="69CEB53B" w14:textId="77777777" w:rsidR="00A721D6" w:rsidRPr="003037D2" w:rsidRDefault="00A721D6" w:rsidP="00A721D6">
      <w:pPr>
        <w:spacing w:line="360" w:lineRule="auto"/>
        <w:rPr>
          <w:rFonts w:ascii="Garamond" w:hAnsi="Garamond"/>
          <w:lang w:eastAsia="zh-CN"/>
        </w:rPr>
      </w:pPr>
    </w:p>
    <w:p w14:paraId="3A0B7858" w14:textId="77777777" w:rsidR="00A721D6" w:rsidRPr="003037D2" w:rsidRDefault="00A721D6" w:rsidP="00A721D6">
      <w:pPr>
        <w:spacing w:line="360" w:lineRule="auto"/>
        <w:rPr>
          <w:rFonts w:ascii="Garamond" w:hAnsi="Garamond"/>
          <w:lang w:eastAsia="zh-CN"/>
        </w:rPr>
      </w:pPr>
    </w:p>
    <w:p w14:paraId="7A9093A1" w14:textId="77777777" w:rsidR="00162224" w:rsidRPr="003037D2" w:rsidRDefault="00162224" w:rsidP="00A721D6">
      <w:pPr>
        <w:spacing w:line="360" w:lineRule="auto"/>
        <w:ind w:left="1361" w:hanging="720"/>
        <w:rPr>
          <w:rFonts w:ascii="Garamond" w:hAnsi="Garamond"/>
          <w:lang w:eastAsia="zh-CN"/>
        </w:rPr>
      </w:pPr>
    </w:p>
    <w:p w14:paraId="177C9268" w14:textId="77777777" w:rsidR="00162224" w:rsidRPr="003037D2" w:rsidRDefault="00162224" w:rsidP="00162224">
      <w:pPr>
        <w:spacing w:line="360" w:lineRule="auto"/>
        <w:rPr>
          <w:rFonts w:ascii="Garamond" w:hAnsi="Garamond"/>
          <w:lang w:eastAsia="zh-CN"/>
        </w:rPr>
      </w:pPr>
    </w:p>
    <w:p w14:paraId="210970A2" w14:textId="77777777" w:rsidR="00162224" w:rsidRPr="003037D2" w:rsidRDefault="00162224" w:rsidP="00162224">
      <w:pPr>
        <w:spacing w:line="360" w:lineRule="auto"/>
        <w:rPr>
          <w:rFonts w:ascii="Garamond" w:hAnsi="Garamond"/>
          <w:lang w:eastAsia="zh-CN"/>
        </w:rPr>
      </w:pPr>
    </w:p>
    <w:p w14:paraId="0232A9F5" w14:textId="77777777" w:rsidR="00162224" w:rsidRPr="003037D2" w:rsidRDefault="00162224" w:rsidP="00162224">
      <w:pPr>
        <w:spacing w:line="360" w:lineRule="auto"/>
        <w:rPr>
          <w:rFonts w:ascii="Garamond" w:hAnsi="Garamond"/>
          <w:lang w:eastAsia="zh-CN"/>
        </w:rPr>
      </w:pPr>
    </w:p>
    <w:p w14:paraId="6CAECAD5" w14:textId="77777777" w:rsidR="00162224" w:rsidRPr="003037D2" w:rsidRDefault="00162224" w:rsidP="00162224">
      <w:pPr>
        <w:spacing w:line="360" w:lineRule="auto"/>
        <w:rPr>
          <w:rFonts w:ascii="Garamond" w:hAnsi="Garamond"/>
          <w:lang w:eastAsia="zh-CN"/>
        </w:rPr>
      </w:pPr>
    </w:p>
    <w:p w14:paraId="08A83B61" w14:textId="77777777" w:rsidR="00162224" w:rsidRPr="003037D2" w:rsidRDefault="00162224" w:rsidP="00162224">
      <w:pPr>
        <w:spacing w:line="360" w:lineRule="auto"/>
        <w:rPr>
          <w:rFonts w:ascii="Garamond" w:hAnsi="Garamond"/>
          <w:lang w:eastAsia="zh-CN"/>
        </w:rPr>
      </w:pPr>
    </w:p>
    <w:p w14:paraId="38FAB54E" w14:textId="77777777" w:rsidR="00162224" w:rsidRPr="003037D2" w:rsidRDefault="00162224" w:rsidP="00162224">
      <w:pPr>
        <w:spacing w:line="360" w:lineRule="auto"/>
        <w:rPr>
          <w:rFonts w:ascii="Garamond" w:hAnsi="Garamond"/>
          <w:lang w:eastAsia="zh-CN"/>
        </w:rPr>
      </w:pPr>
    </w:p>
    <w:p w14:paraId="050A4C9A" w14:textId="77777777" w:rsidR="00162224" w:rsidRPr="003037D2" w:rsidRDefault="00162224" w:rsidP="00162224">
      <w:pPr>
        <w:spacing w:line="360" w:lineRule="auto"/>
        <w:rPr>
          <w:rFonts w:ascii="Garamond" w:hAnsi="Garamond"/>
          <w:lang w:eastAsia="zh-CN"/>
        </w:rPr>
      </w:pPr>
    </w:p>
    <w:sectPr w:rsidR="00162224" w:rsidRPr="003037D2" w:rsidSect="00A721D6">
      <w:pgSz w:w="16840" w:h="11900" w:orient="landscape"/>
      <w:pgMar w:top="2291" w:right="1134" w:bottom="1134"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492F22" w14:textId="77777777" w:rsidR="00E04035" w:rsidRDefault="00E04035" w:rsidP="00162224">
      <w:r>
        <w:separator/>
      </w:r>
    </w:p>
  </w:endnote>
  <w:endnote w:type="continuationSeparator" w:id="0">
    <w:p w14:paraId="7589A136" w14:textId="77777777" w:rsidR="00E04035" w:rsidRDefault="00E04035" w:rsidP="001622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DengXian Light">
    <w:charset w:val="86"/>
    <w:family w:val="auto"/>
    <w:pitch w:val="variable"/>
    <w:sig w:usb0="A00002BF" w:usb1="38CF7CFA" w:usb2="00000016" w:usb3="00000000" w:csb0="0004000F" w:csb1="00000000"/>
  </w:font>
  <w:font w:name="Segoe UI">
    <w:altName w:val="Calibr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67044058"/>
      <w:docPartObj>
        <w:docPartGallery w:val="Page Numbers (Bottom of Page)"/>
        <w:docPartUnique/>
      </w:docPartObj>
    </w:sdtPr>
    <w:sdtEndPr>
      <w:rPr>
        <w:noProof/>
      </w:rPr>
    </w:sdtEndPr>
    <w:sdtContent>
      <w:p w14:paraId="4986A546" w14:textId="1D0102DF" w:rsidR="00814479" w:rsidRDefault="00E04035">
        <w:pPr>
          <w:pStyle w:val="Footer"/>
          <w:jc w:val="center"/>
        </w:pPr>
      </w:p>
    </w:sdtContent>
  </w:sdt>
  <w:p w14:paraId="4D7F4D4A" w14:textId="77777777" w:rsidR="00814479" w:rsidRDefault="0081447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48952547"/>
      <w:docPartObj>
        <w:docPartGallery w:val="Page Numbers (Bottom of Page)"/>
        <w:docPartUnique/>
      </w:docPartObj>
    </w:sdtPr>
    <w:sdtEndPr>
      <w:rPr>
        <w:noProof/>
      </w:rPr>
    </w:sdtEndPr>
    <w:sdtContent>
      <w:p w14:paraId="7CFD7A29" w14:textId="7973BA2C" w:rsidR="00814479" w:rsidRDefault="00814479">
        <w:pPr>
          <w:pStyle w:val="Footer"/>
          <w:jc w:val="center"/>
        </w:pPr>
        <w:r>
          <w:fldChar w:fldCharType="begin"/>
        </w:r>
        <w:r>
          <w:instrText xml:space="preserve"> PAGE   \* MERGEFORMAT </w:instrText>
        </w:r>
        <w:r>
          <w:fldChar w:fldCharType="separate"/>
        </w:r>
        <w:r>
          <w:rPr>
            <w:noProof/>
          </w:rPr>
          <w:t>148</w:t>
        </w:r>
        <w:r>
          <w:rPr>
            <w:noProof/>
          </w:rPr>
          <w:fldChar w:fldCharType="end"/>
        </w:r>
      </w:p>
    </w:sdtContent>
  </w:sdt>
  <w:p w14:paraId="2344815D" w14:textId="77777777" w:rsidR="00814479" w:rsidRDefault="0081447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77BBD7" w14:textId="77777777" w:rsidR="00E04035" w:rsidRDefault="00E04035" w:rsidP="00162224">
      <w:r>
        <w:separator/>
      </w:r>
    </w:p>
  </w:footnote>
  <w:footnote w:type="continuationSeparator" w:id="0">
    <w:p w14:paraId="65F8EC25" w14:textId="77777777" w:rsidR="00E04035" w:rsidRDefault="00E04035" w:rsidP="00162224">
      <w:r>
        <w:continuationSeparator/>
      </w:r>
    </w:p>
  </w:footnote>
  <w:footnote w:id="1">
    <w:p w14:paraId="01F7C1BB" w14:textId="0C54FBB1"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‘Elizabethan Entertainments in Manuscript: The Harefield Festivities (1602) and the Dynamics of Exchange’ in </w:t>
      </w:r>
      <w:r w:rsidRPr="003B1071">
        <w:rPr>
          <w:rFonts w:ascii="Garamond" w:hAnsi="Garamond"/>
          <w:i/>
        </w:rPr>
        <w:t>The Progresses, Pageants, &amp; Entertainments of Queen Elizabeth I,</w:t>
      </w:r>
      <w:r w:rsidRPr="003B1071">
        <w:rPr>
          <w:rFonts w:ascii="Garamond" w:hAnsi="Garamond"/>
        </w:rPr>
        <w:t xml:space="preserve"> ed. by Jayne Elisabeth Archer, Elizabeth Goldring and Sarah Knight (Oxford: Oxford University Press, 2007) pp. 227-245 (p. 234). This would be approximately £275,750 today, or the worth of 40,000 days work by skilled artisans at the time.  </w:t>
      </w:r>
    </w:p>
  </w:footnote>
  <w:footnote w:id="2">
    <w:p w14:paraId="18CFCC72" w14:textId="181407A9"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 copy of the entertainment text sent to the Archbishop of York, Matthew Hutton, from a member of the Harefield household, details the costs of some of the jewels presented to the queen. Northallerton, </w:t>
      </w:r>
      <w:bookmarkStart w:id="4" w:name="_Hlk531898512"/>
      <w:r w:rsidRPr="003B1071">
        <w:rPr>
          <w:rFonts w:ascii="Garamond" w:hAnsi="Garamond"/>
        </w:rPr>
        <w:t xml:space="preserve">North Yorkshire Record Office, ZAZ 1286/8282-89, cited in </w:t>
      </w:r>
      <w:bookmarkStart w:id="5" w:name="_Hlk531898999"/>
      <w:bookmarkEnd w:id="4"/>
      <w:r w:rsidRPr="003B1071">
        <w:rPr>
          <w:rFonts w:ascii="Garamond" w:hAnsi="Garamond"/>
        </w:rPr>
        <w:t xml:space="preserve">Misha Teramura, ‘The Harefield Entertainment’ in </w:t>
      </w:r>
      <w:r w:rsidRPr="003B1071">
        <w:rPr>
          <w:rFonts w:ascii="Garamond" w:hAnsi="Garamond"/>
          <w:i/>
        </w:rPr>
        <w:t>The Lost Plays Database</w:t>
      </w:r>
      <w:r>
        <w:rPr>
          <w:rFonts w:ascii="Garamond" w:hAnsi="Garamond"/>
          <w:i/>
        </w:rPr>
        <w:t xml:space="preserve"> </w:t>
      </w:r>
      <w:hyperlink r:id="rId1" w:anchor="For_What_It.27s_Worth" w:history="1">
        <w:r w:rsidRPr="00237DA7">
          <w:rPr>
            <w:rStyle w:val="Hyperlink"/>
            <w:rFonts w:ascii="Garamond" w:hAnsi="Garamond"/>
          </w:rPr>
          <w:t>https://www.lostplays.org/lpd/Harefield_Entertainment#For_What_It.27s_Worth</w:t>
        </w:r>
      </w:hyperlink>
      <w:r w:rsidRPr="00A721D6">
        <w:rPr>
          <w:rFonts w:ascii="Garamond" w:hAnsi="Garamond"/>
        </w:rPr>
        <w:t xml:space="preserve"> [accessed 15 September 2016]</w:t>
      </w:r>
      <w:r w:rsidRPr="003B1071">
        <w:rPr>
          <w:rFonts w:ascii="Garamond" w:hAnsi="Garamond"/>
          <w:i/>
        </w:rPr>
        <w:t xml:space="preserve">. </w:t>
      </w:r>
    </w:p>
    <w:bookmarkEnd w:id="5"/>
  </w:footnote>
  <w:footnote w:id="3">
    <w:p w14:paraId="76E2FD0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John Davies, ‘The Queen’s Entertainment by the Countess of Derby at Harefield Palce, Middlesex, in July 1602’ in </w:t>
      </w:r>
      <w:r w:rsidRPr="003B1071">
        <w:rPr>
          <w:rFonts w:ascii="Garamond" w:hAnsi="Garamond"/>
          <w:i/>
        </w:rPr>
        <w:t>Queen Elizabeth’s Progresses</w:t>
      </w:r>
      <w:r w:rsidRPr="003B1071">
        <w:rPr>
          <w:rFonts w:ascii="Garamond" w:hAnsi="Garamond"/>
        </w:rPr>
        <w:t xml:space="preserve"> (London: John Nichols and Son, 1821), IV, p. 12. </w:t>
      </w:r>
    </w:p>
  </w:footnote>
  <w:footnote w:id="4">
    <w:p w14:paraId="7D117DD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Simon Cohen, ‘The early Renaissance personification of Time and changing concepts of temporality’ in </w:t>
      </w:r>
      <w:r w:rsidRPr="003B1071">
        <w:rPr>
          <w:rFonts w:ascii="Garamond" w:hAnsi="Garamond"/>
          <w:i/>
          <w:iCs/>
        </w:rPr>
        <w:t xml:space="preserve">Renaissance Studies, </w:t>
      </w:r>
      <w:r w:rsidRPr="003B1071">
        <w:rPr>
          <w:rFonts w:ascii="Garamond" w:hAnsi="Garamond"/>
        </w:rPr>
        <w:t xml:space="preserve">14.3 (September 2000), 301-328 (p. 311). </w:t>
      </w:r>
    </w:p>
  </w:footnote>
  <w:footnote w:id="5">
    <w:p w14:paraId="2316410F"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Davies, p. 12. </w:t>
      </w:r>
    </w:p>
  </w:footnote>
  <w:footnote w:id="6">
    <w:p w14:paraId="27CA91BA"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Davies, p. 13.</w:t>
      </w:r>
    </w:p>
  </w:footnote>
  <w:footnote w:id="7">
    <w:p w14:paraId="214545AB"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Davies, p. 13. </w:t>
      </w:r>
    </w:p>
  </w:footnote>
  <w:footnote w:id="8">
    <w:p w14:paraId="798E745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Davies, p. 14. </w:t>
      </w:r>
    </w:p>
  </w:footnote>
  <w:footnote w:id="9">
    <w:p w14:paraId="6911B818" w14:textId="465E6D82"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Davies, pp. 16-17</w:t>
      </w:r>
      <w:r>
        <w:rPr>
          <w:rFonts w:ascii="Garamond" w:hAnsi="Garamond"/>
        </w:rPr>
        <w:t xml:space="preserve">. </w:t>
      </w:r>
      <w:r w:rsidRPr="003B1071">
        <w:rPr>
          <w:rFonts w:ascii="Garamond" w:hAnsi="Garamond"/>
        </w:rPr>
        <w:t xml:space="preserve"> </w:t>
      </w:r>
    </w:p>
  </w:footnote>
  <w:footnote w:id="10">
    <w:p w14:paraId="67D05B0A" w14:textId="57E529C9"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William Shakespeare, </w:t>
      </w:r>
      <w:r w:rsidRPr="003B1071">
        <w:rPr>
          <w:rFonts w:ascii="Garamond" w:hAnsi="Garamond"/>
          <w:i/>
          <w:iCs/>
        </w:rPr>
        <w:t>Henry IV, Part II</w:t>
      </w:r>
      <w:r w:rsidRPr="003B1071">
        <w:rPr>
          <w:rFonts w:ascii="Garamond" w:hAnsi="Garamond"/>
        </w:rPr>
        <w:t>, ed. by René Weis (Oxford: Oxford University Press, 2008)</w:t>
      </w:r>
      <w:r>
        <w:rPr>
          <w:rFonts w:ascii="Garamond" w:hAnsi="Garamond"/>
        </w:rPr>
        <w:t>,</w:t>
      </w:r>
      <w:r w:rsidRPr="003B1071">
        <w:rPr>
          <w:rFonts w:ascii="Garamond" w:hAnsi="Garamond"/>
        </w:rPr>
        <w:t xml:space="preserve"> I.iii.116.  </w:t>
      </w:r>
    </w:p>
  </w:footnote>
  <w:footnote w:id="11">
    <w:p w14:paraId="3F41852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Davies, p. 14. </w:t>
      </w:r>
    </w:p>
  </w:footnote>
  <w:footnote w:id="12">
    <w:p w14:paraId="4F9EAA1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Cohen, p. 309. </w:t>
      </w:r>
    </w:p>
  </w:footnote>
  <w:footnote w:id="13">
    <w:p w14:paraId="14F05501" w14:textId="33487092"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Ricardo J. Quinones, ‘The New Dynamic of Time in Renaissance Literature and Society’ in </w:t>
      </w:r>
      <w:r w:rsidRPr="003B1071">
        <w:rPr>
          <w:rFonts w:ascii="Garamond" w:hAnsi="Garamond"/>
          <w:i/>
        </w:rPr>
        <w:t>Time: The Greatest Innovator, Timekeeping and Time Consciousness in Early Modern Europe</w:t>
      </w:r>
      <w:r w:rsidRPr="003B1071">
        <w:rPr>
          <w:rFonts w:ascii="Garamond" w:hAnsi="Garamond"/>
        </w:rPr>
        <w:t xml:space="preserve">, ed. by Rachel Doggett (Washington, DC: The Folger Shakespeare Library), pp. 24-37 (p. 26). </w:t>
      </w:r>
    </w:p>
  </w:footnote>
  <w:footnote w:id="14">
    <w:p w14:paraId="62F9CB9F" w14:textId="320364C0"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William Shakespeare, </w:t>
      </w:r>
      <w:r w:rsidRPr="003B1071">
        <w:rPr>
          <w:rFonts w:ascii="Garamond" w:hAnsi="Garamond"/>
          <w:i/>
          <w:iCs/>
        </w:rPr>
        <w:t xml:space="preserve">Shakespeare’s Sonnets </w:t>
      </w:r>
      <w:r w:rsidRPr="003B1071">
        <w:rPr>
          <w:rFonts w:ascii="Garamond" w:hAnsi="Garamond"/>
        </w:rPr>
        <w:t>(Boston: Ticknor and Friends, 1865)</w:t>
      </w:r>
      <w:r>
        <w:rPr>
          <w:rFonts w:ascii="Garamond" w:hAnsi="Garamond"/>
        </w:rPr>
        <w:t>,</w:t>
      </w:r>
      <w:r w:rsidRPr="003B1071">
        <w:rPr>
          <w:rFonts w:ascii="Garamond" w:hAnsi="Garamond"/>
        </w:rPr>
        <w:t xml:space="preserve"> p. 21. </w:t>
      </w:r>
    </w:p>
  </w:footnote>
  <w:footnote w:id="15">
    <w:p w14:paraId="24057ECF" w14:textId="162C0689"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Qu</w:t>
      </w:r>
      <w:r>
        <w:rPr>
          <w:rFonts w:ascii="Garamond" w:hAnsi="Garamond"/>
        </w:rPr>
        <w:t>i</w:t>
      </w:r>
      <w:r w:rsidRPr="003B1071">
        <w:rPr>
          <w:rFonts w:ascii="Garamond" w:hAnsi="Garamond"/>
        </w:rPr>
        <w:t>nones, p. 26.</w:t>
      </w:r>
    </w:p>
  </w:footnote>
  <w:footnote w:id="16">
    <w:p w14:paraId="01DEA232" w14:textId="36D3D87E"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E.B. Fryde, </w:t>
      </w:r>
      <w:r w:rsidRPr="003B1071">
        <w:rPr>
          <w:rFonts w:ascii="Garamond" w:hAnsi="Garamond"/>
          <w:i/>
          <w:iCs/>
        </w:rPr>
        <w:t xml:space="preserve">Humanism and Renaissance Historiography </w:t>
      </w:r>
      <w:r w:rsidRPr="003B1071">
        <w:rPr>
          <w:rFonts w:ascii="Garamond" w:hAnsi="Garamond"/>
        </w:rPr>
        <w:t>(London: Hambledon, 1983)</w:t>
      </w:r>
      <w:r>
        <w:rPr>
          <w:rFonts w:ascii="Garamond" w:hAnsi="Garamond"/>
        </w:rPr>
        <w:t>,</w:t>
      </w:r>
      <w:r w:rsidRPr="003B1071">
        <w:rPr>
          <w:rFonts w:ascii="Garamond" w:hAnsi="Garamond"/>
        </w:rPr>
        <w:t xml:space="preserve"> pp. 33-54, and Lydia Janssen </w:t>
      </w:r>
      <w:r>
        <w:rPr>
          <w:rFonts w:ascii="Garamond" w:hAnsi="Garamond"/>
        </w:rPr>
        <w:t>‘</w:t>
      </w:r>
      <w:r w:rsidRPr="003B1071">
        <w:rPr>
          <w:rFonts w:ascii="Garamond" w:hAnsi="Garamond"/>
        </w:rPr>
        <w:t xml:space="preserve">The rise of </w:t>
      </w:r>
      <w:r>
        <w:rPr>
          <w:rFonts w:ascii="Garamond" w:hAnsi="Garamond"/>
        </w:rPr>
        <w:t>“</w:t>
      </w:r>
      <w:r w:rsidRPr="003B1071">
        <w:rPr>
          <w:rFonts w:ascii="Garamond" w:hAnsi="Garamond"/>
        </w:rPr>
        <w:t>auxiliary sciences</w:t>
      </w:r>
      <w:r>
        <w:rPr>
          <w:rFonts w:ascii="Garamond" w:hAnsi="Garamond"/>
        </w:rPr>
        <w:t>”</w:t>
      </w:r>
      <w:r w:rsidRPr="003B1071">
        <w:rPr>
          <w:rFonts w:ascii="Garamond" w:hAnsi="Garamond"/>
        </w:rPr>
        <w:t xml:space="preserve"> in early modern national historiography: an </w:t>
      </w:r>
      <w:r>
        <w:rPr>
          <w:rFonts w:ascii="Garamond" w:hAnsi="Garamond"/>
        </w:rPr>
        <w:t>“</w:t>
      </w:r>
      <w:r w:rsidRPr="003B1071">
        <w:rPr>
          <w:rFonts w:ascii="Garamond" w:hAnsi="Garamond"/>
        </w:rPr>
        <w:t>interdisciplinary</w:t>
      </w:r>
      <w:r>
        <w:rPr>
          <w:rFonts w:ascii="Garamond" w:hAnsi="Garamond"/>
        </w:rPr>
        <w:t xml:space="preserve">” </w:t>
      </w:r>
      <w:r w:rsidRPr="003B1071">
        <w:rPr>
          <w:rFonts w:ascii="Garamond" w:hAnsi="Garamond"/>
        </w:rPr>
        <w:t>answer to historical scepticism’ in </w:t>
      </w:r>
      <w:r w:rsidRPr="003B1071">
        <w:rPr>
          <w:rFonts w:ascii="Garamond" w:hAnsi="Garamond"/>
          <w:i/>
          <w:iCs/>
        </w:rPr>
        <w:t>History of European Ideas</w:t>
      </w:r>
      <w:r w:rsidRPr="003B1071">
        <w:rPr>
          <w:rFonts w:ascii="Garamond" w:hAnsi="Garamond"/>
        </w:rPr>
        <w:t xml:space="preserve">, 43.5 (2017), 427-441. </w:t>
      </w:r>
    </w:p>
  </w:footnote>
  <w:footnote w:id="17">
    <w:p w14:paraId="55010738" w14:textId="5C08586D"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Ernst Breisach, </w:t>
      </w:r>
      <w:r w:rsidRPr="003B1071">
        <w:rPr>
          <w:rFonts w:ascii="Garamond" w:hAnsi="Garamond"/>
          <w:i/>
          <w:iCs/>
        </w:rPr>
        <w:t>Historiography: ancient, medieval, and modern</w:t>
      </w:r>
      <w:r w:rsidRPr="003B1071">
        <w:rPr>
          <w:rFonts w:ascii="Garamond" w:hAnsi="Garamond"/>
        </w:rPr>
        <w:t xml:space="preserve"> (Chicago: University of Chicago Press, 2007)</w:t>
      </w:r>
      <w:r>
        <w:rPr>
          <w:rFonts w:ascii="Garamond" w:hAnsi="Garamond"/>
        </w:rPr>
        <w:t>,</w:t>
      </w:r>
      <w:r w:rsidRPr="003B1071">
        <w:rPr>
          <w:rFonts w:ascii="Garamond" w:hAnsi="Garamond"/>
        </w:rPr>
        <w:t xml:space="preserve"> p. 174. For more details of Bale and Parker’s antiquarian efforts, and how they aided their European counterparts in locating and sharing documents see Norman L. Jones, ‘Matthew Parker, John Bale, and the Magdeburg Centuriators’ in </w:t>
      </w:r>
      <w:r w:rsidRPr="003B1071">
        <w:rPr>
          <w:rFonts w:ascii="Garamond" w:hAnsi="Garamond"/>
          <w:i/>
        </w:rPr>
        <w:t>The Sixteenth Century Journal</w:t>
      </w:r>
      <w:r w:rsidRPr="003B1071">
        <w:rPr>
          <w:rFonts w:ascii="Garamond" w:hAnsi="Garamond"/>
        </w:rPr>
        <w:t>, 12.3 (Autumn, 1981), 35-40. For details on Parker’s cabal of researchers and (somewhat controversial) editing methods, see Benedict Scott Robinson, ‘</w:t>
      </w:r>
      <w:r>
        <w:rPr>
          <w:rFonts w:ascii="Garamond" w:hAnsi="Garamond"/>
        </w:rPr>
        <w:t>“</w:t>
      </w:r>
      <w:r w:rsidRPr="003B1071">
        <w:rPr>
          <w:rFonts w:ascii="Garamond" w:hAnsi="Garamond"/>
        </w:rPr>
        <w:t>Darke Speech</w:t>
      </w:r>
      <w:r>
        <w:rPr>
          <w:rFonts w:ascii="Garamond" w:hAnsi="Garamond"/>
        </w:rPr>
        <w:t>”</w:t>
      </w:r>
      <w:r w:rsidRPr="003B1071">
        <w:rPr>
          <w:rFonts w:ascii="Garamond" w:hAnsi="Garamond"/>
        </w:rPr>
        <w:t xml:space="preserve">’: Matthew Parker and the Reforming of History’ in </w:t>
      </w:r>
      <w:r w:rsidRPr="003B1071">
        <w:rPr>
          <w:rFonts w:ascii="Garamond" w:hAnsi="Garamond"/>
          <w:i/>
        </w:rPr>
        <w:t>The Sixteenth Century Journal</w:t>
      </w:r>
      <w:r w:rsidRPr="003B1071">
        <w:rPr>
          <w:rFonts w:ascii="Garamond" w:hAnsi="Garamond"/>
        </w:rPr>
        <w:t xml:space="preserve">, 29.4 (Winter, 1998), 1061-83. </w:t>
      </w:r>
    </w:p>
  </w:footnote>
  <w:footnote w:id="18">
    <w:p w14:paraId="237ECBE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From the preface to Walsingham’s </w:t>
      </w:r>
      <w:r w:rsidRPr="003B1071">
        <w:rPr>
          <w:rFonts w:ascii="Garamond" w:hAnsi="Garamond"/>
          <w:i/>
        </w:rPr>
        <w:t xml:space="preserve">Historia Brevis, </w:t>
      </w:r>
      <w:r w:rsidRPr="003B1071">
        <w:rPr>
          <w:rFonts w:ascii="Garamond" w:hAnsi="Garamond"/>
        </w:rPr>
        <w:t xml:space="preserve">F.2v, cited in and translated by Scott Robinson, p. 1082. </w:t>
      </w:r>
    </w:p>
  </w:footnote>
  <w:footnote w:id="19">
    <w:p w14:paraId="5260741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Scott Robinson, pp. 1082-3. </w:t>
      </w:r>
    </w:p>
  </w:footnote>
  <w:footnote w:id="20">
    <w:p w14:paraId="59529223" w14:textId="4735287C"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Daniel Woolf, </w:t>
      </w:r>
      <w:r w:rsidRPr="003B1071">
        <w:rPr>
          <w:rFonts w:ascii="Garamond" w:hAnsi="Garamond"/>
          <w:i/>
        </w:rPr>
        <w:t xml:space="preserve">The Social Circulation of the Past: English Historical Culture 1500-1730 </w:t>
      </w:r>
      <w:r w:rsidRPr="003B1071">
        <w:rPr>
          <w:rFonts w:ascii="Garamond" w:hAnsi="Garamond"/>
          <w:iCs/>
        </w:rPr>
        <w:t>(Oxford: Oxford University Press, 2003)</w:t>
      </w:r>
      <w:r>
        <w:rPr>
          <w:rFonts w:ascii="Garamond" w:hAnsi="Garamond"/>
          <w:iCs/>
        </w:rPr>
        <w:t>,</w:t>
      </w:r>
      <w:r w:rsidRPr="003B1071">
        <w:rPr>
          <w:rFonts w:ascii="Garamond" w:hAnsi="Garamond"/>
          <w:iCs/>
        </w:rPr>
        <w:t xml:space="preserve"> </w:t>
      </w:r>
      <w:r w:rsidRPr="003B1071">
        <w:rPr>
          <w:rFonts w:ascii="Garamond" w:hAnsi="Garamond"/>
        </w:rPr>
        <w:t xml:space="preserve">pp. 12-13. </w:t>
      </w:r>
    </w:p>
  </w:footnote>
  <w:footnote w:id="21">
    <w:p w14:paraId="4FBD2540" w14:textId="7D135E83"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E.P. Thompson, ‘Time, work-discipline, and industrial capitalism’ in </w:t>
      </w:r>
      <w:r w:rsidRPr="003B1071">
        <w:rPr>
          <w:rFonts w:ascii="Garamond" w:hAnsi="Garamond"/>
          <w:i/>
          <w:iCs/>
        </w:rPr>
        <w:t>Past and Present</w:t>
      </w:r>
      <w:r w:rsidRPr="003B1071">
        <w:rPr>
          <w:rFonts w:ascii="Garamond" w:hAnsi="Garamond"/>
        </w:rPr>
        <w:t xml:space="preserve">, 38.1 (December 1967), 56-97 and Max Weber, </w:t>
      </w:r>
      <w:r w:rsidRPr="003B1071">
        <w:rPr>
          <w:rFonts w:ascii="Garamond" w:hAnsi="Garamond"/>
          <w:i/>
          <w:iCs/>
        </w:rPr>
        <w:t xml:space="preserve">The Protestant ethic and the spirit of Capitalism </w:t>
      </w:r>
      <w:r w:rsidRPr="003B1071">
        <w:rPr>
          <w:rFonts w:ascii="Garamond" w:hAnsi="Garamond"/>
        </w:rPr>
        <w:t xml:space="preserve">(New York: </w:t>
      </w:r>
      <w:r w:rsidRPr="003B1071">
        <w:rPr>
          <w:rFonts w:ascii="Garamond" w:hAnsi="Garamond" w:cs="Arial"/>
          <w:color w:val="000000"/>
          <w:shd w:val="clear" w:color="auto" w:fill="FFFFFF"/>
        </w:rPr>
        <w:t>Charles Scribner's Sons, 1958), pp. 95-154.</w:t>
      </w:r>
    </w:p>
  </w:footnote>
  <w:footnote w:id="22">
    <w:p w14:paraId="264AEE9B" w14:textId="77777777" w:rsidR="00814479" w:rsidRPr="003B1071" w:rsidRDefault="00814479" w:rsidP="00162224">
      <w:pPr>
        <w:pStyle w:val="FootnoteText"/>
        <w:rPr>
          <w:rFonts w:ascii="Garamond" w:hAnsi="Garamond"/>
          <w:b/>
          <w:bCs/>
        </w:rPr>
      </w:pPr>
      <w:r w:rsidRPr="003B1071">
        <w:rPr>
          <w:rStyle w:val="FootnoteReference"/>
          <w:rFonts w:ascii="Garamond" w:hAnsi="Garamond"/>
        </w:rPr>
        <w:footnoteRef/>
      </w:r>
      <w:r w:rsidRPr="003B1071">
        <w:rPr>
          <w:rFonts w:ascii="Garamond" w:hAnsi="Garamond"/>
        </w:rPr>
        <w:t xml:space="preserve"> See for example John David North, a historian of science who argues that the mechanical clock was ‘the single most important practical innovation of the entire middle ages’ comparable in impact to the invention of movable type in the early Renaissance, </w:t>
      </w:r>
      <w:r w:rsidRPr="003B1071">
        <w:rPr>
          <w:rFonts w:ascii="Garamond" w:hAnsi="Garamond"/>
          <w:i/>
          <w:iCs/>
        </w:rPr>
        <w:t>God’s Clockmaker: Richard of Wallingford and the Invention of Time</w:t>
      </w:r>
      <w:r w:rsidRPr="003B1071">
        <w:rPr>
          <w:rFonts w:ascii="Garamond" w:hAnsi="Garamond"/>
        </w:rPr>
        <w:t xml:space="preserve"> (London: Hambleton, 2005), p. 143. Otto Mayr, </w:t>
      </w:r>
      <w:r w:rsidRPr="003B1071">
        <w:rPr>
          <w:rFonts w:ascii="Garamond" w:hAnsi="Garamond"/>
          <w:i/>
          <w:iCs/>
        </w:rPr>
        <w:t>Authority, Liberty and Automatic Machinery in Early Modern Europe</w:t>
      </w:r>
      <w:r w:rsidRPr="003B1071">
        <w:rPr>
          <w:rFonts w:ascii="Garamond" w:hAnsi="Garamond"/>
        </w:rPr>
        <w:t xml:space="preserve"> (Baltimore and London: John Hopkins University Press, 1986), pp. 110-132. Mayr argues that metaphors of the clock were used with distrust in England, signifying an unbearably strict authoritarian regime. See also Max Engammare, discussing time keeping in Geneva from 1550-60 and seventeenth century English puritanism,</w:t>
      </w:r>
      <w:r w:rsidRPr="003B1071">
        <w:rPr>
          <w:rFonts w:ascii="Garamond" w:hAnsi="Garamond"/>
          <w:i/>
          <w:iCs/>
        </w:rPr>
        <w:t xml:space="preserve"> On Time, Punctuality and Discipline in Early Modern Calvinism,</w:t>
      </w:r>
      <w:r w:rsidRPr="003B1071">
        <w:rPr>
          <w:rFonts w:ascii="Garamond" w:hAnsi="Garamond"/>
        </w:rPr>
        <w:t xml:space="preserve"> trans. Karin Maag (Cambridge, Cambridge University Press: 2010). Engammare argues that Protestants ‘internalized a different way of relating to time and developed a new approach to their daily schedule’, p. 2. </w:t>
      </w:r>
    </w:p>
  </w:footnote>
  <w:footnote w:id="23">
    <w:p w14:paraId="23B0686F" w14:textId="6B1DC0BF"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Silvio A. Bedini, ‘The Map of Time’ in </w:t>
      </w:r>
      <w:r w:rsidRPr="003B1071">
        <w:rPr>
          <w:rFonts w:ascii="Garamond" w:hAnsi="Garamond"/>
          <w:i/>
          <w:iCs/>
        </w:rPr>
        <w:t>Time: The Greatest Innovator</w:t>
      </w:r>
      <w:r w:rsidRPr="003B1071">
        <w:rPr>
          <w:rFonts w:ascii="Garamond" w:hAnsi="Garamond"/>
        </w:rPr>
        <w:t xml:space="preserve"> (Washington, DC: The Folger Shakespeare Library)</w:t>
      </w:r>
      <w:r>
        <w:rPr>
          <w:rFonts w:ascii="Garamond" w:hAnsi="Garamond"/>
        </w:rPr>
        <w:t>,</w:t>
      </w:r>
      <w:r w:rsidRPr="003B1071">
        <w:rPr>
          <w:rFonts w:ascii="Garamond" w:hAnsi="Garamond"/>
        </w:rPr>
        <w:t xml:space="preserve"> pp. 10-23 (p. 15). </w:t>
      </w:r>
    </w:p>
  </w:footnote>
  <w:footnote w:id="24">
    <w:p w14:paraId="41A31FA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As reported by Galileo’s biographer and friend Vincenzo Vivani. See Paul Murdin, </w:t>
      </w:r>
      <w:r w:rsidRPr="003B1071">
        <w:rPr>
          <w:rFonts w:ascii="Garamond" w:hAnsi="Garamond"/>
          <w:i/>
          <w:iCs/>
        </w:rPr>
        <w:t xml:space="preserve">Full Meridian of Glory: Perilous Adventures in the Competition to Measure the Earth </w:t>
      </w:r>
      <w:r w:rsidRPr="003B1071">
        <w:rPr>
          <w:rFonts w:ascii="Garamond" w:hAnsi="Garamond"/>
        </w:rPr>
        <w:t>(New York: Springer, 2008), p. 41.</w:t>
      </w:r>
    </w:p>
  </w:footnote>
  <w:footnote w:id="25">
    <w:p w14:paraId="2A02EFE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Bedini, p. 20. </w:t>
      </w:r>
    </w:p>
  </w:footnote>
  <w:footnote w:id="26">
    <w:p w14:paraId="4DBAA31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Galileo Galilei, </w:t>
      </w:r>
      <w:r w:rsidRPr="003B1071">
        <w:rPr>
          <w:rFonts w:ascii="Garamond" w:hAnsi="Garamond"/>
          <w:i/>
          <w:iCs/>
        </w:rPr>
        <w:t>Discoveries and opinions of Galileo,</w:t>
      </w:r>
      <w:r w:rsidRPr="003B1071">
        <w:rPr>
          <w:rFonts w:ascii="Garamond" w:hAnsi="Garamond"/>
        </w:rPr>
        <w:t xml:space="preserve"> trans. by Stillman Drake (New York: Anchor Books, 1957), p. 5. </w:t>
      </w:r>
    </w:p>
  </w:footnote>
  <w:footnote w:id="27">
    <w:p w14:paraId="0C0FCDA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Bedini, pp. 19-20. </w:t>
      </w:r>
    </w:p>
  </w:footnote>
  <w:footnote w:id="28">
    <w:p w14:paraId="55522649" w14:textId="77777777" w:rsidR="00814479" w:rsidRPr="003B1071" w:rsidRDefault="00814479" w:rsidP="00162224">
      <w:pPr>
        <w:pStyle w:val="FootnoteText"/>
        <w:rPr>
          <w:rFonts w:ascii="Garamond" w:hAnsi="Garamond"/>
          <w:b/>
          <w:bCs/>
        </w:rPr>
      </w:pPr>
      <w:r w:rsidRPr="003B1071">
        <w:rPr>
          <w:rStyle w:val="FootnoteReference"/>
          <w:rFonts w:ascii="Garamond" w:hAnsi="Garamond"/>
        </w:rPr>
        <w:footnoteRef/>
      </w:r>
      <w:r w:rsidRPr="003B1071">
        <w:rPr>
          <w:rFonts w:ascii="Garamond" w:hAnsi="Garamond"/>
        </w:rPr>
        <w:t xml:space="preserve"> See </w:t>
      </w:r>
      <w:r w:rsidRPr="003B1071">
        <w:rPr>
          <w:rFonts w:ascii="Garamond" w:hAnsi="Garamond"/>
          <w:bCs/>
        </w:rPr>
        <w:t xml:space="preserve">Christina Juliet Faraday, ‘Tudor time machines: Clocks and watches in English portraits c.1530-c.1630’ in </w:t>
      </w:r>
      <w:r w:rsidRPr="003B1071">
        <w:rPr>
          <w:rFonts w:ascii="Garamond" w:hAnsi="Garamond"/>
          <w:bCs/>
          <w:i/>
          <w:iCs/>
        </w:rPr>
        <w:t xml:space="preserve">Renaissance Studies, </w:t>
      </w:r>
      <w:r w:rsidRPr="003B1071">
        <w:rPr>
          <w:rFonts w:ascii="Garamond" w:hAnsi="Garamond"/>
          <w:bCs/>
          <w:iCs/>
        </w:rPr>
        <w:t xml:space="preserve">32 </w:t>
      </w:r>
      <w:r w:rsidRPr="003B1071">
        <w:rPr>
          <w:rFonts w:ascii="Garamond" w:hAnsi="Garamond"/>
          <w:bCs/>
        </w:rPr>
        <w:t>(2018), 1-28.</w:t>
      </w:r>
    </w:p>
  </w:footnote>
  <w:footnote w:id="29">
    <w:p w14:paraId="4B93A073" w14:textId="6F7854A6"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Andrew Gurr, ‘Maximal and Minimal Texts: Shakespeare vs. The Globe’ in </w:t>
      </w:r>
      <w:r w:rsidRPr="003B1071">
        <w:rPr>
          <w:rFonts w:ascii="Garamond" w:hAnsi="Garamond"/>
          <w:i/>
          <w:iCs/>
        </w:rPr>
        <w:t xml:space="preserve">Shakespeare Survey, </w:t>
      </w:r>
      <w:r w:rsidRPr="003B1071">
        <w:rPr>
          <w:rFonts w:ascii="Garamond" w:hAnsi="Garamond"/>
        </w:rPr>
        <w:t>52 (1999), 68-87 (p. 68).</w:t>
      </w:r>
    </w:p>
  </w:footnote>
  <w:footnote w:id="30">
    <w:p w14:paraId="797F4520" w14:textId="7654487B"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W.J.T. Mitchell, ‘Spatial Form in Literature: Toward a General Theory’ in </w:t>
      </w:r>
      <w:r w:rsidRPr="003B1071">
        <w:rPr>
          <w:rFonts w:ascii="Garamond" w:hAnsi="Garamond"/>
          <w:i/>
          <w:iCs/>
        </w:rPr>
        <w:t>Critical Inquiry</w:t>
      </w:r>
      <w:r w:rsidRPr="003B1071">
        <w:rPr>
          <w:rFonts w:ascii="Garamond" w:hAnsi="Garamond"/>
        </w:rPr>
        <w:t xml:space="preserve">, 6.3 (Spring, 1980), 539-567 (p. 542).  </w:t>
      </w:r>
    </w:p>
  </w:footnote>
  <w:footnote w:id="31">
    <w:p w14:paraId="228BC54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Jonathan Gil Harris, ‘Unitimely Meditations’ in </w:t>
      </w:r>
      <w:r w:rsidRPr="003B1071">
        <w:rPr>
          <w:rFonts w:ascii="Garamond" w:hAnsi="Garamond"/>
          <w:i/>
        </w:rPr>
        <w:t>Early Modern Culture</w:t>
      </w:r>
      <w:r w:rsidRPr="003B1071">
        <w:rPr>
          <w:rFonts w:ascii="Garamond" w:hAnsi="Garamond"/>
        </w:rPr>
        <w:t xml:space="preserve">, 6 (2007, online only). </w:t>
      </w:r>
    </w:p>
  </w:footnote>
  <w:footnote w:id="32">
    <w:p w14:paraId="671CEB5E" w14:textId="19FAD99A" w:rsidR="00814479" w:rsidRPr="003B1071" w:rsidRDefault="00814479" w:rsidP="007842D3">
      <w:pPr>
        <w:pStyle w:val="FootnoteText"/>
        <w:rPr>
          <w:rFonts w:ascii="Garamond" w:hAnsi="Garamond"/>
          <w:iCs/>
        </w:rPr>
      </w:pPr>
      <w:r w:rsidRPr="003B1071">
        <w:rPr>
          <w:rStyle w:val="FootnoteReference"/>
          <w:rFonts w:ascii="Garamond" w:hAnsi="Garamond"/>
        </w:rPr>
        <w:footnoteRef/>
      </w:r>
      <w:r w:rsidRPr="003B1071">
        <w:rPr>
          <w:rFonts w:ascii="Garamond" w:hAnsi="Garamond"/>
        </w:rPr>
        <w:t xml:space="preserve"> J.K. Barret, ‘Vacant Time in The Faerie Queene’ in </w:t>
      </w:r>
      <w:r w:rsidRPr="003B1071">
        <w:rPr>
          <w:rFonts w:ascii="Garamond" w:hAnsi="Garamond"/>
          <w:i/>
        </w:rPr>
        <w:t xml:space="preserve">English Literary History, </w:t>
      </w:r>
      <w:r w:rsidRPr="003B1071">
        <w:rPr>
          <w:rFonts w:ascii="Garamond" w:hAnsi="Garamond"/>
        </w:rPr>
        <w:t xml:space="preserve"> 8 (2014), 1-27; Jonathan Gil Harris, ‘Ludgate Time: Simon Eyre's Oath and the Temporal Economies of </w:t>
      </w:r>
      <w:r w:rsidRPr="003B1071">
        <w:rPr>
          <w:rFonts w:ascii="Garamond" w:hAnsi="Garamond"/>
          <w:i/>
        </w:rPr>
        <w:t>The Shoemaker's Holiday</w:t>
      </w:r>
      <w:r w:rsidRPr="003B1071">
        <w:rPr>
          <w:rFonts w:ascii="Garamond" w:hAnsi="Garamond"/>
        </w:rPr>
        <w:t xml:space="preserve">’ in </w:t>
      </w:r>
      <w:r w:rsidRPr="003B1071">
        <w:rPr>
          <w:rFonts w:ascii="Garamond" w:hAnsi="Garamond"/>
          <w:i/>
        </w:rPr>
        <w:t>Huntington Library Quarterly</w:t>
      </w:r>
      <w:r w:rsidRPr="003B1071">
        <w:rPr>
          <w:rFonts w:ascii="Garamond" w:hAnsi="Garamond"/>
        </w:rPr>
        <w:t xml:space="preserve">, 71.1 (March 2008), 11-32; Zoe Gibbons, ‘Ancient matter, new-fashioned shapes: Time as object in Shackerley Marmion’s </w:t>
      </w:r>
      <w:r w:rsidRPr="003B1071">
        <w:rPr>
          <w:rFonts w:ascii="Garamond" w:hAnsi="Garamond"/>
          <w:i/>
        </w:rPr>
        <w:t xml:space="preserve">The Antiquary’ </w:t>
      </w:r>
      <w:r w:rsidRPr="003B1071">
        <w:rPr>
          <w:rFonts w:ascii="Garamond" w:hAnsi="Garamond"/>
        </w:rPr>
        <w:t xml:space="preserve">in </w:t>
      </w:r>
      <w:r w:rsidRPr="003B1071">
        <w:rPr>
          <w:rFonts w:ascii="Garamond" w:hAnsi="Garamond"/>
          <w:i/>
        </w:rPr>
        <w:t xml:space="preserve">Renaissance Studies </w:t>
      </w:r>
      <w:r w:rsidRPr="003B1071">
        <w:rPr>
          <w:rFonts w:ascii="Garamond" w:hAnsi="Garamond"/>
          <w:iCs/>
        </w:rPr>
        <w:t>(early online publication August 2018</w:t>
      </w:r>
      <w:r>
        <w:rPr>
          <w:rFonts w:ascii="Garamond" w:hAnsi="Garamond"/>
          <w:iCs/>
        </w:rPr>
        <w:t>,</w:t>
      </w:r>
      <w:r w:rsidRPr="007842D3">
        <w:rPr>
          <w:rFonts w:ascii="Garamond" w:hAnsi="Garamond"/>
          <w:iCs/>
        </w:rPr>
        <w:t xml:space="preserve"> before inclusion in an issue</w:t>
      </w:r>
      <w:r w:rsidRPr="003B1071">
        <w:rPr>
          <w:rFonts w:ascii="Garamond" w:hAnsi="Garamond"/>
          <w:iCs/>
        </w:rPr>
        <w:t xml:space="preserve">); Tina Skouen, </w:t>
      </w:r>
      <w:r w:rsidRPr="003B1071">
        <w:rPr>
          <w:rFonts w:ascii="Garamond" w:hAnsi="Garamond"/>
          <w:i/>
          <w:iCs/>
        </w:rPr>
        <w:t xml:space="preserve">The Value of Time in Early Modern English Literature </w:t>
      </w:r>
      <w:r w:rsidRPr="003B1071">
        <w:rPr>
          <w:rFonts w:ascii="Garamond" w:hAnsi="Garamond"/>
          <w:iCs/>
        </w:rPr>
        <w:t xml:space="preserve">(London: Routledge, 2018). </w:t>
      </w:r>
    </w:p>
  </w:footnote>
  <w:footnote w:id="33">
    <w:p w14:paraId="5B7E7187" w14:textId="77777777" w:rsidR="00814479" w:rsidRPr="003B1071" w:rsidRDefault="00814479" w:rsidP="00162224">
      <w:pPr>
        <w:pStyle w:val="FootnoteText"/>
        <w:rPr>
          <w:rFonts w:ascii="Garamond" w:hAnsi="Garamond"/>
          <w:highlight w:val="yellow"/>
        </w:rPr>
      </w:pPr>
      <w:r w:rsidRPr="003B1071">
        <w:rPr>
          <w:rStyle w:val="FootnoteReference"/>
          <w:rFonts w:ascii="Garamond" w:hAnsi="Garamond"/>
        </w:rPr>
        <w:footnoteRef/>
      </w:r>
      <w:r w:rsidRPr="003B1071">
        <w:rPr>
          <w:rFonts w:ascii="Garamond" w:hAnsi="Garamond"/>
        </w:rPr>
        <w:t xml:space="preserve"> There are notable exceptions; see Theresa DiPasquale ‘From here to Aeviternity Donne’s Atemporal Clocks’ in </w:t>
      </w:r>
      <w:r w:rsidRPr="003B1071">
        <w:rPr>
          <w:rFonts w:ascii="Garamond" w:hAnsi="Garamond"/>
          <w:i/>
        </w:rPr>
        <w:t xml:space="preserve">Modern Philology, </w:t>
      </w:r>
      <w:r w:rsidRPr="003B1071">
        <w:rPr>
          <w:rFonts w:ascii="Garamond" w:hAnsi="Garamond"/>
        </w:rPr>
        <w:t>110.2 (November 2012), 226-250.</w:t>
      </w:r>
    </w:p>
  </w:footnote>
  <w:footnote w:id="34">
    <w:p w14:paraId="1CD635F7" w14:textId="77777777" w:rsidR="00814479" w:rsidRPr="003B1071" w:rsidRDefault="00814479" w:rsidP="00162224">
      <w:pPr>
        <w:pStyle w:val="FootnoteText"/>
        <w:rPr>
          <w:rFonts w:ascii="Garamond" w:hAnsi="Garamond"/>
          <w:i/>
          <w:highlight w:val="yellow"/>
        </w:rPr>
      </w:pPr>
      <w:r w:rsidRPr="003B1071">
        <w:rPr>
          <w:rStyle w:val="FootnoteReference"/>
          <w:rFonts w:ascii="Garamond" w:hAnsi="Garamond"/>
        </w:rPr>
        <w:footnoteRef/>
      </w:r>
      <w:r w:rsidRPr="003B1071">
        <w:rPr>
          <w:rFonts w:ascii="Garamond" w:hAnsi="Garamond"/>
        </w:rPr>
        <w:t xml:space="preserve"> Jonathan Gil Harris, </w:t>
      </w:r>
      <w:r w:rsidRPr="003B1071">
        <w:rPr>
          <w:rFonts w:ascii="Garamond" w:hAnsi="Garamond"/>
          <w:i/>
        </w:rPr>
        <w:t xml:space="preserve">Untimely Matter in the Time of Shakespeare </w:t>
      </w:r>
      <w:r w:rsidRPr="003B1071">
        <w:rPr>
          <w:rFonts w:ascii="Garamond" w:hAnsi="Garamond"/>
        </w:rPr>
        <w:t xml:space="preserve">(Philadelphia: University of Pennsylvania Press, 2009), p. 7. </w:t>
      </w:r>
    </w:p>
  </w:footnote>
  <w:footnote w:id="35">
    <w:p w14:paraId="60E10A1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Gil Harris, </w:t>
      </w:r>
      <w:r w:rsidRPr="003B1071">
        <w:rPr>
          <w:rFonts w:ascii="Garamond" w:hAnsi="Garamond"/>
          <w:i/>
          <w:iCs/>
        </w:rPr>
        <w:t>Untimely Matter</w:t>
      </w:r>
      <w:r w:rsidRPr="003B1071">
        <w:rPr>
          <w:rFonts w:ascii="Garamond" w:hAnsi="Garamond"/>
        </w:rPr>
        <w:t xml:space="preserve">, p. 7. </w:t>
      </w:r>
    </w:p>
  </w:footnote>
  <w:footnote w:id="36">
    <w:p w14:paraId="344DDC0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Adam Smyth, ‘Almanacs, Annotators, and Life-Writing in Early Modern England’, in </w:t>
      </w:r>
      <w:r w:rsidRPr="003B1071">
        <w:rPr>
          <w:rFonts w:ascii="Garamond" w:hAnsi="Garamond"/>
          <w:i/>
          <w:iCs/>
        </w:rPr>
        <w:t>English Literary Renaissance</w:t>
      </w:r>
      <w:r w:rsidRPr="003B1071">
        <w:rPr>
          <w:rFonts w:ascii="Garamond" w:hAnsi="Garamond"/>
        </w:rPr>
        <w:t>, 38.2 (Spring 2008), 200-244.</w:t>
      </w:r>
    </w:p>
  </w:footnote>
  <w:footnote w:id="37">
    <w:p w14:paraId="29FE6B5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Huw Griffiths, ‘The Sonnet in Ruins: Time and the Nation in 1599’ in </w:t>
      </w:r>
      <w:r w:rsidRPr="003B1071">
        <w:rPr>
          <w:rFonts w:ascii="Garamond" w:hAnsi="Garamond"/>
          <w:i/>
          <w:iCs/>
        </w:rPr>
        <w:t>Early Modern Culture: an electronic seminar</w:t>
      </w:r>
      <w:r w:rsidRPr="003B1071">
        <w:rPr>
          <w:rFonts w:ascii="Garamond" w:hAnsi="Garamond"/>
          <w:i/>
          <w:iCs/>
          <w:color w:val="1A1A1A"/>
          <w:bdr w:val="none" w:sz="0" w:space="0" w:color="auto" w:frame="1"/>
          <w:shd w:val="clear" w:color="auto" w:fill="FFFFFF"/>
        </w:rPr>
        <w:t xml:space="preserve">, </w:t>
      </w:r>
      <w:r w:rsidRPr="003B1071">
        <w:rPr>
          <w:rFonts w:ascii="Garamond" w:hAnsi="Garamond"/>
          <w:color w:val="1A1A1A"/>
          <w:bdr w:val="none" w:sz="0" w:space="0" w:color="auto" w:frame="1"/>
          <w:shd w:val="clear" w:color="auto" w:fill="FFFFFF"/>
        </w:rPr>
        <w:t xml:space="preserve">6 </w:t>
      </w:r>
      <w:r w:rsidRPr="003B1071">
        <w:rPr>
          <w:rFonts w:ascii="Garamond" w:hAnsi="Garamond"/>
        </w:rPr>
        <w:t>(2007, online only).</w:t>
      </w:r>
    </w:p>
  </w:footnote>
  <w:footnote w:id="38">
    <w:p w14:paraId="20695D19" w14:textId="52C14324"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John Calvin, ‘The Preface to the Commentary to the Psalter 1557’ in </w:t>
      </w:r>
      <w:r w:rsidRPr="003B1071">
        <w:rPr>
          <w:rFonts w:ascii="Garamond" w:hAnsi="Garamond"/>
          <w:i/>
          <w:iCs/>
        </w:rPr>
        <w:t>John Calvin: Writings on Pastoral Piety</w:t>
      </w:r>
      <w:r w:rsidR="00276F4F">
        <w:rPr>
          <w:rFonts w:ascii="Garamond" w:hAnsi="Garamond"/>
          <w:i/>
          <w:iCs/>
        </w:rPr>
        <w:t>,</w:t>
      </w:r>
      <w:r w:rsidRPr="003B1071">
        <w:rPr>
          <w:rFonts w:ascii="Garamond" w:hAnsi="Garamond"/>
          <w:i/>
          <w:iCs/>
        </w:rPr>
        <w:t xml:space="preserve"> </w:t>
      </w:r>
      <w:r w:rsidRPr="003B1071">
        <w:rPr>
          <w:rFonts w:ascii="Garamond" w:hAnsi="Garamond"/>
        </w:rPr>
        <w:t xml:space="preserve">ed. by Elsie Anne McKee (New York: Paulist Press, 2001), p. 56. </w:t>
      </w:r>
    </w:p>
  </w:footnote>
  <w:footnote w:id="39">
    <w:p w14:paraId="0525562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John Donne, </w:t>
      </w:r>
      <w:r w:rsidRPr="003B1071">
        <w:rPr>
          <w:rFonts w:ascii="Garamond" w:hAnsi="Garamond"/>
          <w:i/>
          <w:iCs/>
        </w:rPr>
        <w:t xml:space="preserve">The Sermons of John Donne in 10 volumes, </w:t>
      </w:r>
      <w:r w:rsidRPr="003B1071">
        <w:rPr>
          <w:rFonts w:ascii="Garamond" w:hAnsi="Garamond"/>
        </w:rPr>
        <w:t xml:space="preserve">ed. by George Potter and Evelyn Simpson (Los Angeles: University of California Press, 1653-62), VII.1 p. 51. </w:t>
      </w:r>
    </w:p>
  </w:footnote>
  <w:footnote w:id="40">
    <w:p w14:paraId="046720B7"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iCs/>
          <w:lang w:val="fr-FR"/>
        </w:rPr>
        <w:t>Sermons,</w:t>
      </w:r>
      <w:r w:rsidRPr="003B1071">
        <w:rPr>
          <w:rFonts w:ascii="Garamond" w:hAnsi="Garamond"/>
          <w:lang w:val="fr-FR"/>
        </w:rPr>
        <w:t xml:space="preserve"> VII.1 p. 58. </w:t>
      </w:r>
    </w:p>
  </w:footnote>
  <w:footnote w:id="41">
    <w:p w14:paraId="035EBA57"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iCs/>
          <w:lang w:val="fr-FR"/>
        </w:rPr>
        <w:t xml:space="preserve">Sermons, </w:t>
      </w:r>
      <w:r w:rsidRPr="003B1071">
        <w:rPr>
          <w:rFonts w:ascii="Garamond" w:hAnsi="Garamond"/>
          <w:lang w:val="fr-FR"/>
        </w:rPr>
        <w:t>VII.1 p. 60.</w:t>
      </w:r>
    </w:p>
  </w:footnote>
  <w:footnote w:id="42">
    <w:p w14:paraId="641F556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Donne, </w:t>
      </w:r>
      <w:r w:rsidRPr="003B1071">
        <w:rPr>
          <w:rFonts w:ascii="Garamond" w:hAnsi="Garamond"/>
          <w:i/>
          <w:iCs/>
        </w:rPr>
        <w:t xml:space="preserve">Sermons, </w:t>
      </w:r>
      <w:r w:rsidRPr="003B1071">
        <w:rPr>
          <w:rFonts w:ascii="Garamond" w:hAnsi="Garamond"/>
        </w:rPr>
        <w:t xml:space="preserve">VII.1 p. 61. </w:t>
      </w:r>
    </w:p>
  </w:footnote>
  <w:footnote w:id="43">
    <w:p w14:paraId="211B1F7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George Puttenham, </w:t>
      </w:r>
      <w:r w:rsidRPr="003B1071">
        <w:rPr>
          <w:rFonts w:ascii="Garamond" w:hAnsi="Garamond"/>
          <w:i/>
        </w:rPr>
        <w:t xml:space="preserve">The Art of English Posey </w:t>
      </w:r>
      <w:r w:rsidRPr="003B1071">
        <w:rPr>
          <w:rFonts w:ascii="Garamond" w:hAnsi="Garamond"/>
        </w:rPr>
        <w:t xml:space="preserve">(London: 1589), p. 179. </w:t>
      </w:r>
    </w:p>
  </w:footnote>
  <w:footnote w:id="44">
    <w:p w14:paraId="2891E42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C.S. Lewis, </w:t>
      </w:r>
      <w:r w:rsidRPr="003B1071">
        <w:rPr>
          <w:rFonts w:ascii="Garamond" w:hAnsi="Garamond"/>
          <w:i/>
        </w:rPr>
        <w:t xml:space="preserve">The Allegory of Love: A Study in Medieval Tradition </w:t>
      </w:r>
      <w:r w:rsidRPr="003B1071">
        <w:rPr>
          <w:rFonts w:ascii="Garamond" w:hAnsi="Garamond"/>
        </w:rPr>
        <w:t xml:space="preserve">(Cambridge: Cambridge University Press, 2013), p. 81. </w:t>
      </w:r>
    </w:p>
  </w:footnote>
  <w:footnote w:id="45">
    <w:p w14:paraId="7FEB800A" w14:textId="477AABB5"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Alan Farmer and Zachary Lesser, ‘What is Print Popularity? A Map of the Elizabethan Book Trade’ in </w:t>
      </w:r>
      <w:r w:rsidRPr="003B1071">
        <w:rPr>
          <w:rFonts w:ascii="Garamond" w:hAnsi="Garamond"/>
          <w:i/>
          <w:iCs/>
        </w:rPr>
        <w:t xml:space="preserve">The Elizabethan Top Ten, </w:t>
      </w:r>
      <w:r w:rsidRPr="003B1071">
        <w:rPr>
          <w:rFonts w:ascii="Garamond" w:hAnsi="Garamond"/>
        </w:rPr>
        <w:t>ed. by Andy Kesson and Emma Smith (Ashgate: London, 2013),</w:t>
      </w:r>
      <w:r w:rsidRPr="003B1071">
        <w:rPr>
          <w:rFonts w:ascii="Garamond" w:hAnsi="Garamond"/>
          <w:i/>
          <w:iCs/>
        </w:rPr>
        <w:t xml:space="preserve"> </w:t>
      </w:r>
      <w:r w:rsidRPr="003B1071">
        <w:rPr>
          <w:rFonts w:ascii="Garamond" w:hAnsi="Garamond"/>
        </w:rPr>
        <w:t>pp. 19-54 (p. 31), Fig. 1.1.</w:t>
      </w:r>
    </w:p>
  </w:footnote>
  <w:footnote w:id="46">
    <w:p w14:paraId="089BFCD7" w14:textId="0B017A66"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James Rigney, ‘Sermons into Print’ in </w:t>
      </w:r>
      <w:r w:rsidRPr="003B1071">
        <w:rPr>
          <w:rFonts w:ascii="Garamond" w:hAnsi="Garamond"/>
          <w:i/>
        </w:rPr>
        <w:t>The Oxford Handbook of the early modern Sermon</w:t>
      </w:r>
      <w:r w:rsidR="00276F4F">
        <w:rPr>
          <w:rFonts w:ascii="Garamond" w:hAnsi="Garamond"/>
          <w:i/>
        </w:rPr>
        <w:t>,</w:t>
      </w:r>
      <w:r w:rsidRPr="003B1071">
        <w:rPr>
          <w:rFonts w:ascii="Garamond" w:hAnsi="Garamond"/>
          <w:i/>
        </w:rPr>
        <w:t xml:space="preserve"> </w:t>
      </w:r>
      <w:r w:rsidRPr="003B1071">
        <w:rPr>
          <w:rFonts w:ascii="Garamond" w:hAnsi="Garamond"/>
          <w:iCs/>
        </w:rPr>
        <w:t xml:space="preserve">ed. by Peter McCullough and others (Oxford: Oxford University Press, 2011), </w:t>
      </w:r>
      <w:r w:rsidRPr="003B1071">
        <w:rPr>
          <w:rFonts w:ascii="Garamond" w:hAnsi="Garamond"/>
        </w:rPr>
        <w:t xml:space="preserve">pp. 198-212. </w:t>
      </w:r>
    </w:p>
  </w:footnote>
  <w:footnote w:id="47">
    <w:p w14:paraId="633F8BA9" w14:textId="2A80ECED"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David Cram, ‘Shelf Life and Time Horizons in the Historiography of Linguistics’ in </w:t>
      </w:r>
      <w:r w:rsidRPr="003B1071">
        <w:rPr>
          <w:rFonts w:ascii="Garamond" w:hAnsi="Garamond"/>
          <w:i/>
        </w:rPr>
        <w:t xml:space="preserve">Historiographia Linguistica, </w:t>
      </w:r>
      <w:r w:rsidRPr="003B1071">
        <w:rPr>
          <w:rFonts w:ascii="Garamond" w:hAnsi="Garamond"/>
          <w:iCs/>
        </w:rPr>
        <w:t xml:space="preserve">34.1-2 </w:t>
      </w:r>
      <w:r w:rsidRPr="003B1071">
        <w:rPr>
          <w:rFonts w:ascii="Garamond" w:hAnsi="Garamond"/>
        </w:rPr>
        <w:t>(2007), 189-212</w:t>
      </w:r>
      <w:r>
        <w:rPr>
          <w:rFonts w:ascii="Garamond" w:hAnsi="Garamond"/>
        </w:rPr>
        <w:t>, pp. 200-3</w:t>
      </w:r>
      <w:r w:rsidRPr="003B1071">
        <w:rPr>
          <w:rFonts w:ascii="Garamond" w:hAnsi="Garamond"/>
        </w:rPr>
        <w:t>.</w:t>
      </w:r>
    </w:p>
  </w:footnote>
  <w:footnote w:id="48">
    <w:p w14:paraId="17DDBE2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Aristotle, </w:t>
      </w:r>
      <w:r w:rsidRPr="003B1071">
        <w:rPr>
          <w:rFonts w:ascii="Garamond" w:hAnsi="Garamond"/>
          <w:i/>
          <w:iCs/>
        </w:rPr>
        <w:t xml:space="preserve">De Anima, </w:t>
      </w:r>
      <w:r w:rsidRPr="003B1071">
        <w:rPr>
          <w:rFonts w:ascii="Garamond" w:hAnsi="Garamond"/>
        </w:rPr>
        <w:t xml:space="preserve">translated by J.A Smith, Iii (Internet Classics Archive, online only). </w:t>
      </w:r>
    </w:p>
  </w:footnote>
  <w:footnote w:id="49">
    <w:p w14:paraId="30D44C9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Fredric Jameson, </w:t>
      </w:r>
      <w:r w:rsidRPr="003B1071">
        <w:rPr>
          <w:rFonts w:ascii="Garamond" w:hAnsi="Garamond"/>
          <w:i/>
        </w:rPr>
        <w:t xml:space="preserve">The Political Unconscious: Narrative as a Socially Symbolic Act </w:t>
      </w:r>
      <w:r w:rsidRPr="003B1071">
        <w:rPr>
          <w:rFonts w:ascii="Garamond" w:hAnsi="Garamond"/>
          <w:iCs/>
        </w:rPr>
        <w:t>(London: Routledge, 2002) p.ix;</w:t>
      </w:r>
      <w:r w:rsidRPr="003B1071">
        <w:rPr>
          <w:rFonts w:ascii="Garamond" w:hAnsi="Garamond"/>
        </w:rPr>
        <w:t xml:space="preserve"> Gil Harris, </w:t>
      </w:r>
      <w:r w:rsidRPr="003B1071">
        <w:rPr>
          <w:rFonts w:ascii="Garamond" w:hAnsi="Garamond"/>
          <w:i/>
          <w:iCs/>
        </w:rPr>
        <w:t>Untimely Matter</w:t>
      </w:r>
      <w:r w:rsidRPr="003B1071">
        <w:rPr>
          <w:rFonts w:ascii="Garamond" w:hAnsi="Garamond"/>
        </w:rPr>
        <w:t xml:space="preserve">, pp. 10-11. </w:t>
      </w:r>
    </w:p>
  </w:footnote>
  <w:footnote w:id="50">
    <w:p w14:paraId="5B89EFD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Gil Harris, </w:t>
      </w:r>
      <w:r w:rsidRPr="003B1071">
        <w:rPr>
          <w:rFonts w:ascii="Garamond" w:hAnsi="Garamond"/>
          <w:i/>
          <w:iCs/>
        </w:rPr>
        <w:t>Untimely Matter</w:t>
      </w:r>
      <w:r w:rsidRPr="003B1071">
        <w:rPr>
          <w:rFonts w:ascii="Garamond" w:hAnsi="Garamond"/>
        </w:rPr>
        <w:t xml:space="preserve">, pp. 12-13. </w:t>
      </w:r>
    </w:p>
  </w:footnote>
  <w:footnote w:id="51">
    <w:p w14:paraId="55C3593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David Scott Kastan, </w:t>
      </w:r>
      <w:r w:rsidRPr="003B1071">
        <w:rPr>
          <w:rFonts w:ascii="Garamond" w:hAnsi="Garamond"/>
          <w:i/>
          <w:iCs/>
        </w:rPr>
        <w:t xml:space="preserve">Shakespeare After Theory </w:t>
      </w:r>
      <w:r w:rsidRPr="003B1071">
        <w:rPr>
          <w:rFonts w:ascii="Garamond" w:hAnsi="Garamond"/>
        </w:rPr>
        <w:t>(London: Routledge, 1999),</w:t>
      </w:r>
      <w:r w:rsidRPr="003B1071">
        <w:rPr>
          <w:rFonts w:ascii="Garamond" w:hAnsi="Garamond"/>
          <w:i/>
          <w:iCs/>
        </w:rPr>
        <w:t xml:space="preserve"> </w:t>
      </w:r>
      <w:r w:rsidRPr="003B1071">
        <w:rPr>
          <w:rFonts w:ascii="Garamond" w:hAnsi="Garamond"/>
        </w:rPr>
        <w:t xml:space="preserve">p. 31.  </w:t>
      </w:r>
    </w:p>
  </w:footnote>
  <w:footnote w:id="52">
    <w:p w14:paraId="424320DF" w14:textId="77777777" w:rsidR="00814479" w:rsidRPr="003B1071" w:rsidRDefault="00814479" w:rsidP="00162224">
      <w:pPr>
        <w:pStyle w:val="FootnoteText"/>
        <w:rPr>
          <w:rFonts w:ascii="Garamond" w:hAnsi="Garamond"/>
          <w:iCs/>
        </w:rPr>
      </w:pPr>
      <w:r w:rsidRPr="003B1071">
        <w:rPr>
          <w:rStyle w:val="FootnoteReference"/>
          <w:rFonts w:ascii="Garamond" w:hAnsi="Garamond"/>
        </w:rPr>
        <w:footnoteRef/>
      </w:r>
      <w:r w:rsidRPr="003B1071">
        <w:rPr>
          <w:rFonts w:ascii="Garamond" w:hAnsi="Garamond"/>
        </w:rPr>
        <w:t xml:space="preserve"> Thompson, p. 56. G.F. Waller makes a similar argument in </w:t>
      </w:r>
      <w:r w:rsidRPr="003B1071">
        <w:rPr>
          <w:rFonts w:ascii="Garamond" w:hAnsi="Garamond"/>
          <w:i/>
        </w:rPr>
        <w:t xml:space="preserve">The Strong Necessity of Time: The Philosophy of Time in Shakespeare and Elizabethan Literature </w:t>
      </w:r>
      <w:r w:rsidRPr="003B1071">
        <w:rPr>
          <w:rFonts w:ascii="Garamond" w:hAnsi="Garamond"/>
          <w:iCs/>
        </w:rPr>
        <w:t xml:space="preserve">(Paris: Mouton, 1976), pp. 24ff. </w:t>
      </w:r>
    </w:p>
  </w:footnote>
  <w:footnote w:id="53">
    <w:p w14:paraId="2450EF3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Thompson also gives the example of a ‘rice-cooking time’ in Madagascar, p. 58. </w:t>
      </w:r>
    </w:p>
  </w:footnote>
  <w:footnote w:id="54">
    <w:p w14:paraId="4FF4FF0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Thompson, p. 60. </w:t>
      </w:r>
    </w:p>
  </w:footnote>
  <w:footnote w:id="55">
    <w:p w14:paraId="04E842F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Thompson, p. 61.</w:t>
      </w:r>
    </w:p>
  </w:footnote>
  <w:footnote w:id="56">
    <w:p w14:paraId="5D5D3FD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Bernard Capp, </w:t>
      </w:r>
      <w:r w:rsidRPr="003B1071">
        <w:rPr>
          <w:rFonts w:ascii="Garamond" w:hAnsi="Garamond"/>
          <w:i/>
        </w:rPr>
        <w:t xml:space="preserve">English Almanacs 1500-1800: Astrology and the Popular Press </w:t>
      </w:r>
      <w:r w:rsidRPr="003B1071">
        <w:rPr>
          <w:rFonts w:ascii="Garamond" w:hAnsi="Garamond"/>
        </w:rPr>
        <w:t xml:space="preserve">(Ithaca, NY: Cornell University Press, 1979), p. 41 for an exploration of the pricing of almancs. As the seventeenth century progressed, high status almancs such as those produced by William Lilly could retail for up to 6 pence. </w:t>
      </w:r>
    </w:p>
  </w:footnote>
  <w:footnote w:id="57">
    <w:p w14:paraId="5D66F39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Capp, p. 23. </w:t>
      </w:r>
    </w:p>
  </w:footnote>
  <w:footnote w:id="58">
    <w:p w14:paraId="519BFBE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Sophie Cope, for a discussion of how debates regarding the validity of celebrating the New Year affected the material culture of gift giving, ‘Marking the New Year: Dated Objects and the Materiality of Time in Early Modern England’ in </w:t>
      </w:r>
      <w:r w:rsidRPr="003B1071">
        <w:rPr>
          <w:rFonts w:ascii="Garamond" w:hAnsi="Garamond"/>
          <w:i/>
        </w:rPr>
        <w:t>Journal of Early Modern Studie</w:t>
      </w:r>
      <w:r w:rsidRPr="003B1071">
        <w:rPr>
          <w:rFonts w:ascii="Garamond" w:hAnsi="Garamond"/>
        </w:rPr>
        <w:t xml:space="preserve">s, 6 (2017), 89-111. </w:t>
      </w:r>
    </w:p>
  </w:footnote>
  <w:footnote w:id="59">
    <w:p w14:paraId="681C16D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William Harrison, </w:t>
      </w:r>
      <w:r w:rsidRPr="003B1071">
        <w:rPr>
          <w:rFonts w:ascii="Garamond" w:hAnsi="Garamond"/>
          <w:i/>
          <w:iCs/>
        </w:rPr>
        <w:t xml:space="preserve">An Historicall Description of the Islande of Britayne </w:t>
      </w:r>
      <w:r w:rsidRPr="003B1071">
        <w:rPr>
          <w:rFonts w:ascii="Garamond" w:hAnsi="Garamond"/>
        </w:rPr>
        <w:t xml:space="preserve">(London: 1587), p. 243. </w:t>
      </w:r>
    </w:p>
  </w:footnote>
  <w:footnote w:id="60">
    <w:p w14:paraId="18A570A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Alsion Chapman, ‘Now and Then: Sequencing the Sacred in Two Protestant Calendars’ in </w:t>
      </w:r>
      <w:r w:rsidRPr="003B1071">
        <w:rPr>
          <w:rFonts w:ascii="Garamond" w:hAnsi="Garamond"/>
          <w:i/>
          <w:iCs/>
        </w:rPr>
        <w:t xml:space="preserve">Journal of Medieval and Early Modern Studies, </w:t>
      </w:r>
      <w:r w:rsidRPr="003B1071">
        <w:rPr>
          <w:rFonts w:ascii="Garamond" w:hAnsi="Garamond"/>
        </w:rPr>
        <w:t xml:space="preserve">53.1 (Winter 2003), 91-123 (p. 93). </w:t>
      </w:r>
    </w:p>
  </w:footnote>
  <w:footnote w:id="61">
    <w:p w14:paraId="1DE081A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Chapman, ‘Now and Then’, for futher discussion. </w:t>
      </w:r>
    </w:p>
  </w:footnote>
  <w:footnote w:id="62">
    <w:p w14:paraId="48D9BCB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Alexander Nagel and Christopher S. Wood, </w:t>
      </w:r>
      <w:r w:rsidRPr="003B1071">
        <w:rPr>
          <w:rFonts w:ascii="Garamond" w:hAnsi="Garamond"/>
          <w:i/>
        </w:rPr>
        <w:t>Anachronic Renaissance</w:t>
      </w:r>
      <w:r w:rsidRPr="003B1071">
        <w:rPr>
          <w:rFonts w:ascii="Garamond" w:hAnsi="Garamond"/>
        </w:rPr>
        <w:t xml:space="preserve"> (New York: Zone Books, 2010), p. 9. </w:t>
      </w:r>
    </w:p>
  </w:footnote>
  <w:footnote w:id="63">
    <w:p w14:paraId="642A111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Diarmaid MacCullouch, </w:t>
      </w:r>
      <w:r w:rsidRPr="003B1071">
        <w:rPr>
          <w:rFonts w:ascii="Garamond" w:hAnsi="Garamond"/>
          <w:i/>
          <w:iCs/>
        </w:rPr>
        <w:t xml:space="preserve">Silence: A Christian History </w:t>
      </w:r>
      <w:r w:rsidRPr="003B1071">
        <w:rPr>
          <w:rFonts w:ascii="Garamond" w:hAnsi="Garamond"/>
        </w:rPr>
        <w:t>(London: Allen Lane, 2013), pp. 138-9.</w:t>
      </w:r>
    </w:p>
  </w:footnote>
  <w:footnote w:id="64">
    <w:p w14:paraId="3CDECAA4" w14:textId="64A9C4EE" w:rsidR="00814479" w:rsidRPr="003B1071" w:rsidRDefault="00814479" w:rsidP="00162224">
      <w:pPr>
        <w:rPr>
          <w:rFonts w:ascii="Garamond" w:hAnsi="Garamond"/>
          <w:sz w:val="20"/>
          <w:szCs w:val="20"/>
        </w:rPr>
      </w:pPr>
      <w:r w:rsidRPr="003B1071">
        <w:rPr>
          <w:rStyle w:val="FootnoteReference"/>
          <w:rFonts w:ascii="Garamond" w:hAnsi="Garamond"/>
          <w:sz w:val="20"/>
          <w:szCs w:val="20"/>
        </w:rPr>
        <w:footnoteRef/>
      </w:r>
      <w:r w:rsidRPr="003B1071">
        <w:rPr>
          <w:rFonts w:ascii="Garamond" w:hAnsi="Garamond"/>
          <w:sz w:val="20"/>
          <w:szCs w:val="20"/>
        </w:rPr>
        <w:t xml:space="preserve"> For further discussion of these personal diaries, see Elaine McKay, ‘English Diarists: Gender, Geography and O</w:t>
      </w:r>
      <w:r>
        <w:rPr>
          <w:rFonts w:ascii="Garamond" w:hAnsi="Garamond"/>
          <w:sz w:val="20"/>
          <w:szCs w:val="20"/>
        </w:rPr>
        <w:t>ccup</w:t>
      </w:r>
      <w:r w:rsidRPr="003B1071">
        <w:rPr>
          <w:rFonts w:ascii="Garamond" w:hAnsi="Garamond"/>
          <w:sz w:val="20"/>
          <w:szCs w:val="20"/>
        </w:rPr>
        <w:t xml:space="preserve">ation, 1500-1700’ in </w:t>
      </w:r>
      <w:r w:rsidRPr="003B1071">
        <w:rPr>
          <w:rFonts w:ascii="Garamond" w:hAnsi="Garamond"/>
          <w:i/>
          <w:iCs/>
          <w:sz w:val="20"/>
          <w:szCs w:val="20"/>
        </w:rPr>
        <w:t>History</w:t>
      </w:r>
      <w:r w:rsidRPr="003B1071">
        <w:rPr>
          <w:rFonts w:ascii="Garamond" w:hAnsi="Garamond"/>
          <w:sz w:val="20"/>
          <w:szCs w:val="20"/>
        </w:rPr>
        <w:t>, 90 (2005), 191-212.</w:t>
      </w:r>
    </w:p>
  </w:footnote>
  <w:footnote w:id="65">
    <w:p w14:paraId="4A10D84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San Marino, Huntington Library, MSS Hap Box 18, Item 1.</w:t>
      </w:r>
    </w:p>
  </w:footnote>
  <w:footnote w:id="66">
    <w:p w14:paraId="03453E4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MSS Hap Box 18, Item 1, f. 60r. </w:t>
      </w:r>
    </w:p>
  </w:footnote>
  <w:footnote w:id="67">
    <w:p w14:paraId="127335F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Katherine Acheson, ‘Military Illustration, Garden Design, and Marvell’s Upon Appleton House’ in </w:t>
      </w:r>
      <w:r w:rsidRPr="003B1071">
        <w:rPr>
          <w:rFonts w:ascii="Garamond" w:hAnsi="Garamond"/>
          <w:i/>
        </w:rPr>
        <w:t>English Literary Renaissance</w:t>
      </w:r>
      <w:r w:rsidRPr="003B1071">
        <w:rPr>
          <w:rFonts w:ascii="Garamond" w:hAnsi="Garamond"/>
        </w:rPr>
        <w:t xml:space="preserve">, 41.1 (2011), 146-188 (p. 148). </w:t>
      </w:r>
    </w:p>
  </w:footnote>
  <w:footnote w:id="68">
    <w:p w14:paraId="68EAD89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Alison Chapman, ‘Marking Time: Astrology, Almanacs, and English Protestantism’ in </w:t>
      </w:r>
      <w:r w:rsidRPr="003B1071">
        <w:rPr>
          <w:rFonts w:ascii="Garamond" w:hAnsi="Garamond"/>
          <w:i/>
        </w:rPr>
        <w:t>Renaissance Quarterly</w:t>
      </w:r>
      <w:r w:rsidRPr="003B1071">
        <w:rPr>
          <w:rFonts w:ascii="Garamond" w:hAnsi="Garamond"/>
        </w:rPr>
        <w:t xml:space="preserve">, 60.4 (Winter 2007), 1257-1290 (p. 1259). </w:t>
      </w:r>
    </w:p>
  </w:footnote>
  <w:footnote w:id="69">
    <w:p w14:paraId="14850E9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Chapman, ‘Marking Time’, p. 1260. </w:t>
      </w:r>
    </w:p>
  </w:footnote>
  <w:footnote w:id="70">
    <w:p w14:paraId="28452C55" w14:textId="77BAC402" w:rsidR="00814479" w:rsidRPr="003B1071" w:rsidRDefault="00814479">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There are four Ember Weeks in the liturgical calendar, which are weeks when three days are set aside for fasting, prayer and reflection, normally the Wednesday, Friday and Saturday (known as Ember Days). These weeks fall between the third and fourth Sundays of advent, the week after the first Sunday of Lent, between Pentecost and Trinity Sunday, and following the Holy Cross Day on the 14</w:t>
      </w:r>
      <w:r w:rsidRPr="003B1071">
        <w:rPr>
          <w:rFonts w:ascii="Garamond" w:hAnsi="Garamond"/>
          <w:vertAlign w:val="superscript"/>
        </w:rPr>
        <w:t>th</w:t>
      </w:r>
      <w:r w:rsidRPr="003B1071">
        <w:rPr>
          <w:rFonts w:ascii="Garamond" w:hAnsi="Garamond"/>
        </w:rPr>
        <w:t xml:space="preserve"> September. The English calendar provided a simple rhyme to recall the days, ‘</w:t>
      </w:r>
      <w:r w:rsidRPr="003B1071">
        <w:rPr>
          <w:rFonts w:ascii="Garamond" w:hAnsi="Garamond"/>
          <w:lang w:val="en-US"/>
        </w:rPr>
        <w:t>Fasting days and Emberings be/</w:t>
      </w:r>
      <w:r w:rsidRPr="003B1071">
        <w:rPr>
          <w:rFonts w:ascii="Garamond" w:hAnsi="Garamond"/>
          <w:lang w:val="en-US"/>
        </w:rPr>
        <w:br/>
        <w:t>Lent, Whitsun, Holyrood, and Lucie</w:t>
      </w:r>
      <w:r w:rsidRPr="003B1071">
        <w:rPr>
          <w:rFonts w:ascii="Garamond" w:hAnsi="Garamond"/>
        </w:rPr>
        <w:t xml:space="preserve">’. The term may derive from the Old English </w:t>
      </w:r>
      <w:r w:rsidRPr="003B1071">
        <w:rPr>
          <w:rFonts w:ascii="Garamond" w:hAnsi="Garamond"/>
          <w:i/>
        </w:rPr>
        <w:t xml:space="preserve">ymbren, </w:t>
      </w:r>
      <w:r w:rsidRPr="003B1071">
        <w:rPr>
          <w:rFonts w:ascii="Garamond" w:hAnsi="Garamond"/>
        </w:rPr>
        <w:t xml:space="preserve">meaning a revolution of time, reflecting the progression of the year. However, it has also been argued that the term may be a corruption of </w:t>
      </w:r>
      <w:r w:rsidRPr="003B1071">
        <w:rPr>
          <w:rFonts w:ascii="Garamond" w:hAnsi="Garamond"/>
          <w:i/>
        </w:rPr>
        <w:t xml:space="preserve">quatuor tempora </w:t>
      </w:r>
      <w:r w:rsidRPr="003B1071">
        <w:rPr>
          <w:rFonts w:ascii="Garamond" w:hAnsi="Garamond"/>
        </w:rPr>
        <w:t>(four times). J.M. Neale wrote scathingly, ‘</w:t>
      </w:r>
      <w:r w:rsidRPr="003B1071">
        <w:rPr>
          <w:rFonts w:ascii="Garamond" w:hAnsi="Garamond"/>
          <w:lang w:val="en-US"/>
        </w:rPr>
        <w:t>Thus, there is no occasion to seek after an etymology in embers; or … to extravagate still further to the noun </w:t>
      </w:r>
      <w:r w:rsidRPr="003B1071">
        <w:rPr>
          <w:rFonts w:ascii="Garamond" w:hAnsi="Garamond"/>
          <w:i/>
          <w:iCs/>
          <w:lang w:val="en-US"/>
        </w:rPr>
        <w:t>ymbren</w:t>
      </w:r>
      <w:r w:rsidRPr="003B1071">
        <w:rPr>
          <w:rFonts w:ascii="Garamond" w:hAnsi="Garamond"/>
          <w:lang w:val="en-US"/>
        </w:rPr>
        <w:t xml:space="preserve">, a recurrence, as if all holy seasons did not equally recur’, </w:t>
      </w:r>
      <w:r w:rsidRPr="003B1071">
        <w:rPr>
          <w:rFonts w:ascii="Garamond" w:hAnsi="Garamond"/>
          <w:i/>
          <w:lang w:val="en-US"/>
        </w:rPr>
        <w:t xml:space="preserve">Essays on Liturgiology and Church History </w:t>
      </w:r>
      <w:r w:rsidRPr="003B1071">
        <w:rPr>
          <w:rFonts w:ascii="Garamond" w:hAnsi="Garamond"/>
          <w:lang w:val="en-US"/>
        </w:rPr>
        <w:t>(London: Saunders, 1863),</w:t>
      </w:r>
      <w:r w:rsidRPr="003B1071">
        <w:rPr>
          <w:rFonts w:ascii="Garamond" w:hAnsi="Garamond"/>
          <w:i/>
          <w:lang w:val="en-US"/>
        </w:rPr>
        <w:t xml:space="preserve"> </w:t>
      </w:r>
      <w:r w:rsidRPr="003B1071">
        <w:rPr>
          <w:rFonts w:ascii="Garamond" w:hAnsi="Garamond"/>
          <w:lang w:val="en-US"/>
        </w:rPr>
        <w:t xml:space="preserve">pp. 510-11. </w:t>
      </w:r>
    </w:p>
  </w:footnote>
  <w:footnote w:id="71">
    <w:p w14:paraId="4F8DDE5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Edward Pond, </w:t>
      </w:r>
      <w:r w:rsidRPr="003B1071">
        <w:rPr>
          <w:rFonts w:ascii="Garamond" w:hAnsi="Garamond"/>
          <w:i/>
          <w:iCs/>
        </w:rPr>
        <w:t>Almanac</w:t>
      </w:r>
      <w:r w:rsidRPr="003B1071">
        <w:rPr>
          <w:rFonts w:ascii="Garamond" w:hAnsi="Garamond"/>
        </w:rPr>
        <w:t xml:space="preserve"> (Cambridge: 1641), f. 12. </w:t>
      </w:r>
    </w:p>
  </w:footnote>
  <w:footnote w:id="72">
    <w:p w14:paraId="1096C85C" w14:textId="358609FB"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Capp, p. 19. Note that Adam Fox has argued that the Tudor period, into the early 17</w:t>
      </w:r>
      <w:r w:rsidRPr="003B1071">
        <w:rPr>
          <w:rFonts w:ascii="Garamond" w:hAnsi="Garamond"/>
          <w:vertAlign w:val="superscript"/>
        </w:rPr>
        <w:t>th</w:t>
      </w:r>
      <w:r w:rsidRPr="003B1071">
        <w:rPr>
          <w:rFonts w:ascii="Garamond" w:hAnsi="Garamond"/>
        </w:rPr>
        <w:t xml:space="preserve"> century would not necessarily have prioritised the written word over the spoken, see </w:t>
      </w:r>
      <w:r w:rsidRPr="003B1071">
        <w:rPr>
          <w:rFonts w:ascii="Garamond" w:hAnsi="Garamond"/>
          <w:i/>
          <w:iCs/>
        </w:rPr>
        <w:t xml:space="preserve">Oral and Literate Culture in England: 1500-1700 </w:t>
      </w:r>
      <w:r w:rsidRPr="003B1071">
        <w:rPr>
          <w:rFonts w:ascii="Garamond" w:hAnsi="Garamond"/>
        </w:rPr>
        <w:t xml:space="preserve">(Oxford: Oxford University Press, 2002). </w:t>
      </w:r>
    </w:p>
  </w:footnote>
  <w:footnote w:id="73">
    <w:p w14:paraId="0391195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Capp, p. 19-20. </w:t>
      </w:r>
    </w:p>
  </w:footnote>
  <w:footnote w:id="74">
    <w:p w14:paraId="7086B12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Cited in T.J. Tomlin, </w:t>
      </w:r>
      <w:r w:rsidRPr="003B1071">
        <w:rPr>
          <w:rFonts w:ascii="Garamond" w:hAnsi="Garamond"/>
          <w:i/>
        </w:rPr>
        <w:t xml:space="preserve">A Divinity for all persuasions: Almanacs and Early American Religious Life </w:t>
      </w:r>
      <w:r w:rsidRPr="003B1071">
        <w:rPr>
          <w:rFonts w:ascii="Garamond" w:hAnsi="Garamond"/>
        </w:rPr>
        <w:t xml:space="preserve">(Oxford: Oxford University Press, 2014), p. 38. </w:t>
      </w:r>
    </w:p>
  </w:footnote>
  <w:footnote w:id="75">
    <w:p w14:paraId="7A46A04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Tomlin, p. 38. </w:t>
      </w:r>
    </w:p>
  </w:footnote>
  <w:footnote w:id="76">
    <w:p w14:paraId="028064F2" w14:textId="481A1286"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William Lilly, </w:t>
      </w:r>
      <w:r w:rsidRPr="003B1071">
        <w:rPr>
          <w:rFonts w:ascii="Garamond" w:hAnsi="Garamond"/>
          <w:i/>
          <w:iCs/>
        </w:rPr>
        <w:t>Christian Astrology</w:t>
      </w:r>
      <w:r w:rsidRPr="003B1071">
        <w:rPr>
          <w:rFonts w:ascii="Garamond" w:hAnsi="Garamond"/>
        </w:rPr>
        <w:t xml:space="preserve"> (London: 1659), I, A4r-v.</w:t>
      </w:r>
    </w:p>
  </w:footnote>
  <w:footnote w:id="77">
    <w:p w14:paraId="12AD499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Lilly, </w:t>
      </w:r>
      <w:r w:rsidRPr="003B1071">
        <w:rPr>
          <w:rFonts w:ascii="Garamond" w:hAnsi="Garamond"/>
          <w:i/>
          <w:iCs/>
        </w:rPr>
        <w:t>Christian Astrology</w:t>
      </w:r>
      <w:r w:rsidRPr="003B1071">
        <w:rPr>
          <w:rFonts w:ascii="Garamond" w:hAnsi="Garamond"/>
        </w:rPr>
        <w:t xml:space="preserve">, B2r. </w:t>
      </w:r>
    </w:p>
  </w:footnote>
  <w:footnote w:id="78">
    <w:p w14:paraId="1CED101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Capp, pp. 15-16. </w:t>
      </w:r>
    </w:p>
  </w:footnote>
  <w:footnote w:id="79">
    <w:p w14:paraId="4D8FBC04" w14:textId="57A03F36"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Thomas Middleton, </w:t>
      </w:r>
      <w:r w:rsidRPr="003B1071">
        <w:rPr>
          <w:rFonts w:ascii="Garamond" w:hAnsi="Garamond"/>
          <w:i/>
          <w:iCs/>
        </w:rPr>
        <w:t xml:space="preserve">No Wit, </w:t>
      </w:r>
      <w:proofErr w:type="gramStart"/>
      <w:r w:rsidRPr="003B1071">
        <w:rPr>
          <w:rFonts w:ascii="Garamond" w:hAnsi="Garamond"/>
          <w:i/>
          <w:iCs/>
        </w:rPr>
        <w:t>No</w:t>
      </w:r>
      <w:proofErr w:type="gramEnd"/>
      <w:r w:rsidRPr="003B1071">
        <w:rPr>
          <w:rFonts w:ascii="Garamond" w:hAnsi="Garamond"/>
          <w:i/>
          <w:iCs/>
        </w:rPr>
        <w:t xml:space="preserve"> help like a Woman’s</w:t>
      </w:r>
      <w:r>
        <w:rPr>
          <w:rFonts w:ascii="Garamond" w:hAnsi="Garamond"/>
          <w:i/>
          <w:iCs/>
        </w:rPr>
        <w:t xml:space="preserve">, </w:t>
      </w:r>
      <w:r>
        <w:rPr>
          <w:rFonts w:ascii="Garamond" w:hAnsi="Garamond"/>
          <w:iCs/>
        </w:rPr>
        <w:t>ed. by Michael Taylor</w:t>
      </w:r>
      <w:r w:rsidRPr="003B1071">
        <w:rPr>
          <w:rFonts w:ascii="Garamond" w:hAnsi="Garamond"/>
          <w:i/>
          <w:iCs/>
        </w:rPr>
        <w:t xml:space="preserve"> </w:t>
      </w:r>
      <w:r w:rsidRPr="003B1071">
        <w:rPr>
          <w:rFonts w:ascii="Garamond" w:hAnsi="Garamond"/>
        </w:rPr>
        <w:t>(Oxford: Oxford University Press, 1995),</w:t>
      </w:r>
      <w:r w:rsidRPr="003B1071">
        <w:rPr>
          <w:rFonts w:ascii="Garamond" w:hAnsi="Garamond"/>
          <w:i/>
          <w:iCs/>
        </w:rPr>
        <w:t xml:space="preserve"> </w:t>
      </w:r>
      <w:r w:rsidRPr="003B1071">
        <w:rPr>
          <w:rFonts w:ascii="Garamond" w:hAnsi="Garamond"/>
          <w:iCs/>
        </w:rPr>
        <w:t xml:space="preserve">I.i.262. </w:t>
      </w:r>
    </w:p>
  </w:footnote>
  <w:footnote w:id="80">
    <w:p w14:paraId="1E2CC7F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Middleton, I.i.263-274. </w:t>
      </w:r>
    </w:p>
  </w:footnote>
  <w:footnote w:id="81">
    <w:p w14:paraId="3700E2E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Rebecca Hasler, ‘Astrology and Comedic Truth: Thomas Middleton’s Use of Almanacs’ in Society for Renaissance Studies Conference, University of Sheffield, 3-5</w:t>
      </w:r>
      <w:r w:rsidRPr="003B1071">
        <w:rPr>
          <w:rFonts w:ascii="Garamond" w:hAnsi="Garamond"/>
          <w:vertAlign w:val="superscript"/>
        </w:rPr>
        <w:t>th</w:t>
      </w:r>
      <w:r w:rsidRPr="003B1071">
        <w:rPr>
          <w:rFonts w:ascii="Garamond" w:hAnsi="Garamond"/>
        </w:rPr>
        <w:t xml:space="preserve"> July 2018.  </w:t>
      </w:r>
    </w:p>
  </w:footnote>
  <w:footnote w:id="82">
    <w:p w14:paraId="380E191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Capp, pp. 27-8. </w:t>
      </w:r>
    </w:p>
  </w:footnote>
  <w:footnote w:id="83">
    <w:p w14:paraId="0FE4E79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Capp, p. 30. </w:t>
      </w:r>
    </w:p>
  </w:footnote>
  <w:footnote w:id="84">
    <w:p w14:paraId="5B953EB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Capp, p. 23. </w:t>
      </w:r>
    </w:p>
  </w:footnote>
  <w:footnote w:id="85">
    <w:p w14:paraId="07947297" w14:textId="77777777" w:rsidR="00814479" w:rsidRPr="003B1071" w:rsidRDefault="00814479" w:rsidP="00162224">
      <w:pPr>
        <w:pStyle w:val="FootnoteText"/>
        <w:rPr>
          <w:rFonts w:ascii="Garamond" w:hAnsi="Garamond"/>
          <w:lang w:val="it-IT"/>
        </w:rPr>
      </w:pPr>
      <w:r w:rsidRPr="003B1071">
        <w:rPr>
          <w:rStyle w:val="FootnoteReference"/>
          <w:rFonts w:ascii="Garamond" w:hAnsi="Garamond"/>
        </w:rPr>
        <w:footnoteRef/>
      </w:r>
      <w:r w:rsidRPr="003B1071">
        <w:rPr>
          <w:rFonts w:ascii="Garamond" w:hAnsi="Garamond"/>
          <w:lang w:val="it-IT"/>
        </w:rPr>
        <w:t xml:space="preserve"> Capp, p. 24. </w:t>
      </w:r>
    </w:p>
  </w:footnote>
  <w:footnote w:id="86">
    <w:p w14:paraId="64FCB87C" w14:textId="77777777" w:rsidR="00814479" w:rsidRPr="003B1071" w:rsidRDefault="00814479" w:rsidP="00162224">
      <w:pPr>
        <w:pStyle w:val="FootnoteText"/>
        <w:rPr>
          <w:rFonts w:ascii="Garamond" w:hAnsi="Garamond"/>
          <w:lang w:val="it-IT"/>
        </w:rPr>
      </w:pPr>
      <w:r w:rsidRPr="003B1071">
        <w:rPr>
          <w:rStyle w:val="FootnoteReference"/>
          <w:rFonts w:ascii="Garamond" w:hAnsi="Garamond"/>
        </w:rPr>
        <w:footnoteRef/>
      </w:r>
      <w:r w:rsidRPr="003B1071">
        <w:rPr>
          <w:rFonts w:ascii="Garamond" w:hAnsi="Garamond"/>
          <w:lang w:val="it-IT"/>
        </w:rPr>
        <w:t xml:space="preserve"> Lilly, </w:t>
      </w:r>
      <w:r w:rsidRPr="003B1071">
        <w:rPr>
          <w:rFonts w:ascii="Garamond" w:hAnsi="Garamond"/>
          <w:i/>
          <w:lang w:val="it-IT"/>
        </w:rPr>
        <w:t xml:space="preserve">Melini Angelici ephermeris </w:t>
      </w:r>
      <w:r w:rsidRPr="003B1071">
        <w:rPr>
          <w:rFonts w:ascii="Garamond" w:hAnsi="Garamond"/>
          <w:iCs/>
          <w:lang w:val="it-IT"/>
        </w:rPr>
        <w:t xml:space="preserve">(London: </w:t>
      </w:r>
      <w:r w:rsidRPr="003B1071">
        <w:rPr>
          <w:rFonts w:ascii="Garamond" w:hAnsi="Garamond"/>
          <w:lang w:val="it-IT"/>
        </w:rPr>
        <w:t xml:space="preserve">1648), f. 5.  </w:t>
      </w:r>
    </w:p>
  </w:footnote>
  <w:footnote w:id="87">
    <w:p w14:paraId="4E3E5EA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Bernard Capp discusses these and other controversies, p. 25. </w:t>
      </w:r>
    </w:p>
  </w:footnote>
  <w:footnote w:id="88">
    <w:p w14:paraId="49C17B2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Adam Smyth, </w:t>
      </w:r>
      <w:r w:rsidRPr="003B1071">
        <w:rPr>
          <w:rFonts w:ascii="Garamond" w:hAnsi="Garamond"/>
          <w:i/>
          <w:iCs/>
        </w:rPr>
        <w:t>‘</w:t>
      </w:r>
      <w:r w:rsidRPr="003B1071">
        <w:rPr>
          <w:rFonts w:ascii="Garamond" w:hAnsi="Garamond"/>
        </w:rPr>
        <w:t xml:space="preserve">Almanacs’, p. 228. </w:t>
      </w:r>
    </w:p>
  </w:footnote>
  <w:footnote w:id="89">
    <w:p w14:paraId="1E9DEB7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Smyth, ‘Almanacs’, p. 205. </w:t>
      </w:r>
    </w:p>
  </w:footnote>
  <w:footnote w:id="90">
    <w:p w14:paraId="2B5E465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Elizabeth Eisenstein, </w:t>
      </w:r>
      <w:r w:rsidRPr="003B1071">
        <w:rPr>
          <w:rFonts w:ascii="Garamond" w:hAnsi="Garamond"/>
          <w:i/>
          <w:iCs/>
        </w:rPr>
        <w:t xml:space="preserve">The Printing Press as an Agent of Change </w:t>
      </w:r>
      <w:r w:rsidRPr="003B1071">
        <w:rPr>
          <w:rFonts w:ascii="Garamond" w:hAnsi="Garamond"/>
        </w:rPr>
        <w:t xml:space="preserve">(Cambridge: Cambridge University Press, 1980), II, p. 468. </w:t>
      </w:r>
    </w:p>
  </w:footnote>
  <w:footnote w:id="91">
    <w:p w14:paraId="5ABC32F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The earliest example appeared five years earlier, Thomas Purfoote's </w:t>
      </w:r>
      <w:proofErr w:type="gramStart"/>
      <w:r w:rsidRPr="003B1071">
        <w:rPr>
          <w:rFonts w:ascii="Garamond" w:hAnsi="Garamond"/>
          <w:i/>
        </w:rPr>
        <w:t>A</w:t>
      </w:r>
      <w:proofErr w:type="gramEnd"/>
      <w:r w:rsidRPr="003B1071">
        <w:rPr>
          <w:rFonts w:ascii="Garamond" w:hAnsi="Garamond"/>
          <w:i/>
        </w:rPr>
        <w:t xml:space="preserve"> Blanke and Perpetuall Almanacke </w:t>
      </w:r>
      <w:r w:rsidRPr="003B1071">
        <w:rPr>
          <w:rFonts w:ascii="Garamond" w:hAnsi="Garamond"/>
        </w:rPr>
        <w:t>(1566), see Smyth, ‘Almanacs’, p. 204.</w:t>
      </w:r>
    </w:p>
  </w:footnote>
  <w:footnote w:id="92">
    <w:p w14:paraId="00FD2281" w14:textId="2B457B5E"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T.H. Londoner, </w:t>
      </w:r>
      <w:r w:rsidRPr="003B1071">
        <w:rPr>
          <w:rFonts w:ascii="Garamond" w:hAnsi="Garamond"/>
          <w:i/>
        </w:rPr>
        <w:t xml:space="preserve">The </w:t>
      </w:r>
      <w:proofErr w:type="spellStart"/>
      <w:r w:rsidRPr="003B1071">
        <w:rPr>
          <w:rFonts w:ascii="Garamond" w:hAnsi="Garamond"/>
          <w:i/>
        </w:rPr>
        <w:t>Proffitable</w:t>
      </w:r>
      <w:proofErr w:type="spellEnd"/>
      <w:r w:rsidRPr="003B1071">
        <w:rPr>
          <w:rFonts w:ascii="Garamond" w:hAnsi="Garamond"/>
          <w:i/>
        </w:rPr>
        <w:t xml:space="preserve"> </w:t>
      </w:r>
      <w:proofErr w:type="spellStart"/>
      <w:r w:rsidRPr="003B1071">
        <w:rPr>
          <w:rFonts w:ascii="Garamond" w:hAnsi="Garamond"/>
          <w:i/>
        </w:rPr>
        <w:t>Arte</w:t>
      </w:r>
      <w:proofErr w:type="spellEnd"/>
      <w:r w:rsidRPr="003B1071">
        <w:rPr>
          <w:rFonts w:ascii="Garamond" w:hAnsi="Garamond"/>
          <w:i/>
        </w:rPr>
        <w:t xml:space="preserve"> of Gardening</w:t>
      </w:r>
      <w:r w:rsidRPr="003B1071">
        <w:rPr>
          <w:rFonts w:ascii="Garamond" w:hAnsi="Garamond"/>
        </w:rPr>
        <w:t xml:space="preserve"> (London: 1568) sig. dd3r, quoted in John Considine, ‘Hill, Thomas (c.1528–c.1574)’, </w:t>
      </w:r>
      <w:r w:rsidRPr="003B1071">
        <w:rPr>
          <w:rFonts w:ascii="Garamond" w:hAnsi="Garamond"/>
          <w:i/>
        </w:rPr>
        <w:t>Oxford Dictionary of National Biography</w:t>
      </w:r>
      <w:r w:rsidRPr="003B1071">
        <w:rPr>
          <w:rFonts w:ascii="Garamond" w:hAnsi="Garamond"/>
        </w:rPr>
        <w:t>, Oxford University Press, 2004 &lt;http://www.oxforddnb.com/view/article/13303&gt; [accessed 15 December 2016]</w:t>
      </w:r>
      <w:r>
        <w:rPr>
          <w:rFonts w:ascii="Garamond" w:hAnsi="Garamond"/>
        </w:rPr>
        <w:t>.</w:t>
      </w:r>
    </w:p>
  </w:footnote>
  <w:footnote w:id="93">
    <w:p w14:paraId="0A21556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r w:rsidRPr="003B1071">
        <w:rPr>
          <w:rFonts w:ascii="Garamond" w:hAnsi="Garamond" w:cs="Arial"/>
          <w:color w:val="000000"/>
          <w:shd w:val="clear" w:color="auto" w:fill="FFFFFF"/>
        </w:rPr>
        <w:t xml:space="preserve">Fulke, sig. B1r, quoted in Considine. </w:t>
      </w:r>
    </w:p>
  </w:footnote>
  <w:footnote w:id="94">
    <w:p w14:paraId="3BD52BA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Hill (1571), f. 2v. </w:t>
      </w:r>
    </w:p>
  </w:footnote>
  <w:footnote w:id="95">
    <w:p w14:paraId="7BF87A99" w14:textId="77777777" w:rsidR="00814479" w:rsidRPr="003B1071" w:rsidRDefault="00814479" w:rsidP="00162224">
      <w:pPr>
        <w:pStyle w:val="FootnoteText"/>
        <w:tabs>
          <w:tab w:val="left" w:pos="720"/>
        </w:tabs>
        <w:rPr>
          <w:rFonts w:ascii="Garamond" w:hAnsi="Garamond"/>
        </w:rPr>
      </w:pPr>
      <w:r w:rsidRPr="003B1071">
        <w:rPr>
          <w:rStyle w:val="FootnoteReference"/>
          <w:rFonts w:ascii="Garamond" w:hAnsi="Garamond"/>
        </w:rPr>
        <w:footnoteRef/>
      </w:r>
      <w:r w:rsidRPr="003B1071">
        <w:rPr>
          <w:rFonts w:ascii="Garamond" w:hAnsi="Garamond"/>
        </w:rPr>
        <w:t xml:space="preserve"> Hill (1571), f. 2v.</w:t>
      </w:r>
    </w:p>
  </w:footnote>
  <w:footnote w:id="96">
    <w:p w14:paraId="0684285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Hill (1571), f. 6v</w:t>
      </w:r>
    </w:p>
  </w:footnote>
  <w:footnote w:id="97">
    <w:p w14:paraId="170C1C5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Thompson, pp. 56-97 </w:t>
      </w:r>
    </w:p>
  </w:footnote>
  <w:footnote w:id="98">
    <w:p w14:paraId="46A74EA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Peregrine Rivers (1634),</w:t>
      </w:r>
      <w:r w:rsidRPr="003B1071">
        <w:rPr>
          <w:rFonts w:ascii="Garamond" w:hAnsi="Garamond"/>
          <w:i/>
        </w:rPr>
        <w:t xml:space="preserve"> </w:t>
      </w:r>
      <w:r w:rsidRPr="003B1071">
        <w:rPr>
          <w:rFonts w:ascii="Garamond" w:hAnsi="Garamond"/>
        </w:rPr>
        <w:t xml:space="preserve">C4v. </w:t>
      </w:r>
    </w:p>
  </w:footnote>
  <w:footnote w:id="99">
    <w:p w14:paraId="1B8146D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Thompson, p. 61. </w:t>
      </w:r>
    </w:p>
  </w:footnote>
  <w:footnote w:id="100">
    <w:p w14:paraId="49878EB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Hill (1571), f. 3v.</w:t>
      </w:r>
    </w:p>
  </w:footnote>
  <w:footnote w:id="101">
    <w:p w14:paraId="707A7F1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bookmarkStart w:id="9" w:name="_Hlk532382910"/>
      <w:r w:rsidRPr="003B1071">
        <w:rPr>
          <w:rFonts w:ascii="Garamond" w:hAnsi="Garamond"/>
        </w:rPr>
        <w:t>Simon Stevin, </w:t>
      </w:r>
      <w:r w:rsidRPr="003B1071">
        <w:rPr>
          <w:rFonts w:ascii="Garamond" w:hAnsi="Garamond"/>
          <w:i/>
        </w:rPr>
        <w:t xml:space="preserve">Disme: the art of tenths, or decimall arithmetike </w:t>
      </w:r>
      <w:r w:rsidRPr="003B1071">
        <w:rPr>
          <w:rFonts w:ascii="Garamond" w:hAnsi="Garamond"/>
        </w:rPr>
        <w:t xml:space="preserve">(Gent: 1608), </w:t>
      </w:r>
      <w:bookmarkEnd w:id="9"/>
      <w:r w:rsidRPr="003B1071">
        <w:rPr>
          <w:rFonts w:ascii="Garamond" w:hAnsi="Garamond"/>
        </w:rPr>
        <w:t xml:space="preserve">B3v. </w:t>
      </w:r>
    </w:p>
  </w:footnote>
  <w:footnote w:id="102">
    <w:p w14:paraId="266B2858" w14:textId="77777777" w:rsidR="00814479" w:rsidRPr="003B1071" w:rsidRDefault="00814479" w:rsidP="00162224">
      <w:pPr>
        <w:pStyle w:val="FootnoteText"/>
        <w:rPr>
          <w:rFonts w:ascii="Garamond" w:hAnsi="Garamond"/>
          <w:lang w:val="de-DE"/>
        </w:rPr>
      </w:pPr>
      <w:r w:rsidRPr="003B1071">
        <w:rPr>
          <w:rStyle w:val="FootnoteReference"/>
          <w:rFonts w:ascii="Garamond" w:hAnsi="Garamond"/>
        </w:rPr>
        <w:footnoteRef/>
      </w:r>
      <w:r w:rsidRPr="003B1071">
        <w:rPr>
          <w:rFonts w:ascii="Garamond" w:hAnsi="Garamond"/>
          <w:lang w:val="de-DE"/>
        </w:rPr>
        <w:t xml:space="preserve"> Acheson, p. 171. </w:t>
      </w:r>
    </w:p>
  </w:footnote>
  <w:footnote w:id="103">
    <w:p w14:paraId="77F7836B" w14:textId="77777777" w:rsidR="00814479" w:rsidRPr="003B1071" w:rsidRDefault="00814479" w:rsidP="00162224">
      <w:pPr>
        <w:pStyle w:val="FootnoteText"/>
        <w:rPr>
          <w:rFonts w:ascii="Garamond" w:hAnsi="Garamond"/>
          <w:lang w:val="de-DE"/>
        </w:rPr>
      </w:pPr>
      <w:r w:rsidRPr="003B1071">
        <w:rPr>
          <w:rStyle w:val="FootnoteReference"/>
          <w:rFonts w:ascii="Garamond" w:hAnsi="Garamond"/>
        </w:rPr>
        <w:footnoteRef/>
      </w:r>
      <w:r w:rsidRPr="003B1071">
        <w:rPr>
          <w:rFonts w:ascii="Garamond" w:hAnsi="Garamond"/>
          <w:lang w:val="de-DE"/>
        </w:rPr>
        <w:t xml:space="preserve"> Acheson, p. 171. </w:t>
      </w:r>
    </w:p>
  </w:footnote>
  <w:footnote w:id="104">
    <w:p w14:paraId="6D799CB3" w14:textId="77777777" w:rsidR="00814479" w:rsidRPr="003B1071" w:rsidRDefault="00814479" w:rsidP="00162224">
      <w:pPr>
        <w:pStyle w:val="FootnoteText"/>
        <w:rPr>
          <w:rFonts w:ascii="Garamond" w:hAnsi="Garamond"/>
          <w:lang w:val="de-DE"/>
        </w:rPr>
      </w:pPr>
      <w:r w:rsidRPr="003B1071">
        <w:rPr>
          <w:rStyle w:val="FootnoteReference"/>
          <w:rFonts w:ascii="Garamond" w:hAnsi="Garamond"/>
        </w:rPr>
        <w:footnoteRef/>
      </w:r>
      <w:r w:rsidRPr="003B1071">
        <w:rPr>
          <w:rFonts w:ascii="Garamond" w:hAnsi="Garamond"/>
          <w:lang w:val="de-DE"/>
        </w:rPr>
        <w:t xml:space="preserve"> Acheson, p. 148. </w:t>
      </w:r>
    </w:p>
  </w:footnote>
  <w:footnote w:id="105">
    <w:p w14:paraId="6D7D708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Thomans Hill, </w:t>
      </w:r>
      <w:r w:rsidRPr="003B1071">
        <w:rPr>
          <w:rFonts w:ascii="Garamond" w:hAnsi="Garamond"/>
          <w:i/>
          <w:iCs/>
        </w:rPr>
        <w:t>A most briefe and pleasaunt treatyse, teachynge howe to dress, sowe, and set a garden</w:t>
      </w:r>
      <w:r w:rsidRPr="003B1071">
        <w:rPr>
          <w:rFonts w:ascii="Garamond" w:hAnsi="Garamond" w:cs="Arial"/>
          <w:i/>
          <w:iCs/>
          <w:color w:val="252525"/>
          <w:shd w:val="clear" w:color="auto" w:fill="FFFFFF"/>
        </w:rPr>
        <w:t xml:space="preserve"> </w:t>
      </w:r>
      <w:r w:rsidRPr="003B1071">
        <w:rPr>
          <w:rFonts w:ascii="Garamond" w:hAnsi="Garamond" w:cs="Arial"/>
          <w:color w:val="252525"/>
          <w:shd w:val="clear" w:color="auto" w:fill="FFFFFF"/>
        </w:rPr>
        <w:t xml:space="preserve">(London: 1563), BL C.54.a.24. </w:t>
      </w:r>
      <w:r w:rsidRPr="003B1071">
        <w:rPr>
          <w:rFonts w:ascii="Garamond" w:hAnsi="Garamond"/>
        </w:rPr>
        <w:t xml:space="preserve">These have been partially obscured by the cutting of the pages when the book has been rebound, but on A6v are notes referring to the money generated by the ‘poor of Swison for one halfe yeares and one halfe month’, seemingly none as no records are noted. </w:t>
      </w:r>
    </w:p>
  </w:footnote>
  <w:footnote w:id="106">
    <w:p w14:paraId="0053658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Henry Phillippes, </w:t>
      </w:r>
      <w:r w:rsidRPr="003B1071">
        <w:rPr>
          <w:rFonts w:ascii="Garamond" w:hAnsi="Garamond"/>
          <w:i/>
        </w:rPr>
        <w:t xml:space="preserve">The Purchasers Pattern </w:t>
      </w:r>
      <w:r w:rsidRPr="003B1071">
        <w:rPr>
          <w:rFonts w:ascii="Garamond" w:hAnsi="Garamond"/>
        </w:rPr>
        <w:t xml:space="preserve">(London: 1656), see pp. 95-105. </w:t>
      </w:r>
      <w:r w:rsidRPr="003B1071">
        <w:rPr>
          <w:rFonts w:ascii="Garamond" w:hAnsi="Garamond"/>
          <w:i/>
          <w:iCs/>
        </w:rPr>
        <w:t xml:space="preserve"> </w:t>
      </w:r>
    </w:p>
  </w:footnote>
  <w:footnote w:id="107">
    <w:p w14:paraId="7CFA42CF" w14:textId="77777777" w:rsidR="00814479" w:rsidRPr="003B1071" w:rsidRDefault="00814479" w:rsidP="00C03F06">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Acheson, p. 180. Andrew McRae has made similar arguments about the ways in which land became seen as ‘a freely marketable commodity’ in </w:t>
      </w:r>
      <w:r w:rsidRPr="003B1071">
        <w:rPr>
          <w:rFonts w:ascii="Garamond" w:hAnsi="Garamond"/>
          <w:i/>
          <w:iCs/>
        </w:rPr>
        <w:t>God Speed the Plough: The Representation of Agrarian England, 1500-1660</w:t>
      </w:r>
      <w:r w:rsidRPr="003B1071">
        <w:rPr>
          <w:rFonts w:ascii="Garamond" w:hAnsi="Garamond"/>
          <w:b/>
          <w:bCs/>
        </w:rPr>
        <w:t> </w:t>
      </w:r>
      <w:r w:rsidRPr="003B1071">
        <w:rPr>
          <w:rFonts w:ascii="Garamond" w:hAnsi="Garamond"/>
        </w:rPr>
        <w:t xml:space="preserve">(Cambridge: Cambridge University Press, 2002), p. 174. </w:t>
      </w:r>
    </w:p>
  </w:footnote>
  <w:footnote w:id="108">
    <w:p w14:paraId="0E83B1C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Nathaniel Nye (1645), f. 4v. </w:t>
      </w:r>
    </w:p>
  </w:footnote>
  <w:footnote w:id="109">
    <w:p w14:paraId="6D47CF0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Nye, f. 4v.  </w:t>
      </w:r>
    </w:p>
  </w:footnote>
  <w:footnote w:id="110">
    <w:p w14:paraId="76DD2FB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Capp, p. 39. </w:t>
      </w:r>
    </w:p>
  </w:footnote>
  <w:footnote w:id="111">
    <w:p w14:paraId="1E7D319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Capp, p. 39-41. </w:t>
      </w:r>
    </w:p>
  </w:footnote>
  <w:footnote w:id="112">
    <w:p w14:paraId="43E33B4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Capp, p. 42. </w:t>
      </w:r>
    </w:p>
  </w:footnote>
  <w:footnote w:id="113">
    <w:p w14:paraId="7F66D894" w14:textId="77777777" w:rsidR="00814479" w:rsidRPr="003B1071" w:rsidRDefault="00814479" w:rsidP="00162224">
      <w:pPr>
        <w:pStyle w:val="FootnoteText"/>
        <w:rPr>
          <w:rFonts w:ascii="Garamond" w:hAnsi="Garamond"/>
          <w:iCs/>
        </w:rPr>
      </w:pPr>
      <w:r w:rsidRPr="003B1071">
        <w:rPr>
          <w:rStyle w:val="FootnoteReference"/>
          <w:rFonts w:ascii="Garamond" w:hAnsi="Garamond"/>
        </w:rPr>
        <w:footnoteRef/>
      </w:r>
      <w:r w:rsidRPr="003B1071">
        <w:rPr>
          <w:rFonts w:ascii="Garamond" w:hAnsi="Garamond"/>
        </w:rPr>
        <w:t xml:space="preserve"> </w:t>
      </w:r>
      <w:r w:rsidRPr="003B1071">
        <w:rPr>
          <w:rFonts w:ascii="Garamond" w:hAnsi="Garamond"/>
          <w:i/>
        </w:rPr>
        <w:t xml:space="preserve">The Bible and Holy Scriptures </w:t>
      </w:r>
      <w:r w:rsidRPr="003B1071">
        <w:rPr>
          <w:rFonts w:ascii="Garamond" w:hAnsi="Garamond"/>
          <w:iCs/>
        </w:rPr>
        <w:t xml:space="preserve">(Geneva: 1560) p. 176, sig. Yii. </w:t>
      </w:r>
    </w:p>
  </w:footnote>
  <w:footnote w:id="114">
    <w:p w14:paraId="278F9D47" w14:textId="7C091624"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Romila Thapar, ‘Cyclical and Linear Time in Early India’, </w:t>
      </w:r>
      <w:r w:rsidRPr="003B1071">
        <w:rPr>
          <w:rFonts w:ascii="Garamond" w:hAnsi="Garamond"/>
          <w:i/>
        </w:rPr>
        <w:t xml:space="preserve">Museum International, </w:t>
      </w:r>
      <w:r w:rsidRPr="003B1071">
        <w:rPr>
          <w:rFonts w:ascii="Garamond" w:hAnsi="Garamond"/>
        </w:rPr>
        <w:t xml:space="preserve">57, Issue 3 (September 2005), 19-31 (p. 24). </w:t>
      </w:r>
    </w:p>
  </w:footnote>
  <w:footnote w:id="115">
    <w:p w14:paraId="4B917BD8" w14:textId="77777777" w:rsidR="00814479" w:rsidRPr="003B1071" w:rsidRDefault="00814479" w:rsidP="00162224">
      <w:pPr>
        <w:pStyle w:val="FootnoteText"/>
        <w:rPr>
          <w:rFonts w:ascii="Garamond" w:hAnsi="Garamond"/>
          <w:lang w:val="es-ES_tradnl"/>
        </w:rPr>
      </w:pPr>
      <w:r w:rsidRPr="003B1071">
        <w:rPr>
          <w:rStyle w:val="FootnoteReference"/>
          <w:rFonts w:ascii="Garamond" w:hAnsi="Garamond"/>
        </w:rPr>
        <w:footnoteRef/>
      </w:r>
      <w:r w:rsidRPr="003B1071">
        <w:rPr>
          <w:rFonts w:ascii="Garamond" w:hAnsi="Garamond"/>
          <w:lang w:val="es-ES_tradnl"/>
        </w:rPr>
        <w:t xml:space="preserve"> Thapar, p. 26.</w:t>
      </w:r>
    </w:p>
  </w:footnote>
  <w:footnote w:id="116">
    <w:p w14:paraId="2748D926" w14:textId="77777777" w:rsidR="00814479" w:rsidRPr="003B1071" w:rsidRDefault="00814479" w:rsidP="00162224">
      <w:pPr>
        <w:pStyle w:val="FootnoteText"/>
        <w:rPr>
          <w:rFonts w:ascii="Garamond" w:hAnsi="Garamond"/>
          <w:lang w:val="es-ES_tradnl"/>
        </w:rPr>
      </w:pPr>
      <w:r w:rsidRPr="003B1071">
        <w:rPr>
          <w:rStyle w:val="FootnoteReference"/>
          <w:rFonts w:ascii="Garamond" w:hAnsi="Garamond"/>
        </w:rPr>
        <w:footnoteRef/>
      </w:r>
      <w:r w:rsidRPr="003B1071">
        <w:rPr>
          <w:rFonts w:ascii="Garamond" w:hAnsi="Garamond"/>
          <w:lang w:val="es-ES_tradnl"/>
        </w:rPr>
        <w:t xml:space="preserve"> Thapar, p. 29. </w:t>
      </w:r>
    </w:p>
  </w:footnote>
  <w:footnote w:id="117">
    <w:p w14:paraId="30BF4BD1" w14:textId="77777777" w:rsidR="00814479" w:rsidRPr="003B1071" w:rsidRDefault="00814479" w:rsidP="00162224">
      <w:pPr>
        <w:pStyle w:val="FootnoteText"/>
        <w:rPr>
          <w:rFonts w:ascii="Garamond" w:hAnsi="Garamond"/>
          <w:lang w:val="es-ES_tradnl"/>
        </w:rPr>
      </w:pPr>
      <w:r w:rsidRPr="003B1071">
        <w:rPr>
          <w:rStyle w:val="FootnoteReference"/>
          <w:rFonts w:ascii="Garamond" w:hAnsi="Garamond"/>
        </w:rPr>
        <w:footnoteRef/>
      </w:r>
      <w:r w:rsidRPr="003B1071">
        <w:rPr>
          <w:rFonts w:ascii="Garamond" w:hAnsi="Garamond"/>
          <w:lang w:val="es-ES_tradnl"/>
        </w:rPr>
        <w:t xml:space="preserve"> San Marino, Huntington Library, Mss EL 34/B/26</w:t>
      </w:r>
    </w:p>
  </w:footnote>
  <w:footnote w:id="118">
    <w:p w14:paraId="35CC4F91" w14:textId="77777777" w:rsidR="00814479" w:rsidRPr="003B1071" w:rsidRDefault="00814479" w:rsidP="00162224">
      <w:pPr>
        <w:pStyle w:val="FootnoteText"/>
        <w:rPr>
          <w:rFonts w:ascii="Garamond" w:hAnsi="Garamond"/>
          <w:lang w:val="es-ES_tradnl"/>
        </w:rPr>
      </w:pPr>
      <w:r w:rsidRPr="003B1071">
        <w:rPr>
          <w:rStyle w:val="FootnoteReference"/>
          <w:rFonts w:ascii="Garamond" w:hAnsi="Garamond"/>
        </w:rPr>
        <w:footnoteRef/>
      </w:r>
      <w:r w:rsidRPr="003B1071">
        <w:rPr>
          <w:rFonts w:ascii="Garamond" w:hAnsi="Garamond"/>
          <w:lang w:val="es-ES_tradnl"/>
        </w:rPr>
        <w:t xml:space="preserve"> Mss EL 34/B/26, p. 47. </w:t>
      </w:r>
    </w:p>
  </w:footnote>
  <w:footnote w:id="119">
    <w:p w14:paraId="7A1541D1" w14:textId="77777777" w:rsidR="00814479" w:rsidRPr="003B1071" w:rsidRDefault="00814479" w:rsidP="00162224">
      <w:pPr>
        <w:pStyle w:val="FootnoteText"/>
        <w:rPr>
          <w:rFonts w:ascii="Garamond" w:hAnsi="Garamond"/>
          <w:lang w:val="es-ES_tradnl"/>
        </w:rPr>
      </w:pPr>
      <w:r w:rsidRPr="003B1071">
        <w:rPr>
          <w:rStyle w:val="FootnoteReference"/>
          <w:rFonts w:ascii="Garamond" w:hAnsi="Garamond"/>
        </w:rPr>
        <w:footnoteRef/>
      </w:r>
      <w:r w:rsidRPr="003B1071">
        <w:rPr>
          <w:rFonts w:ascii="Garamond" w:hAnsi="Garamond"/>
          <w:lang w:val="es-ES_tradnl"/>
        </w:rPr>
        <w:t xml:space="preserve"> Mss EL 34/B/26, p. 47. </w:t>
      </w:r>
    </w:p>
  </w:footnote>
  <w:footnote w:id="120">
    <w:p w14:paraId="1C8AEE75" w14:textId="77777777" w:rsidR="00814479" w:rsidRPr="003B1071" w:rsidRDefault="00814479" w:rsidP="00162224">
      <w:pPr>
        <w:pStyle w:val="FootnoteText"/>
        <w:rPr>
          <w:rFonts w:ascii="Garamond" w:hAnsi="Garamond"/>
          <w:lang w:val="es-ES_tradnl"/>
        </w:rPr>
      </w:pPr>
      <w:r w:rsidRPr="003B1071">
        <w:rPr>
          <w:rStyle w:val="FootnoteReference"/>
          <w:rFonts w:ascii="Garamond" w:hAnsi="Garamond"/>
        </w:rPr>
        <w:footnoteRef/>
      </w:r>
      <w:r w:rsidRPr="003B1071">
        <w:rPr>
          <w:rFonts w:ascii="Garamond" w:hAnsi="Garamond"/>
          <w:lang w:val="es-ES_tradnl"/>
        </w:rPr>
        <w:t xml:space="preserve"> Nye, f. 5v. </w:t>
      </w:r>
    </w:p>
  </w:footnote>
  <w:footnote w:id="121">
    <w:p w14:paraId="18EAB7FA" w14:textId="77777777" w:rsidR="00814479" w:rsidRPr="003B1071" w:rsidRDefault="00814479" w:rsidP="00162224">
      <w:pPr>
        <w:pStyle w:val="FootnoteText"/>
        <w:rPr>
          <w:rFonts w:ascii="Garamond" w:hAnsi="Garamond"/>
          <w:lang w:val="es-ES_tradnl"/>
        </w:rPr>
      </w:pPr>
      <w:r w:rsidRPr="003B1071">
        <w:rPr>
          <w:rStyle w:val="FootnoteReference"/>
          <w:rFonts w:ascii="Garamond" w:hAnsi="Garamond"/>
        </w:rPr>
        <w:footnoteRef/>
      </w:r>
      <w:r w:rsidRPr="003B1071">
        <w:rPr>
          <w:rFonts w:ascii="Garamond" w:hAnsi="Garamond"/>
          <w:lang w:val="es-ES_tradnl"/>
        </w:rPr>
        <w:t xml:space="preserve"> Nye, f. 25r. </w:t>
      </w:r>
    </w:p>
  </w:footnote>
  <w:footnote w:id="122">
    <w:p w14:paraId="7FA0B18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Gallen (1664), f. 4.  </w:t>
      </w:r>
    </w:p>
  </w:footnote>
  <w:footnote w:id="123">
    <w:p w14:paraId="52C6B13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Capp, p. 34. </w:t>
      </w:r>
    </w:p>
  </w:footnote>
  <w:footnote w:id="124">
    <w:p w14:paraId="2B88DDC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Robert Woodruff, ‘Foretelling the Everyday: Early Modern English Almanacs Prepare a Public for News’ (</w:t>
      </w:r>
      <w:r w:rsidRPr="003B1071">
        <w:rPr>
          <w:rFonts w:ascii="Garamond" w:hAnsi="Garamond"/>
          <w:bCs/>
        </w:rPr>
        <w:t>unpublished Doctoral dissertation, University of Maryland, 2014),</w:t>
      </w:r>
      <w:r w:rsidRPr="003B1071">
        <w:rPr>
          <w:rFonts w:ascii="Garamond" w:hAnsi="Garamond"/>
        </w:rPr>
        <w:t> p. 328.</w:t>
      </w:r>
    </w:p>
  </w:footnote>
  <w:footnote w:id="125">
    <w:p w14:paraId="3CB1C70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Although this is listed as the 5</w:t>
      </w:r>
      <w:r w:rsidRPr="003B1071">
        <w:rPr>
          <w:rFonts w:ascii="Garamond" w:hAnsi="Garamond"/>
          <w:vertAlign w:val="superscript"/>
        </w:rPr>
        <w:t>th</w:t>
      </w:r>
      <w:r w:rsidRPr="003B1071">
        <w:rPr>
          <w:rFonts w:ascii="Garamond" w:hAnsi="Garamond"/>
        </w:rPr>
        <w:t xml:space="preserve"> month, the almanac begins the year in March. </w:t>
      </w:r>
    </w:p>
  </w:footnote>
  <w:footnote w:id="126">
    <w:p w14:paraId="0B2C60C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Samuel Danforth (1647), f. 15r, emphasis my own.</w:t>
      </w:r>
    </w:p>
  </w:footnote>
  <w:footnote w:id="127">
    <w:p w14:paraId="4089B65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Samuel Danforth (1648), f. 16v. </w:t>
      </w:r>
    </w:p>
  </w:footnote>
  <w:footnote w:id="128">
    <w:p w14:paraId="7E241D3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proofErr w:type="gramStart"/>
      <w:r w:rsidRPr="003B1071">
        <w:rPr>
          <w:rFonts w:ascii="Garamond" w:hAnsi="Garamond"/>
        </w:rPr>
        <w:t>George  Winter</w:t>
      </w:r>
      <w:proofErr w:type="gramEnd"/>
      <w:r w:rsidRPr="003B1071">
        <w:rPr>
          <w:rFonts w:ascii="Garamond" w:hAnsi="Garamond"/>
        </w:rPr>
        <w:t xml:space="preserve"> (1637), B3r.</w:t>
      </w:r>
    </w:p>
  </w:footnote>
  <w:footnote w:id="129">
    <w:p w14:paraId="4A818E0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r w:rsidRPr="003B1071">
        <w:rPr>
          <w:rFonts w:ascii="Garamond" w:hAnsi="Garamond"/>
          <w:bCs/>
        </w:rPr>
        <w:t>Alexander Cummins, ‘</w:t>
      </w:r>
      <w:r w:rsidRPr="003B1071">
        <w:rPr>
          <w:rFonts w:ascii="Garamond" w:hAnsi="Garamond"/>
          <w:bCs/>
          <w:i/>
        </w:rPr>
        <w:t>Kairos</w:t>
      </w:r>
      <w:r w:rsidRPr="003B1071">
        <w:rPr>
          <w:rFonts w:ascii="Garamond" w:hAnsi="Garamond"/>
          <w:bCs/>
        </w:rPr>
        <w:t xml:space="preserve"> in Early Modern English Political Magic’ in The Renaissance Opportune Moment: Kairos and the Theatre of Politics,</w:t>
      </w:r>
      <w:r w:rsidRPr="003B1071">
        <w:rPr>
          <w:rFonts w:ascii="Garamond" w:hAnsi="Garamond"/>
          <w:bCs/>
          <w:i/>
          <w:iCs/>
        </w:rPr>
        <w:t xml:space="preserve"> </w:t>
      </w:r>
      <w:r w:rsidRPr="003B1071">
        <w:rPr>
          <w:rFonts w:ascii="Garamond" w:hAnsi="Garamond"/>
          <w:bCs/>
        </w:rPr>
        <w:t>University College London, 12</w:t>
      </w:r>
      <w:r w:rsidRPr="003B1071">
        <w:rPr>
          <w:rFonts w:ascii="Garamond" w:hAnsi="Garamond"/>
          <w:bCs/>
          <w:vertAlign w:val="superscript"/>
        </w:rPr>
        <w:t>th</w:t>
      </w:r>
      <w:r w:rsidRPr="003B1071">
        <w:rPr>
          <w:rFonts w:ascii="Garamond" w:hAnsi="Garamond"/>
          <w:bCs/>
        </w:rPr>
        <w:t xml:space="preserve"> November 2015. </w:t>
      </w:r>
    </w:p>
  </w:footnote>
  <w:footnote w:id="130">
    <w:p w14:paraId="0B2909FF" w14:textId="27EA946F" w:rsidR="00814479" w:rsidRPr="003B1071" w:rsidRDefault="00814479">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w:t>
      </w:r>
      <w:r w:rsidRPr="003B1071">
        <w:rPr>
          <w:rFonts w:ascii="Garamond" w:hAnsi="Garamond"/>
          <w:lang w:val="en-US"/>
        </w:rPr>
        <w:t xml:space="preserve">Brian P. Levack, </w:t>
      </w:r>
      <w:r w:rsidRPr="003B1071">
        <w:rPr>
          <w:rFonts w:ascii="Garamond" w:hAnsi="Garamond"/>
          <w:i/>
          <w:lang w:val="en-US"/>
        </w:rPr>
        <w:t>The Formation of the British State: England, Scotland, and the Union, 1603-1707</w:t>
      </w:r>
      <w:r w:rsidRPr="003B1071">
        <w:rPr>
          <w:rFonts w:ascii="Garamond" w:hAnsi="Garamond"/>
          <w:lang w:val="en-US"/>
        </w:rPr>
        <w:t xml:space="preserve"> (Oxford: Oxford University Press, 1987), pp. 90-96. </w:t>
      </w:r>
    </w:p>
  </w:footnote>
  <w:footnote w:id="131">
    <w:p w14:paraId="6731EA6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Francis Bacon, </w:t>
      </w:r>
      <w:r w:rsidRPr="003B1071">
        <w:rPr>
          <w:rFonts w:ascii="Garamond" w:hAnsi="Garamond"/>
          <w:i/>
        </w:rPr>
        <w:t>The Works of Francis Bacon</w:t>
      </w:r>
      <w:r w:rsidRPr="003B1071">
        <w:rPr>
          <w:rFonts w:ascii="Garamond" w:hAnsi="Garamond"/>
        </w:rPr>
        <w:t xml:space="preserve">, collected and edited by James Spedding, Robert Leslie Ellis, and Douglas Denon Heath (London: Longmans, Green, Reader, and Dyer, 1868) Vol. X, The Letters and the Life, pp. 247-252, p. 251. </w:t>
      </w:r>
    </w:p>
  </w:footnote>
  <w:footnote w:id="132">
    <w:p w14:paraId="00FB093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Bacon, p. 250. </w:t>
      </w:r>
    </w:p>
  </w:footnote>
  <w:footnote w:id="133">
    <w:p w14:paraId="399CCCC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Vincent Wing (1671), C1v-C2. </w:t>
      </w:r>
    </w:p>
  </w:footnote>
  <w:footnote w:id="134">
    <w:p w14:paraId="4F69EE8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John Booker, </w:t>
      </w:r>
      <w:r w:rsidRPr="003B1071">
        <w:rPr>
          <w:rFonts w:ascii="Garamond" w:hAnsi="Garamond"/>
          <w:i/>
          <w:iCs/>
        </w:rPr>
        <w:t xml:space="preserve">A Bloody Irish almanac </w:t>
      </w:r>
      <w:r w:rsidRPr="003B1071">
        <w:rPr>
          <w:rFonts w:ascii="Garamond" w:hAnsi="Garamond"/>
        </w:rPr>
        <w:t xml:space="preserve">(London: 1646). George Wharton, a royalist to Booker’s parliamentarian leanings would respond to Booker’s </w:t>
      </w:r>
      <w:r w:rsidRPr="003B1071">
        <w:rPr>
          <w:rFonts w:ascii="Garamond" w:hAnsi="Garamond"/>
          <w:i/>
          <w:iCs/>
        </w:rPr>
        <w:t xml:space="preserve">Bloody Almanac </w:t>
      </w:r>
      <w:r w:rsidRPr="003B1071">
        <w:rPr>
          <w:rFonts w:ascii="Garamond" w:hAnsi="Garamond"/>
        </w:rPr>
        <w:t xml:space="preserve">with </w:t>
      </w:r>
      <w:r w:rsidRPr="003B1071">
        <w:rPr>
          <w:rFonts w:ascii="Garamond" w:hAnsi="Garamond"/>
          <w:i/>
          <w:iCs/>
        </w:rPr>
        <w:t xml:space="preserve">Belluum Hybernicale: Or Ireland’s War Astrologically Demonstrated </w:t>
      </w:r>
      <w:r w:rsidRPr="003B1071">
        <w:rPr>
          <w:rFonts w:ascii="Garamond" w:hAnsi="Garamond"/>
        </w:rPr>
        <w:t xml:space="preserve">(London: 1647).  </w:t>
      </w:r>
    </w:p>
  </w:footnote>
  <w:footnote w:id="135">
    <w:p w14:paraId="2DF0815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Booker (1646), B1-B2. </w:t>
      </w:r>
    </w:p>
  </w:footnote>
  <w:footnote w:id="136">
    <w:p w14:paraId="7E9FC23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Booker (1646), B1. </w:t>
      </w:r>
    </w:p>
  </w:footnote>
  <w:footnote w:id="137">
    <w:p w14:paraId="51E9EA3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Richard Saunders, </w:t>
      </w:r>
      <w:r w:rsidRPr="003B1071">
        <w:rPr>
          <w:rFonts w:ascii="Garamond" w:hAnsi="Garamond"/>
          <w:i/>
          <w:iCs/>
        </w:rPr>
        <w:t xml:space="preserve">Palmistry, the secrets thereof disclosed: The Second part of the Treatise treating… the Doctrine of Election </w:t>
      </w:r>
      <w:r w:rsidRPr="003B1071">
        <w:rPr>
          <w:rFonts w:ascii="Garamond" w:hAnsi="Garamond"/>
        </w:rPr>
        <w:t xml:space="preserve">(London: 1663), p. 1. </w:t>
      </w:r>
    </w:p>
  </w:footnote>
  <w:footnote w:id="138">
    <w:p w14:paraId="15CAB86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György E. Szönyi, ‘John Dee and Early Modern Occult Philosophy’ in </w:t>
      </w:r>
      <w:r w:rsidRPr="003B1071">
        <w:rPr>
          <w:rFonts w:ascii="Garamond" w:hAnsi="Garamond"/>
          <w:i/>
          <w:iCs/>
        </w:rPr>
        <w:t xml:space="preserve">Literature Compass, </w:t>
      </w:r>
      <w:r w:rsidRPr="003B1071">
        <w:rPr>
          <w:rFonts w:ascii="Garamond" w:hAnsi="Garamond"/>
        </w:rPr>
        <w:t xml:space="preserve">1 (2005), 1-12. </w:t>
      </w:r>
    </w:p>
  </w:footnote>
  <w:footnote w:id="139">
    <w:p w14:paraId="1D118716" w14:textId="46F63EC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Heidi Brayman Hacke</w:t>
      </w:r>
      <w:r>
        <w:rPr>
          <w:rFonts w:ascii="Garamond" w:hAnsi="Garamond"/>
        </w:rPr>
        <w:t>l</w:t>
      </w:r>
      <w:r w:rsidRPr="003B1071">
        <w:rPr>
          <w:rFonts w:ascii="Garamond" w:hAnsi="Garamond"/>
        </w:rPr>
        <w:t xml:space="preserve">, </w:t>
      </w:r>
      <w:r w:rsidRPr="003B1071">
        <w:rPr>
          <w:rFonts w:ascii="Garamond" w:hAnsi="Garamond"/>
          <w:i/>
        </w:rPr>
        <w:t xml:space="preserve">Reading Material in Early Modern England: Print, Gender, and Literacy </w:t>
      </w:r>
      <w:r w:rsidRPr="003B1071">
        <w:rPr>
          <w:rFonts w:ascii="Garamond" w:hAnsi="Garamond"/>
        </w:rPr>
        <w:t xml:space="preserve">(Cambridge: Cambridge University Press, 2005), p. 142. </w:t>
      </w:r>
    </w:p>
  </w:footnote>
  <w:footnote w:id="140">
    <w:p w14:paraId="447822E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Smyth, ‘Almanacs’, p. 204. </w:t>
      </w:r>
    </w:p>
  </w:footnote>
  <w:footnote w:id="141">
    <w:p w14:paraId="4FDF851B" w14:textId="689C6859"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Brayman Hack</w:t>
      </w:r>
      <w:r>
        <w:rPr>
          <w:rFonts w:ascii="Garamond" w:hAnsi="Garamond"/>
        </w:rPr>
        <w:t>el</w:t>
      </w:r>
      <w:r w:rsidRPr="003B1071">
        <w:rPr>
          <w:rFonts w:ascii="Garamond" w:hAnsi="Garamond"/>
        </w:rPr>
        <w:t xml:space="preserve">, p. 141.  </w:t>
      </w:r>
    </w:p>
  </w:footnote>
  <w:footnote w:id="142">
    <w:p w14:paraId="4D02357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Booker (1658), f. 12v. </w:t>
      </w:r>
    </w:p>
  </w:footnote>
  <w:footnote w:id="143">
    <w:p w14:paraId="68C9520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Booker (1658), f. 15r-16v. </w:t>
      </w:r>
    </w:p>
  </w:footnote>
  <w:footnote w:id="144">
    <w:p w14:paraId="0E5D64F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Wharton (1659), f. 10v. </w:t>
      </w:r>
    </w:p>
  </w:footnote>
  <w:footnote w:id="145">
    <w:p w14:paraId="2FF6F99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Wharton (1659), f. 12v. </w:t>
      </w:r>
    </w:p>
  </w:footnote>
  <w:footnote w:id="146">
    <w:p w14:paraId="30D2405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Wharton (1659), f. 14v.</w:t>
      </w:r>
    </w:p>
  </w:footnote>
  <w:footnote w:id="147">
    <w:p w14:paraId="0CFA462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Wharton (1659), f. 20v. </w:t>
      </w:r>
    </w:p>
  </w:footnote>
  <w:footnote w:id="148">
    <w:p w14:paraId="78633BF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Wharton (1659), f.  26r.</w:t>
      </w:r>
    </w:p>
  </w:footnote>
  <w:footnote w:id="149">
    <w:p w14:paraId="1201144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Wharton (1659), f. 15r-16v. </w:t>
      </w:r>
    </w:p>
  </w:footnote>
  <w:footnote w:id="150">
    <w:p w14:paraId="4E72D60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Capp, p. 66.  </w:t>
      </w:r>
    </w:p>
  </w:footnote>
  <w:footnote w:id="151">
    <w:p w14:paraId="268ACC2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Willem Claesz Heda, ‘Still Life with a Gilt Cup’, oil on panel (1635), Amsterdam, Rijksmuseum, SK-A-4830. Pieter Claesz, ‘Still Life with a Turkey Leg’, oil on panel (1627), Amsterdam, Rijksmuseum, SK-X-4646. </w:t>
      </w:r>
    </w:p>
  </w:footnote>
  <w:footnote w:id="152">
    <w:p w14:paraId="35C5B6D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Smyth, ‘Almanacs’, p. 203.  </w:t>
      </w:r>
    </w:p>
  </w:footnote>
  <w:footnote w:id="153">
    <w:p w14:paraId="7D03964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Capp, p. 42.  </w:t>
      </w:r>
    </w:p>
  </w:footnote>
  <w:footnote w:id="154">
    <w:p w14:paraId="0DA891D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Jan de Vries, </w:t>
      </w:r>
      <w:r w:rsidRPr="003B1071">
        <w:rPr>
          <w:rFonts w:ascii="Garamond" w:hAnsi="Garamond"/>
          <w:i/>
        </w:rPr>
        <w:t xml:space="preserve">The Industrious Revolution: consumer behaviour and the household economy, 1650-the present </w:t>
      </w:r>
      <w:r w:rsidRPr="003B1071">
        <w:rPr>
          <w:rFonts w:ascii="Garamond" w:hAnsi="Garamond"/>
        </w:rPr>
        <w:t xml:space="preserve">(Cambridge: Cambridge University Press, 2008) </w:t>
      </w:r>
    </w:p>
  </w:footnote>
  <w:footnote w:id="155">
    <w:p w14:paraId="16EF7E3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de Vries, p. 43. </w:t>
      </w:r>
    </w:p>
  </w:footnote>
  <w:footnote w:id="156">
    <w:p w14:paraId="7CC98B5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Alexis Litvine, ‘The Industrious revolution, the industriousness discourse, and the development of Modern Economies’ in </w:t>
      </w:r>
      <w:r w:rsidRPr="003B1071">
        <w:rPr>
          <w:rFonts w:ascii="Garamond" w:hAnsi="Garamond"/>
          <w:i/>
        </w:rPr>
        <w:t xml:space="preserve">The Historical Journal, </w:t>
      </w:r>
      <w:r w:rsidRPr="003B1071">
        <w:rPr>
          <w:rFonts w:ascii="Garamond" w:hAnsi="Garamond"/>
        </w:rPr>
        <w:t xml:space="preserve">57 (2014), 531–570 (pp. 535-7). </w:t>
      </w:r>
    </w:p>
  </w:footnote>
  <w:footnote w:id="157">
    <w:p w14:paraId="5AF2C15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Cited in Litvine, pp. 535-6. </w:t>
      </w:r>
    </w:p>
  </w:footnote>
  <w:footnote w:id="158">
    <w:p w14:paraId="2DF0573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Litvine, p. 539. </w:t>
      </w:r>
    </w:p>
  </w:footnote>
  <w:footnote w:id="159">
    <w:p w14:paraId="784E915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 Montagu, </w:t>
      </w:r>
      <w:r w:rsidRPr="003B1071">
        <w:rPr>
          <w:rFonts w:ascii="Garamond" w:hAnsi="Garamond"/>
          <w:i/>
        </w:rPr>
        <w:t xml:space="preserve">Contemplatio mortis &amp; immortalitatis </w:t>
      </w:r>
      <w:r w:rsidRPr="003B1071">
        <w:rPr>
          <w:rFonts w:ascii="Garamond" w:hAnsi="Garamond"/>
        </w:rPr>
        <w:t xml:space="preserve">(1638), p. 146, cited in Litvine p. 556. </w:t>
      </w:r>
    </w:p>
  </w:footnote>
  <w:footnote w:id="160">
    <w:p w14:paraId="792A0DC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Cited in Eisenstein, I, p. 383. </w:t>
      </w:r>
    </w:p>
  </w:footnote>
  <w:footnote w:id="161">
    <w:p w14:paraId="5D5F18B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John Donne, </w:t>
      </w:r>
      <w:r w:rsidRPr="003B1071">
        <w:rPr>
          <w:rFonts w:ascii="Garamond" w:hAnsi="Garamond"/>
          <w:i/>
          <w:iCs/>
        </w:rPr>
        <w:t xml:space="preserve">The Life and Letters of John Donne, </w:t>
      </w:r>
      <w:r w:rsidRPr="003B1071">
        <w:rPr>
          <w:rFonts w:ascii="Garamond" w:hAnsi="Garamond"/>
        </w:rPr>
        <w:t xml:space="preserve">ed. by Edmund Gosse (London: Heinmann, 1899), I, p. 190. </w:t>
      </w:r>
    </w:p>
  </w:footnote>
  <w:footnote w:id="162">
    <w:p w14:paraId="24439F0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Wharton (1654), f. 15. </w:t>
      </w:r>
    </w:p>
  </w:footnote>
  <w:footnote w:id="163">
    <w:p w14:paraId="513805F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Danforth (1647), f. 4 </w:t>
      </w:r>
    </w:p>
  </w:footnote>
  <w:footnote w:id="164">
    <w:p w14:paraId="6D49A05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Danforth (1647), f. 6, f. 8. </w:t>
      </w:r>
    </w:p>
  </w:footnote>
  <w:footnote w:id="165">
    <w:p w14:paraId="3C98C149" w14:textId="1D88DD0F"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As discussed in Gerald Bate’s </w:t>
      </w:r>
      <w:r w:rsidRPr="003B1071">
        <w:rPr>
          <w:rFonts w:ascii="Garamond" w:hAnsi="Garamond"/>
          <w:i/>
          <w:iCs/>
        </w:rPr>
        <w:t xml:space="preserve">Ireland’s Natural History </w:t>
      </w:r>
      <w:r w:rsidRPr="003B1071">
        <w:rPr>
          <w:rFonts w:ascii="Garamond" w:hAnsi="Garamond"/>
        </w:rPr>
        <w:t>(1652). See Patricia Coughlan, ‘</w:t>
      </w:r>
      <w:r>
        <w:rPr>
          <w:rFonts w:ascii="Garamond" w:hAnsi="Garamond"/>
        </w:rPr>
        <w:t>“</w:t>
      </w:r>
      <w:r w:rsidRPr="003B1071">
        <w:rPr>
          <w:rFonts w:ascii="Garamond" w:hAnsi="Garamond"/>
        </w:rPr>
        <w:t>Cheap and Common Animals</w:t>
      </w:r>
      <w:r>
        <w:rPr>
          <w:rFonts w:ascii="Garamond" w:hAnsi="Garamond"/>
        </w:rPr>
        <w:t>”</w:t>
      </w:r>
      <w:r w:rsidRPr="003B1071">
        <w:rPr>
          <w:rFonts w:ascii="Garamond" w:hAnsi="Garamond"/>
        </w:rPr>
        <w:t xml:space="preserve">: The English anatomy of Ireland in the seventeenth century’ in </w:t>
      </w:r>
      <w:r w:rsidRPr="003B1071">
        <w:rPr>
          <w:rFonts w:ascii="Garamond" w:hAnsi="Garamond"/>
          <w:i/>
          <w:iCs/>
        </w:rPr>
        <w:t xml:space="preserve">Literature and the English Civil War </w:t>
      </w:r>
      <w:r w:rsidRPr="003B1071">
        <w:rPr>
          <w:rFonts w:ascii="Garamond" w:hAnsi="Garamond"/>
        </w:rPr>
        <w:t xml:space="preserve">(Cambridge: Cambridge University Press, 1990), pp. 205-26. Coughlan describes how the English settlers saw the Irish as characterized by ‘pathological sloth’ (p. 213). Edmund Spenser’s A </w:t>
      </w:r>
      <w:r w:rsidRPr="003B1071">
        <w:rPr>
          <w:rFonts w:ascii="Garamond" w:hAnsi="Garamond"/>
          <w:i/>
          <w:iCs/>
        </w:rPr>
        <w:t>View of the State of Ireland, written dialogue-wise…</w:t>
      </w:r>
      <w:r w:rsidRPr="003B1071">
        <w:rPr>
          <w:rFonts w:ascii="Garamond" w:hAnsi="Garamond"/>
        </w:rPr>
        <w:t xml:space="preserve"> (London: 1596) opens with Eudoxus asking, ‘but if that Countrey of Ireland, whence you lately came, bee of so goodly and commodious a soyle as you report, I wonder that no course is taken for the turning thereof to good uses, and reducing that nation to better government and civility’. Ireland is described as though beckoning the English settlers, ‘full of very good Ports and Havens opening upon </w:t>
      </w:r>
      <w:r w:rsidRPr="003B1071">
        <w:rPr>
          <w:rFonts w:ascii="Garamond" w:hAnsi="Garamond"/>
          <w:i/>
          <w:iCs/>
        </w:rPr>
        <w:t>England</w:t>
      </w:r>
      <w:r w:rsidRPr="003B1071">
        <w:rPr>
          <w:rFonts w:ascii="Garamond" w:hAnsi="Garamond"/>
        </w:rPr>
        <w:t>, as inviting us to come unto them, to see what excellent commodities that Countrey can afford’</w:t>
      </w:r>
      <w:r w:rsidRPr="003B1071">
        <w:rPr>
          <w:rFonts w:ascii="Garamond" w:hAnsi="Garamond"/>
          <w:i/>
          <w:iCs/>
        </w:rPr>
        <w:t xml:space="preserve">, </w:t>
      </w:r>
      <w:r w:rsidRPr="003B1071">
        <w:rPr>
          <w:rFonts w:ascii="Garamond" w:hAnsi="Garamond"/>
        </w:rPr>
        <w:t xml:space="preserve">p. 1, p. 13. </w:t>
      </w:r>
    </w:p>
  </w:footnote>
  <w:footnote w:id="166">
    <w:p w14:paraId="4B3BD04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For a discussion of </w:t>
      </w:r>
      <w:r w:rsidRPr="003B1071">
        <w:rPr>
          <w:rFonts w:ascii="Garamond" w:hAnsi="Garamond"/>
          <w:i/>
          <w:iCs/>
        </w:rPr>
        <w:t xml:space="preserve">terra nullis </w:t>
      </w:r>
      <w:r w:rsidRPr="003B1071">
        <w:rPr>
          <w:rFonts w:ascii="Garamond" w:hAnsi="Garamond"/>
        </w:rPr>
        <w:t xml:space="preserve">and </w:t>
      </w:r>
      <w:r w:rsidRPr="003B1071">
        <w:rPr>
          <w:rFonts w:ascii="Garamond" w:hAnsi="Garamond"/>
          <w:i/>
          <w:iCs/>
        </w:rPr>
        <w:t xml:space="preserve">res nullis, </w:t>
      </w:r>
      <w:r w:rsidRPr="003B1071">
        <w:rPr>
          <w:rFonts w:ascii="Garamond" w:hAnsi="Garamond"/>
        </w:rPr>
        <w:t xml:space="preserve">see Nicholas P. Canny, </w:t>
      </w:r>
      <w:r w:rsidRPr="003B1071">
        <w:rPr>
          <w:rFonts w:ascii="Garamond" w:hAnsi="Garamond"/>
          <w:i/>
          <w:iCs/>
        </w:rPr>
        <w:t xml:space="preserve">Making Ireland British, 1580-1630 </w:t>
      </w:r>
      <w:r w:rsidRPr="003B1071">
        <w:rPr>
          <w:rFonts w:ascii="Garamond" w:hAnsi="Garamond"/>
        </w:rPr>
        <w:t xml:space="preserve">(Oxford: Oxford University Press, 2000), pp. 133-34. </w:t>
      </w:r>
    </w:p>
  </w:footnote>
  <w:footnote w:id="167">
    <w:p w14:paraId="50B22DED" w14:textId="03A365E8"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Richard Burton, </w:t>
      </w:r>
      <w:r w:rsidRPr="003B1071">
        <w:rPr>
          <w:rFonts w:ascii="Garamond" w:hAnsi="Garamond"/>
          <w:i/>
        </w:rPr>
        <w:t xml:space="preserve">The anatomy of melancholy </w:t>
      </w:r>
      <w:r w:rsidRPr="003B1071">
        <w:rPr>
          <w:rFonts w:ascii="Garamond" w:hAnsi="Garamond"/>
        </w:rPr>
        <w:t xml:space="preserve">(Oxford: 1638) p. 53 </w:t>
      </w:r>
    </w:p>
  </w:footnote>
  <w:footnote w:id="168">
    <w:p w14:paraId="5E98B9C8" w14:textId="77777777" w:rsidR="00814479" w:rsidRPr="003B1071" w:rsidRDefault="00814479" w:rsidP="00162224">
      <w:pPr>
        <w:pStyle w:val="FootnoteText"/>
        <w:rPr>
          <w:rFonts w:ascii="Garamond" w:hAnsi="Garamond"/>
          <w:lang w:val="sv-SE"/>
        </w:rPr>
      </w:pPr>
      <w:r w:rsidRPr="003B1071">
        <w:rPr>
          <w:rStyle w:val="FootnoteReference"/>
          <w:rFonts w:ascii="Garamond" w:hAnsi="Garamond"/>
        </w:rPr>
        <w:footnoteRef/>
      </w:r>
      <w:r w:rsidRPr="003B1071">
        <w:rPr>
          <w:rFonts w:ascii="Garamond" w:hAnsi="Garamond"/>
          <w:lang w:val="sv-SE"/>
        </w:rPr>
        <w:t xml:space="preserve"> Litvine, pp. 553-4. </w:t>
      </w:r>
    </w:p>
  </w:footnote>
  <w:footnote w:id="169">
    <w:p w14:paraId="241C21F2" w14:textId="77777777" w:rsidR="00814479" w:rsidRPr="003B1071" w:rsidRDefault="00814479" w:rsidP="00162224">
      <w:pPr>
        <w:pStyle w:val="FootnoteText"/>
        <w:rPr>
          <w:rFonts w:ascii="Garamond" w:hAnsi="Garamond"/>
          <w:lang w:val="sv-SE"/>
        </w:rPr>
      </w:pPr>
      <w:r w:rsidRPr="003B1071">
        <w:rPr>
          <w:rStyle w:val="FootnoteReference"/>
          <w:rFonts w:ascii="Garamond" w:hAnsi="Garamond"/>
        </w:rPr>
        <w:footnoteRef/>
      </w:r>
      <w:r w:rsidRPr="003B1071">
        <w:rPr>
          <w:rFonts w:ascii="Garamond" w:hAnsi="Garamond"/>
          <w:lang w:val="sv-SE"/>
        </w:rPr>
        <w:t xml:space="preserve"> Herbert, </w:t>
      </w:r>
      <w:r w:rsidRPr="003B1071">
        <w:rPr>
          <w:rFonts w:ascii="Garamond" w:hAnsi="Garamond"/>
          <w:i/>
          <w:iCs/>
          <w:lang w:val="sv-SE"/>
        </w:rPr>
        <w:t xml:space="preserve">Poems, </w:t>
      </w:r>
      <w:r w:rsidRPr="003B1071">
        <w:rPr>
          <w:rFonts w:ascii="Garamond" w:hAnsi="Garamond"/>
          <w:lang w:val="sv-SE"/>
        </w:rPr>
        <w:t xml:space="preserve">pp. 271-3. </w:t>
      </w:r>
    </w:p>
  </w:footnote>
  <w:footnote w:id="170">
    <w:p w14:paraId="664F172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Danforth (1647), f. 2r </w:t>
      </w:r>
    </w:p>
  </w:footnote>
  <w:footnote w:id="171">
    <w:p w14:paraId="033835F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Danforth (1647), f. 6. </w:t>
      </w:r>
    </w:p>
  </w:footnote>
  <w:footnote w:id="172">
    <w:p w14:paraId="1E7C30A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Lilly (1648), f. 10v. </w:t>
      </w:r>
    </w:p>
  </w:footnote>
  <w:footnote w:id="173">
    <w:p w14:paraId="1D637FA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Michelle Serres and Bruno Latour, </w:t>
      </w:r>
      <w:r w:rsidRPr="003B1071">
        <w:rPr>
          <w:rFonts w:ascii="Garamond" w:hAnsi="Garamond"/>
          <w:i/>
          <w:iCs/>
        </w:rPr>
        <w:t xml:space="preserve">Conversations on Science, Culture, and Time </w:t>
      </w:r>
      <w:r w:rsidRPr="003B1071">
        <w:rPr>
          <w:rFonts w:ascii="Garamond" w:hAnsi="Garamond"/>
          <w:iCs/>
        </w:rPr>
        <w:t xml:space="preserve">(Ann Arbour, MI: University of Michigan Press, 1995), </w:t>
      </w:r>
      <w:r w:rsidRPr="003B1071">
        <w:rPr>
          <w:rFonts w:ascii="Garamond" w:hAnsi="Garamond"/>
        </w:rPr>
        <w:t xml:space="preserve">p. 58. </w:t>
      </w:r>
    </w:p>
  </w:footnote>
  <w:footnote w:id="174">
    <w:p w14:paraId="0D24828F"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Serres, </w:t>
      </w:r>
      <w:r w:rsidRPr="003B1071">
        <w:rPr>
          <w:rFonts w:ascii="Garamond" w:hAnsi="Garamond"/>
          <w:i/>
          <w:iCs/>
          <w:lang w:val="fr-FR"/>
        </w:rPr>
        <w:t xml:space="preserve">Conversations, </w:t>
      </w:r>
      <w:r w:rsidRPr="003B1071">
        <w:rPr>
          <w:rFonts w:ascii="Garamond" w:hAnsi="Garamond"/>
          <w:lang w:val="fr-FR"/>
        </w:rPr>
        <w:t xml:space="preserve">p. 60. </w:t>
      </w:r>
    </w:p>
  </w:footnote>
  <w:footnote w:id="175">
    <w:p w14:paraId="4CB16278"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Serres, </w:t>
      </w:r>
      <w:r w:rsidRPr="003B1071">
        <w:rPr>
          <w:rFonts w:ascii="Garamond" w:hAnsi="Garamond"/>
          <w:i/>
          <w:iCs/>
          <w:lang w:val="fr-FR"/>
        </w:rPr>
        <w:t xml:space="preserve">Conversations, </w:t>
      </w:r>
      <w:r w:rsidRPr="003B1071">
        <w:rPr>
          <w:rFonts w:ascii="Garamond" w:hAnsi="Garamond"/>
          <w:lang w:val="fr-FR"/>
        </w:rPr>
        <w:t xml:space="preserve">p. 60 </w:t>
      </w:r>
    </w:p>
  </w:footnote>
  <w:footnote w:id="176">
    <w:p w14:paraId="4C1B6A1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Wharton (1659), f. 11r. </w:t>
      </w:r>
    </w:p>
  </w:footnote>
  <w:footnote w:id="177">
    <w:p w14:paraId="52C2B02D" w14:textId="09D4D9F3"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John Taylor, </w:t>
      </w:r>
      <w:r w:rsidRPr="003B1071">
        <w:rPr>
          <w:rFonts w:ascii="Garamond" w:hAnsi="Garamond"/>
          <w:i/>
        </w:rPr>
        <w:t xml:space="preserve">The old, old, very old man; or, The age and long life of Thomas Par, the son of John Parr of Winnington </w:t>
      </w:r>
      <w:r w:rsidRPr="003B1071">
        <w:rPr>
          <w:rFonts w:ascii="Garamond" w:hAnsi="Garamond"/>
        </w:rPr>
        <w:t>(London: 1635)</w:t>
      </w:r>
      <w:r>
        <w:rPr>
          <w:rFonts w:ascii="Garamond" w:hAnsi="Garamond"/>
        </w:rPr>
        <w:t>.</w:t>
      </w:r>
      <w:r w:rsidRPr="003B1071">
        <w:rPr>
          <w:rFonts w:ascii="Garamond" w:hAnsi="Garamond"/>
        </w:rPr>
        <w:t xml:space="preserve"> </w:t>
      </w:r>
    </w:p>
  </w:footnote>
  <w:footnote w:id="178">
    <w:p w14:paraId="11ED9FCB" w14:textId="2E892E74"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Andy Clark and David Chalmers, ‘The Extended Mind’ in </w:t>
      </w:r>
      <w:r w:rsidRPr="003B1071">
        <w:rPr>
          <w:rFonts w:ascii="Garamond" w:hAnsi="Garamond"/>
          <w:i/>
        </w:rPr>
        <w:t xml:space="preserve">The Extended Mind, </w:t>
      </w:r>
      <w:r w:rsidRPr="003B1071">
        <w:rPr>
          <w:rFonts w:ascii="Garamond" w:hAnsi="Garamond"/>
          <w:iCs/>
        </w:rPr>
        <w:t>ed. by Richard Menary</w:t>
      </w:r>
      <w:r w:rsidRPr="003B1071">
        <w:rPr>
          <w:rFonts w:ascii="Garamond" w:hAnsi="Garamond"/>
          <w:i/>
        </w:rPr>
        <w:t xml:space="preserve"> </w:t>
      </w:r>
      <w:r w:rsidRPr="003B1071">
        <w:rPr>
          <w:rFonts w:ascii="Garamond" w:hAnsi="Garamond"/>
        </w:rPr>
        <w:t xml:space="preserve">(Cambridge, MA: MIT Press, 2010), pp. 10-23 (p. 27). </w:t>
      </w:r>
    </w:p>
  </w:footnote>
  <w:footnote w:id="179">
    <w:p w14:paraId="6417E25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Clark and Chalmers, p. 28. </w:t>
      </w:r>
    </w:p>
  </w:footnote>
  <w:footnote w:id="180">
    <w:p w14:paraId="0354362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Menary ed., p. 3. </w:t>
      </w:r>
    </w:p>
  </w:footnote>
  <w:footnote w:id="181">
    <w:p w14:paraId="50AD146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Menary ed., p. 4. </w:t>
      </w:r>
    </w:p>
  </w:footnote>
  <w:footnote w:id="182">
    <w:p w14:paraId="1AF4CF2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Clark and Chalmers, p. 27. </w:t>
      </w:r>
    </w:p>
  </w:footnote>
  <w:footnote w:id="183">
    <w:p w14:paraId="3CBAB3F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Clark and Chalmers, p. 30.  </w:t>
      </w:r>
    </w:p>
  </w:footnote>
  <w:footnote w:id="184">
    <w:p w14:paraId="61973DE2" w14:textId="77777777" w:rsidR="00814479" w:rsidRPr="003B1071" w:rsidRDefault="00814479" w:rsidP="00162224">
      <w:pPr>
        <w:pStyle w:val="FootnoteText"/>
        <w:rPr>
          <w:rFonts w:ascii="Garamond" w:hAnsi="Garamond" w:cs="Arial"/>
        </w:rPr>
      </w:pPr>
      <w:r w:rsidRPr="003B1071">
        <w:rPr>
          <w:rStyle w:val="FootnoteReference"/>
          <w:rFonts w:ascii="Garamond" w:hAnsi="Garamond"/>
        </w:rPr>
        <w:footnoteRef/>
      </w:r>
      <w:r w:rsidRPr="003B1071">
        <w:rPr>
          <w:rFonts w:ascii="Garamond" w:hAnsi="Garamond"/>
        </w:rPr>
        <w:t xml:space="preserve"> The British Library copy </w:t>
      </w:r>
      <w:r w:rsidRPr="003B1071">
        <w:rPr>
          <w:rFonts w:ascii="Garamond" w:hAnsi="Garamond" w:cs="Arial"/>
          <w:color w:val="000000"/>
          <w:shd w:val="clear" w:color="auto" w:fill="FFFFFF"/>
        </w:rPr>
        <w:t xml:space="preserve">contains few annotations, aside from two autographs on the first page of K. Ephen~ and Lumley, and some minor corrections made to the description of Mars, which is described of nature ‘colde and moyst’, which Lumley changes to ‘hotte and drye’. Hill (1571), BL Rare Books, </w:t>
      </w:r>
      <w:r w:rsidRPr="003B1071">
        <w:rPr>
          <w:rFonts w:ascii="Garamond" w:hAnsi="Garamond"/>
          <w:color w:val="000000"/>
          <w:shd w:val="clear" w:color="auto" w:fill="FFFFFF"/>
        </w:rPr>
        <w:t>718.g.51,</w:t>
      </w:r>
      <w:r w:rsidRPr="003B1071">
        <w:rPr>
          <w:rFonts w:ascii="Garamond" w:hAnsi="Garamond" w:cs="Arial"/>
          <w:color w:val="000000"/>
          <w:shd w:val="clear" w:color="auto" w:fill="FFFFFF"/>
        </w:rPr>
        <w:t xml:space="preserve"> f. 17. </w:t>
      </w:r>
    </w:p>
  </w:footnote>
  <w:footnote w:id="185">
    <w:p w14:paraId="022DEC8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Hill (1571), f. 1v. </w:t>
      </w:r>
    </w:p>
  </w:footnote>
  <w:footnote w:id="186">
    <w:p w14:paraId="36D8DB2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Hill (1571), f. 1v</w:t>
      </w:r>
    </w:p>
  </w:footnote>
  <w:footnote w:id="187">
    <w:p w14:paraId="385D342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Ann Moss, </w:t>
      </w:r>
      <w:r w:rsidRPr="003B1071">
        <w:rPr>
          <w:rFonts w:ascii="Garamond" w:hAnsi="Garamond"/>
          <w:i/>
          <w:iCs/>
        </w:rPr>
        <w:t>Printed Commonplace-Books and the structure of Renaissance thought</w:t>
      </w:r>
      <w:r w:rsidRPr="003B1071">
        <w:rPr>
          <w:rFonts w:ascii="Garamond" w:hAnsi="Garamond"/>
        </w:rPr>
        <w:t xml:space="preserve"> (Oxford: Oxford University Press, 2002) for a further discussion of commonplacing. </w:t>
      </w:r>
    </w:p>
  </w:footnote>
  <w:footnote w:id="188">
    <w:p w14:paraId="6AA68EB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Hill</w:t>
      </w:r>
      <w:r w:rsidRPr="003B1071">
        <w:rPr>
          <w:rFonts w:ascii="Garamond" w:hAnsi="Garamond"/>
          <w:i/>
        </w:rPr>
        <w:t xml:space="preserve"> </w:t>
      </w:r>
      <w:r w:rsidRPr="003B1071">
        <w:rPr>
          <w:rFonts w:ascii="Garamond" w:hAnsi="Garamond"/>
        </w:rPr>
        <w:t xml:space="preserve">(1571), f. 5v. </w:t>
      </w:r>
    </w:p>
  </w:footnote>
  <w:footnote w:id="189">
    <w:p w14:paraId="12BEC8F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Hill (1571), f. 6v. </w:t>
      </w:r>
    </w:p>
  </w:footnote>
  <w:footnote w:id="190">
    <w:p w14:paraId="3C2FAF0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Hill (1571), f. 6v.  </w:t>
      </w:r>
    </w:p>
  </w:footnote>
  <w:footnote w:id="191">
    <w:p w14:paraId="0C5B55F9" w14:textId="763AC168" w:rsidR="00814479" w:rsidRPr="003B1071" w:rsidRDefault="00814479" w:rsidP="00162224">
      <w:pPr>
        <w:rPr>
          <w:rFonts w:ascii="Garamond" w:hAnsi="Garamond"/>
          <w:sz w:val="20"/>
          <w:szCs w:val="20"/>
        </w:rPr>
      </w:pPr>
      <w:r w:rsidRPr="003B1071">
        <w:rPr>
          <w:rStyle w:val="FootnoteReference"/>
          <w:rFonts w:ascii="Garamond" w:hAnsi="Garamond"/>
          <w:sz w:val="20"/>
          <w:szCs w:val="20"/>
        </w:rPr>
        <w:footnoteRef/>
      </w:r>
      <w:r w:rsidRPr="003B1071">
        <w:rPr>
          <w:rFonts w:ascii="Garamond" w:hAnsi="Garamond"/>
          <w:sz w:val="20"/>
          <w:szCs w:val="20"/>
        </w:rPr>
        <w:t xml:space="preserve"> For further information on the teachings of Paracelsus, see Ole Peter Grell,</w:t>
      </w:r>
      <w:r w:rsidRPr="003B1071">
        <w:rPr>
          <w:rFonts w:ascii="Garamond" w:hAnsi="Garamond"/>
          <w:i/>
          <w:sz w:val="20"/>
          <w:szCs w:val="20"/>
        </w:rPr>
        <w:t xml:space="preserve"> Paracelsus </w:t>
      </w:r>
      <w:r w:rsidRPr="003B1071">
        <w:rPr>
          <w:rFonts w:ascii="Garamond" w:hAnsi="Garamond"/>
          <w:iCs/>
          <w:sz w:val="20"/>
          <w:szCs w:val="20"/>
        </w:rPr>
        <w:t>(</w:t>
      </w:r>
      <w:r w:rsidRPr="003B1071">
        <w:rPr>
          <w:rFonts w:ascii="Garamond" w:hAnsi="Garamond"/>
          <w:sz w:val="20"/>
          <w:szCs w:val="20"/>
        </w:rPr>
        <w:t xml:space="preserve">Leiden: Brill, 1998). For the influence of Paracelsus in early modern England, see Allen George Debus, </w:t>
      </w:r>
      <w:r w:rsidRPr="003B1071">
        <w:rPr>
          <w:rFonts w:ascii="Garamond" w:hAnsi="Garamond"/>
          <w:i/>
          <w:iCs/>
          <w:sz w:val="20"/>
          <w:szCs w:val="20"/>
        </w:rPr>
        <w:t>The English Paracelsians</w:t>
      </w:r>
      <w:r w:rsidRPr="003B1071">
        <w:rPr>
          <w:rFonts w:ascii="Garamond" w:hAnsi="Garamond"/>
          <w:sz w:val="20"/>
          <w:szCs w:val="20"/>
        </w:rPr>
        <w:t xml:space="preserve"> (Chicago: University </w:t>
      </w:r>
      <w:r>
        <w:rPr>
          <w:rFonts w:ascii="Garamond" w:hAnsi="Garamond"/>
          <w:sz w:val="20"/>
          <w:szCs w:val="20"/>
        </w:rPr>
        <w:t>oflu</w:t>
      </w:r>
      <w:r w:rsidRPr="003B1071">
        <w:rPr>
          <w:rFonts w:ascii="Garamond" w:hAnsi="Garamond"/>
          <w:sz w:val="20"/>
          <w:szCs w:val="20"/>
        </w:rPr>
        <w:t xml:space="preserve"> Chicago Press, 1968).</w:t>
      </w:r>
    </w:p>
  </w:footnote>
  <w:footnote w:id="192">
    <w:p w14:paraId="26FDF98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Gerard T. Moran, ‘Conceptions of Time in Early Modern France: An Approach to the History of Collective Mentalities’ in </w:t>
      </w:r>
      <w:r w:rsidRPr="003B1071">
        <w:rPr>
          <w:rFonts w:ascii="Garamond" w:hAnsi="Garamond"/>
          <w:i/>
          <w:iCs/>
        </w:rPr>
        <w:t>The Sixteenth Century Journal,</w:t>
      </w:r>
      <w:r w:rsidRPr="003B1071">
        <w:rPr>
          <w:rFonts w:ascii="Garamond" w:hAnsi="Garamond"/>
        </w:rPr>
        <w:t xml:space="preserve"> 12.4 (Winter, 1981), 3-19.</w:t>
      </w:r>
    </w:p>
  </w:footnote>
  <w:footnote w:id="193">
    <w:p w14:paraId="785AF2E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Cited in Moran, pp. 3-4. </w:t>
      </w:r>
    </w:p>
  </w:footnote>
  <w:footnote w:id="194">
    <w:p w14:paraId="54267F7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Moran, p. 6. Moran identifies three ways of talking about time: modern, mixed, and traditional. </w:t>
      </w:r>
    </w:p>
  </w:footnote>
  <w:footnote w:id="195">
    <w:p w14:paraId="63F4940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Moran, p. 8.</w:t>
      </w:r>
    </w:p>
  </w:footnote>
  <w:footnote w:id="196">
    <w:p w14:paraId="38DFB94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Moran, p. 17 </w:t>
      </w:r>
    </w:p>
  </w:footnote>
  <w:footnote w:id="197">
    <w:p w14:paraId="79D44989" w14:textId="5FC7E251" w:rsidR="00814479" w:rsidRPr="003B1071" w:rsidRDefault="00814479" w:rsidP="00162224">
      <w:pPr>
        <w:pStyle w:val="FootnoteText"/>
        <w:rPr>
          <w:rFonts w:ascii="Garamond" w:hAnsi="Garamond"/>
        </w:rPr>
      </w:pPr>
      <w:r w:rsidRPr="003B1071">
        <w:rPr>
          <w:rStyle w:val="FootnoteReference"/>
          <w:rFonts w:ascii="Garamond" w:hAnsi="Garamond"/>
        </w:rPr>
        <w:footnoteRef/>
      </w:r>
      <w:r>
        <w:rPr>
          <w:rFonts w:ascii="Garamond" w:hAnsi="Garamond"/>
        </w:rPr>
        <w:t xml:space="preserve"> </w:t>
      </w:r>
      <w:r w:rsidRPr="003B1071">
        <w:rPr>
          <w:rFonts w:ascii="Garamond" w:hAnsi="Garamond"/>
        </w:rPr>
        <w:t xml:space="preserve">Keith Wrightson, Popular Senses of Past Time: dating events in the North Country, 1615-1631’ in </w:t>
      </w:r>
      <w:r w:rsidRPr="003B1071">
        <w:rPr>
          <w:rFonts w:ascii="Garamond" w:hAnsi="Garamond"/>
          <w:i/>
        </w:rPr>
        <w:t xml:space="preserve">Popular Culture and Political Agency in Early Modern England and Ireland </w:t>
      </w:r>
      <w:r w:rsidRPr="003B1071">
        <w:rPr>
          <w:rFonts w:ascii="Garamond" w:hAnsi="Garamond"/>
        </w:rPr>
        <w:t xml:space="preserve">edited by Michael Braddick and Keith Wrightson (Woodbridge: Boydell and Brewer, 2017), pp. 91-108 (pp. 91-2).  </w:t>
      </w:r>
    </w:p>
  </w:footnote>
  <w:footnote w:id="198">
    <w:p w14:paraId="6015FE0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Danforth (1647), ff. 7-8. </w:t>
      </w:r>
    </w:p>
  </w:footnote>
  <w:footnote w:id="199">
    <w:p w14:paraId="46C077D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John Johnson (1615), f. 2r. </w:t>
      </w:r>
    </w:p>
  </w:footnote>
  <w:footnote w:id="200">
    <w:p w14:paraId="60C3412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Smyth, ‘Almanacs’, p. 210. </w:t>
      </w:r>
    </w:p>
  </w:footnote>
  <w:footnote w:id="201">
    <w:p w14:paraId="3DA6AC1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Smyth, ‘Almanacs’, p. 213. </w:t>
      </w:r>
    </w:p>
  </w:footnote>
  <w:footnote w:id="202">
    <w:p w14:paraId="3E25AA8E" w14:textId="787B05A8"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r>
        <w:rPr>
          <w:rFonts w:ascii="Garamond" w:hAnsi="Garamond"/>
        </w:rPr>
        <w:t xml:space="preserve">Allestree (1628), </w:t>
      </w:r>
      <w:r>
        <w:rPr>
          <w:rFonts w:ascii="Garamond" w:eastAsia="Calibri" w:hAnsi="Garamond" w:cs="Arial"/>
        </w:rPr>
        <w:t>f</w:t>
      </w:r>
      <w:r w:rsidRPr="00ED3A05">
        <w:rPr>
          <w:rFonts w:ascii="Garamond" w:eastAsia="Calibri" w:hAnsi="Garamond" w:cs="Arial"/>
        </w:rPr>
        <w:t>.</w:t>
      </w:r>
      <w:r>
        <w:rPr>
          <w:rFonts w:ascii="Garamond" w:eastAsia="Calibri" w:hAnsi="Garamond" w:cs="Arial"/>
        </w:rPr>
        <w:t xml:space="preserve"> </w:t>
      </w:r>
      <w:r w:rsidRPr="00ED3A05">
        <w:rPr>
          <w:rFonts w:ascii="Garamond" w:eastAsia="Calibri" w:hAnsi="Garamond" w:cs="Arial"/>
        </w:rPr>
        <w:t>5r-6v</w:t>
      </w:r>
      <w:r>
        <w:rPr>
          <w:rFonts w:ascii="Garamond" w:eastAsia="Calibri" w:hAnsi="Garamond" w:cs="Arial"/>
        </w:rPr>
        <w:t>.</w:t>
      </w:r>
      <w:r w:rsidRPr="00ED3A05">
        <w:rPr>
          <w:rFonts w:ascii="Garamond" w:eastAsia="Calibri" w:hAnsi="Garamond" w:cs="Arial"/>
        </w:rPr>
        <w:t xml:space="preserve"> </w:t>
      </w:r>
      <w:r w:rsidRPr="003B1071">
        <w:rPr>
          <w:rFonts w:ascii="Garamond" w:hAnsi="Garamond"/>
        </w:rPr>
        <w:t xml:space="preserve">It is possible that this may be the same John Downes would rise to prominence in during the Civil War, becoming a zealous parliamentarian, and going on to try Charles I, although he called for Charles to be allowed to speak in his own defence, and later claimed that he had hoped that the trial would result in a settlement rather than Charles’s execution. However, the evidence of the annotations was not substantive enough to prove this definitively.  </w:t>
      </w:r>
    </w:p>
  </w:footnote>
  <w:footnote w:id="203">
    <w:p w14:paraId="460CD12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Allestree (1628), f. 7v.</w:t>
      </w:r>
    </w:p>
  </w:footnote>
  <w:footnote w:id="204">
    <w:p w14:paraId="74C03DD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Nagel and Wood, p. 9</w:t>
      </w:r>
    </w:p>
  </w:footnote>
  <w:footnote w:id="205">
    <w:p w14:paraId="0E10A923"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Serres, </w:t>
      </w:r>
      <w:r w:rsidRPr="003B1071">
        <w:rPr>
          <w:rFonts w:ascii="Garamond" w:hAnsi="Garamond"/>
          <w:i/>
          <w:iCs/>
          <w:lang w:val="fr-FR"/>
        </w:rPr>
        <w:t>Conversations,</w:t>
      </w:r>
      <w:r w:rsidRPr="003B1071">
        <w:rPr>
          <w:rFonts w:ascii="Garamond" w:hAnsi="Garamond"/>
          <w:lang w:val="fr-FR"/>
        </w:rPr>
        <w:t xml:space="preserve"> p. 60. </w:t>
      </w:r>
    </w:p>
  </w:footnote>
  <w:footnote w:id="206">
    <w:p w14:paraId="4AC0F49C" w14:textId="02B64A9C" w:rsidR="00814479" w:rsidRPr="003B1071" w:rsidRDefault="00814479" w:rsidP="00E012F6">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Allestree (1628), f. 11v, f. 12v. </w:t>
      </w:r>
    </w:p>
  </w:footnote>
  <w:footnote w:id="207">
    <w:p w14:paraId="0B306F86" w14:textId="77777777" w:rsidR="00814479" w:rsidRPr="003B1071" w:rsidRDefault="00814479" w:rsidP="00162224">
      <w:pPr>
        <w:pStyle w:val="FootnoteText"/>
        <w:rPr>
          <w:rFonts w:ascii="Garamond" w:hAnsi="Garamond"/>
          <w:i/>
          <w:iCs/>
        </w:rPr>
      </w:pPr>
      <w:r w:rsidRPr="003B1071">
        <w:rPr>
          <w:rStyle w:val="FootnoteReference"/>
          <w:rFonts w:ascii="Garamond" w:hAnsi="Garamond"/>
        </w:rPr>
        <w:footnoteRef/>
      </w:r>
      <w:r w:rsidRPr="003B1071">
        <w:rPr>
          <w:rFonts w:ascii="Garamond" w:hAnsi="Garamond"/>
        </w:rPr>
        <w:t xml:space="preserve"> Roger Lockyer, ‘Villiers, George, first duke of Buckingham (1592–1628)’, </w:t>
      </w:r>
      <w:r w:rsidRPr="003B1071">
        <w:rPr>
          <w:rFonts w:ascii="Garamond" w:hAnsi="Garamond"/>
          <w:i/>
          <w:iCs/>
        </w:rPr>
        <w:t>ODNB.</w:t>
      </w:r>
    </w:p>
  </w:footnote>
  <w:footnote w:id="208">
    <w:p w14:paraId="5C3331A2" w14:textId="77777777" w:rsidR="00814479" w:rsidRPr="003B1071" w:rsidRDefault="00814479" w:rsidP="00162224">
      <w:pPr>
        <w:pStyle w:val="FootnoteText"/>
        <w:rPr>
          <w:rFonts w:ascii="Garamond" w:hAnsi="Garamond"/>
          <w:i/>
          <w:iCs/>
        </w:rPr>
      </w:pPr>
      <w:r w:rsidRPr="003B1071">
        <w:rPr>
          <w:rStyle w:val="FootnoteReference"/>
          <w:rFonts w:ascii="Garamond" w:hAnsi="Garamond"/>
        </w:rPr>
        <w:footnoteRef/>
      </w:r>
      <w:r w:rsidRPr="003B1071">
        <w:rPr>
          <w:rFonts w:ascii="Garamond" w:hAnsi="Garamond"/>
        </w:rPr>
        <w:t xml:space="preserve"> John Gouws, ‘Greville, Fulke, first Baron Brooke of Beauchamps Court (1554–1628)’, </w:t>
      </w:r>
      <w:r w:rsidRPr="003B1071">
        <w:rPr>
          <w:rFonts w:ascii="Garamond" w:hAnsi="Garamond"/>
          <w:i/>
          <w:iCs/>
        </w:rPr>
        <w:t xml:space="preserve">ODNB. </w:t>
      </w:r>
    </w:p>
  </w:footnote>
  <w:footnote w:id="209">
    <w:p w14:paraId="3303F86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Smyth, ‘Almanacs’, p. 204</w:t>
      </w:r>
    </w:p>
  </w:footnote>
  <w:footnote w:id="210">
    <w:p w14:paraId="3A5D7E7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Nye, f. 7r. </w:t>
      </w:r>
    </w:p>
  </w:footnote>
  <w:footnote w:id="211">
    <w:p w14:paraId="2FCA003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Nye, f. 4v. </w:t>
      </w:r>
    </w:p>
  </w:footnote>
  <w:footnote w:id="212">
    <w:p w14:paraId="7376F50D" w14:textId="1757553F"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Nye, f. 7v. See </w:t>
      </w:r>
      <w:r w:rsidRPr="003B1071">
        <w:rPr>
          <w:rFonts w:ascii="Garamond" w:hAnsi="Garamond"/>
        </w:rPr>
        <w:fldChar w:fldCharType="begin"/>
      </w:r>
      <w:r w:rsidRPr="003B1071">
        <w:rPr>
          <w:rFonts w:ascii="Garamond" w:hAnsi="Garamond"/>
        </w:rPr>
        <w:instrText xml:space="preserve"> REF _Ref529305654 \h  \* MERGEFORMAT </w:instrText>
      </w:r>
      <w:r w:rsidRPr="003B1071">
        <w:rPr>
          <w:rFonts w:ascii="Garamond" w:hAnsi="Garamond"/>
        </w:rPr>
      </w:r>
      <w:r w:rsidRPr="003B1071">
        <w:rPr>
          <w:rFonts w:ascii="Garamond" w:hAnsi="Garamond"/>
        </w:rPr>
        <w:fldChar w:fldCharType="separate"/>
      </w:r>
      <w:r w:rsidRPr="003B1071">
        <w:rPr>
          <w:rFonts w:ascii="Garamond" w:hAnsi="Garamond"/>
        </w:rPr>
        <w:t xml:space="preserve">Figure </w:t>
      </w:r>
      <w:r w:rsidRPr="003B1071">
        <w:rPr>
          <w:rFonts w:ascii="Garamond" w:hAnsi="Garamond"/>
          <w:noProof/>
        </w:rPr>
        <w:t>14</w:t>
      </w:r>
      <w:r w:rsidRPr="003B1071">
        <w:rPr>
          <w:rFonts w:ascii="Garamond" w:hAnsi="Garamond"/>
        </w:rPr>
        <w:fldChar w:fldCharType="end"/>
      </w:r>
      <w:r w:rsidRPr="003B1071">
        <w:rPr>
          <w:rFonts w:ascii="Garamond" w:hAnsi="Garamond"/>
        </w:rPr>
        <w:t xml:space="preserve">. </w:t>
      </w:r>
    </w:p>
  </w:footnote>
  <w:footnote w:id="213">
    <w:p w14:paraId="35A3E0F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Nye, f. 9v. </w:t>
      </w:r>
    </w:p>
  </w:footnote>
  <w:footnote w:id="214">
    <w:p w14:paraId="6AFA5DA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Wood’s manuscript life-writing can be found in BL MS Haleian 540 and Bodleian MS Tanner 102 part 1, cited in Smyth, ‘Almanacs’, pp. 223-4. </w:t>
      </w:r>
    </w:p>
  </w:footnote>
  <w:footnote w:id="215">
    <w:p w14:paraId="21E7245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Smyth, ‘Almanacs’, pp. 223. </w:t>
      </w:r>
    </w:p>
  </w:footnote>
  <w:footnote w:id="216">
    <w:p w14:paraId="3B6AB7D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Pond (1650), f. 8. </w:t>
      </w:r>
    </w:p>
  </w:footnote>
  <w:footnote w:id="217">
    <w:p w14:paraId="081C55FB" w14:textId="77777777" w:rsidR="00814479" w:rsidRPr="00667CD5" w:rsidRDefault="00814479" w:rsidP="00162224">
      <w:pPr>
        <w:pStyle w:val="FootnoteText"/>
        <w:rPr>
          <w:rFonts w:ascii="Garamond" w:hAnsi="Garamond"/>
        </w:rPr>
      </w:pPr>
      <w:r w:rsidRPr="003B1071">
        <w:rPr>
          <w:rStyle w:val="FootnoteReference"/>
          <w:rFonts w:ascii="Garamond" w:hAnsi="Garamond"/>
        </w:rPr>
        <w:footnoteRef/>
      </w:r>
      <w:r w:rsidRPr="00667CD5">
        <w:rPr>
          <w:rFonts w:ascii="Garamond" w:hAnsi="Garamond"/>
        </w:rPr>
        <w:t xml:space="preserve"> Smyth ‘Almanacs’, pp. 228. </w:t>
      </w:r>
    </w:p>
  </w:footnote>
  <w:footnote w:id="218">
    <w:p w14:paraId="421B369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667CD5">
        <w:rPr>
          <w:rFonts w:ascii="Garamond" w:hAnsi="Garamond"/>
        </w:rPr>
        <w:t xml:space="preserve"> Gallen (1648), f. 55r. </w:t>
      </w:r>
      <w:r w:rsidRPr="003B1071">
        <w:rPr>
          <w:rFonts w:ascii="Garamond" w:hAnsi="Garamond"/>
        </w:rPr>
        <w:t>John Downes’ copy of Allestree’s almanac contains similar contracts, although for shorter spans of time; see Richard Allestree (1628), f. 8r.</w:t>
      </w:r>
    </w:p>
  </w:footnote>
  <w:footnote w:id="219">
    <w:p w14:paraId="290AA98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‘indenture, n.’ </w:t>
      </w:r>
      <w:r w:rsidRPr="003B1071">
        <w:rPr>
          <w:rFonts w:ascii="Garamond" w:hAnsi="Garamond"/>
          <w:i/>
          <w:iCs/>
        </w:rPr>
        <w:t>OED online</w:t>
      </w:r>
      <w:r w:rsidRPr="003B1071">
        <w:rPr>
          <w:rFonts w:ascii="Garamond" w:hAnsi="Garamond"/>
        </w:rPr>
        <w:t>, Oxford University Press.</w:t>
      </w:r>
    </w:p>
  </w:footnote>
  <w:footnote w:id="220">
    <w:p w14:paraId="19169C5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Brodie Waddell, ‘Writing History from Below: Chronicling and Record-Keeping in Early Modern England’ in </w:t>
      </w:r>
      <w:r w:rsidRPr="003B1071">
        <w:rPr>
          <w:rFonts w:ascii="Garamond" w:hAnsi="Garamond"/>
          <w:i/>
          <w:iCs/>
        </w:rPr>
        <w:t>History Workshop Journal</w:t>
      </w:r>
      <w:r w:rsidRPr="003B1071">
        <w:rPr>
          <w:rFonts w:ascii="Garamond" w:hAnsi="Garamond"/>
        </w:rPr>
        <w:t xml:space="preserve">, 85 (April 2018), 239–264 (p. 239., p. 248). The number of 900 is based on Henry French’s calculations.  </w:t>
      </w:r>
    </w:p>
  </w:footnote>
  <w:footnote w:id="221">
    <w:p w14:paraId="1378E94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Brotherton Library University of Leeds, MS 8, pp. 72–75, cited in Waddell, p. 247. </w:t>
      </w:r>
    </w:p>
  </w:footnote>
  <w:footnote w:id="222">
    <w:p w14:paraId="209A5F0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BLUL, MS 8, pp. 69, 83, cited in Waddell, p. 252. The penny pamphlet was </w:t>
      </w:r>
      <w:r w:rsidRPr="003B1071">
        <w:rPr>
          <w:rFonts w:ascii="Garamond" w:hAnsi="Garamond"/>
          <w:i/>
          <w:iCs/>
        </w:rPr>
        <w:t>A Full and True Relation Of the most Terrible and Dreadful Tempest</w:t>
      </w:r>
      <w:r w:rsidRPr="003B1071">
        <w:rPr>
          <w:rFonts w:ascii="Garamond" w:hAnsi="Garamond"/>
        </w:rPr>
        <w:t xml:space="preserve">, London, 1697. </w:t>
      </w:r>
    </w:p>
  </w:footnote>
  <w:footnote w:id="223">
    <w:p w14:paraId="5D3C4A4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Waddell, p. 252. </w:t>
      </w:r>
    </w:p>
  </w:footnote>
  <w:footnote w:id="224">
    <w:p w14:paraId="6CFABBF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Waddell, pp. 252-3. </w:t>
      </w:r>
    </w:p>
  </w:footnote>
  <w:footnote w:id="225">
    <w:p w14:paraId="6A08FC3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Brotherton Library University of Leeds, MS 9, p. 91, cited in Waddell p. 245. </w:t>
      </w:r>
    </w:p>
  </w:footnote>
  <w:footnote w:id="226">
    <w:p w14:paraId="75BFD68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Essex Record Office (ERO), D/DBM Z9, unpaginated (back flyleaf), cited in Waddell, p. 239. </w:t>
      </w:r>
    </w:p>
  </w:footnote>
  <w:footnote w:id="227">
    <w:p w14:paraId="5B95635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Lilly (1648). For the 1649 accounts see f. 59, and for 1739, see f. 32. </w:t>
      </w:r>
    </w:p>
  </w:footnote>
  <w:footnote w:id="228">
    <w:p w14:paraId="0D0FDA7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Cited in Chapman, ‘Marking Time’, p. 1257. </w:t>
      </w:r>
    </w:p>
  </w:footnote>
  <w:footnote w:id="229">
    <w:p w14:paraId="343DD2D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Chapman, ‘Marking Time’, p. 1260. </w:t>
      </w:r>
    </w:p>
  </w:footnote>
  <w:footnote w:id="230">
    <w:p w14:paraId="42CF3FE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Gil Harris, </w:t>
      </w:r>
      <w:r w:rsidRPr="003B1071">
        <w:rPr>
          <w:rFonts w:ascii="Garamond" w:hAnsi="Garamond"/>
          <w:i/>
          <w:iCs/>
        </w:rPr>
        <w:t xml:space="preserve">Untimely Matter, </w:t>
      </w:r>
      <w:r w:rsidRPr="003B1071">
        <w:rPr>
          <w:rFonts w:ascii="Garamond" w:hAnsi="Garamond"/>
        </w:rPr>
        <w:t xml:space="preserve">p. 12. </w:t>
      </w:r>
    </w:p>
  </w:footnote>
  <w:footnote w:id="231">
    <w:p w14:paraId="23D25B2E" w14:textId="6EB4931F"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Athanasius, ‘The Letter of Athanasius, Our Holy Father, Archbishop of Alexandria, To Marcellinus on the Interpretation of the Psalms’ in </w:t>
      </w:r>
      <w:r w:rsidRPr="003B1071">
        <w:rPr>
          <w:rFonts w:ascii="Garamond" w:hAnsi="Garamond"/>
          <w:i/>
          <w:iCs/>
        </w:rPr>
        <w:t xml:space="preserve">The Life of Antony and The Letter to Marcellinus, </w:t>
      </w:r>
      <w:r w:rsidRPr="003B1071">
        <w:rPr>
          <w:rFonts w:ascii="Garamond" w:hAnsi="Garamond"/>
        </w:rPr>
        <w:t>translated by Robert C. Gregg (New York, Paulist Press, 1980), pp. 101-129</w:t>
      </w:r>
      <w:r w:rsidR="00276F4F">
        <w:rPr>
          <w:rFonts w:ascii="Garamond" w:hAnsi="Garamond"/>
        </w:rPr>
        <w:t xml:space="preserve"> </w:t>
      </w:r>
      <w:r w:rsidRPr="003B1071">
        <w:rPr>
          <w:rFonts w:ascii="Garamond" w:hAnsi="Garamond"/>
        </w:rPr>
        <w:t>(p. 120). Emphasis my own.</w:t>
      </w:r>
    </w:p>
  </w:footnote>
  <w:footnote w:id="232">
    <w:p w14:paraId="5800AF4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Hannibal Hamlin, </w:t>
      </w:r>
      <w:r w:rsidRPr="003B1071">
        <w:rPr>
          <w:rFonts w:ascii="Garamond" w:hAnsi="Garamond"/>
          <w:i/>
        </w:rPr>
        <w:t>Psalm Culture and Early Modern English Literature</w:t>
      </w:r>
      <w:r w:rsidRPr="003B1071">
        <w:rPr>
          <w:rFonts w:ascii="Garamond" w:hAnsi="Garamond"/>
        </w:rPr>
        <w:t xml:space="preserve"> (Cambridge: Cambridge University Press, 2004), p. 1. </w:t>
      </w:r>
    </w:p>
  </w:footnote>
  <w:footnote w:id="233">
    <w:p w14:paraId="2D51202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for instance Brian Cummings’s argument that the ‘narrative history’ of the </w:t>
      </w:r>
      <w:r w:rsidRPr="003B1071">
        <w:rPr>
          <w:rFonts w:ascii="Garamond" w:hAnsi="Garamond"/>
          <w:i/>
          <w:iCs/>
        </w:rPr>
        <w:t>The Book of Common Prayer</w:t>
      </w:r>
      <w:r w:rsidRPr="003B1071">
        <w:rPr>
          <w:rFonts w:ascii="Garamond" w:hAnsi="Garamond"/>
        </w:rPr>
        <w:t xml:space="preserve"> is ‘in some ways identical with a history of the British Reformations’, indeed ‘a major protagonist in these conflicts… both a symptom of the Reformation and a major catalyst for further change’. Brian Cummings ed., </w:t>
      </w:r>
      <w:r w:rsidRPr="003B1071">
        <w:rPr>
          <w:rFonts w:ascii="Garamond" w:hAnsi="Garamond"/>
          <w:i/>
          <w:iCs/>
        </w:rPr>
        <w:t xml:space="preserve">The Book of Common Prayer: The texts of 1549, 1559, and 1662 </w:t>
      </w:r>
      <w:r w:rsidRPr="003B1071">
        <w:rPr>
          <w:rFonts w:ascii="Garamond" w:hAnsi="Garamond"/>
        </w:rPr>
        <w:t xml:space="preserve">(Oxford: Oxford University Press, 2011), p. xvii. </w:t>
      </w:r>
    </w:p>
  </w:footnote>
  <w:footnote w:id="234">
    <w:p w14:paraId="1C4AEDC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Hamlin, p. 1.  </w:t>
      </w:r>
    </w:p>
  </w:footnote>
  <w:footnote w:id="235">
    <w:p w14:paraId="018FD57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George Joye, </w:t>
      </w:r>
      <w:r w:rsidRPr="003B1071">
        <w:rPr>
          <w:rFonts w:ascii="Garamond" w:hAnsi="Garamond"/>
          <w:i/>
          <w:iCs/>
        </w:rPr>
        <w:t xml:space="preserve">The Psalter of David in Englishe purely and faithfully translated aftir the text of Feline </w:t>
      </w:r>
      <w:r w:rsidRPr="003B1071">
        <w:rPr>
          <w:rFonts w:ascii="Garamond" w:hAnsi="Garamond"/>
        </w:rPr>
        <w:t xml:space="preserve">(Antwerp: 1530), A1r-v. </w:t>
      </w:r>
    </w:p>
  </w:footnote>
  <w:footnote w:id="236">
    <w:p w14:paraId="05FBF8B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Rivkah Zim provides a ‘Guide to English Psalm versions printed 1530-1601 (excluding Bibles and Primers)’ listing 86 extant versions in the Appendix to her </w:t>
      </w:r>
      <w:r w:rsidRPr="003B1071">
        <w:rPr>
          <w:rFonts w:ascii="Garamond" w:hAnsi="Garamond"/>
          <w:i/>
          <w:iCs/>
        </w:rPr>
        <w:t xml:space="preserve">English Metrical Psalms: Poetry as Praise and Prayer, 1535-1601 </w:t>
      </w:r>
      <w:r w:rsidRPr="003B1071">
        <w:rPr>
          <w:rFonts w:ascii="Garamond" w:hAnsi="Garamond"/>
        </w:rPr>
        <w:t xml:space="preserve">(Cambridge: Cambridge University Press, 1987), pp. 211-259. </w:t>
      </w:r>
    </w:p>
  </w:footnote>
  <w:footnote w:id="237">
    <w:p w14:paraId="2E82365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Sir Philp Sidney and the Countess of Pembroke, Mary Sidney Herbert, </w:t>
      </w:r>
      <w:r w:rsidRPr="003B1071">
        <w:rPr>
          <w:rFonts w:ascii="Garamond" w:hAnsi="Garamond"/>
          <w:i/>
          <w:iCs/>
        </w:rPr>
        <w:t xml:space="preserve">The Psalms of Sir Philip Sidneyy and the Countess of Pembroke, </w:t>
      </w:r>
      <w:r w:rsidRPr="003B1071">
        <w:rPr>
          <w:rFonts w:ascii="Garamond" w:hAnsi="Garamond"/>
        </w:rPr>
        <w:t xml:space="preserve">ed. by J.C.A. Rathmell (New York: New York University Press, 1963), pp. ix-x.  </w:t>
      </w:r>
    </w:p>
  </w:footnote>
  <w:footnote w:id="238">
    <w:p w14:paraId="546B781C" w14:textId="207D057F" w:rsidR="00814479" w:rsidRPr="003B1071" w:rsidRDefault="00814479" w:rsidP="00162224">
      <w:pPr>
        <w:pStyle w:val="NoSpacing1"/>
        <w:rPr>
          <w:rFonts w:ascii="Garamond" w:hAnsi="Garamond"/>
          <w:sz w:val="20"/>
          <w:szCs w:val="20"/>
        </w:rPr>
      </w:pPr>
      <w:r w:rsidRPr="003B1071">
        <w:rPr>
          <w:rStyle w:val="FootnoteReference"/>
          <w:rFonts w:ascii="Garamond" w:hAnsi="Garamond"/>
          <w:sz w:val="20"/>
          <w:szCs w:val="20"/>
        </w:rPr>
        <w:footnoteRef/>
      </w:r>
      <w:r w:rsidRPr="003B1071">
        <w:rPr>
          <w:rFonts w:ascii="Garamond" w:hAnsi="Garamond"/>
          <w:sz w:val="20"/>
          <w:szCs w:val="20"/>
        </w:rPr>
        <w:t xml:space="preserve"> John Craig, ‘Psalms, groans and dogwhippers: the soundscape of worship in the English parish church, 1547-1642’, in </w:t>
      </w:r>
      <w:r w:rsidRPr="003B1071">
        <w:rPr>
          <w:rFonts w:ascii="Garamond" w:hAnsi="Garamond"/>
          <w:i/>
          <w:sz w:val="20"/>
          <w:szCs w:val="20"/>
        </w:rPr>
        <w:t xml:space="preserve">Sacred Space in Early Modern Europe, </w:t>
      </w:r>
      <w:r w:rsidRPr="003B1071">
        <w:rPr>
          <w:rFonts w:ascii="Garamond" w:hAnsi="Garamond"/>
          <w:sz w:val="20"/>
          <w:szCs w:val="20"/>
        </w:rPr>
        <w:t xml:space="preserve">ed. by Will Coaster and Andrew Spicer (Cambridge: Cambridge University Press, 2005), pp. 104-120 (p. 108). </w:t>
      </w:r>
    </w:p>
  </w:footnote>
  <w:footnote w:id="239">
    <w:p w14:paraId="39EBB62F" w14:textId="4BBB6CC0"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Zim. On the Psalms and church music see Robin R. Leaver, </w:t>
      </w:r>
      <w:r w:rsidRPr="003B1071">
        <w:rPr>
          <w:rFonts w:ascii="Garamond" w:hAnsi="Garamond"/>
          <w:i/>
          <w:iCs/>
        </w:rPr>
        <w:t xml:space="preserve">Goostly Psalms and Spirituall Songes:  English and Dutch Metrical Psalms from Coverdale to Utenhove, 1533-1566 </w:t>
      </w:r>
      <w:r w:rsidRPr="003B1071">
        <w:rPr>
          <w:rFonts w:ascii="Garamond" w:hAnsi="Garamond"/>
        </w:rPr>
        <w:t xml:space="preserve">(Oxford: Oxford University Press, 1991); for domestic music use see Christopher Marsh, </w:t>
      </w:r>
      <w:r w:rsidRPr="003B1071">
        <w:rPr>
          <w:rFonts w:ascii="Garamond" w:hAnsi="Garamond"/>
          <w:i/>
          <w:iCs/>
        </w:rPr>
        <w:t xml:space="preserve">Music and Society in Early Modern England </w:t>
      </w:r>
      <w:r w:rsidRPr="003B1071">
        <w:rPr>
          <w:rFonts w:ascii="Garamond" w:hAnsi="Garamond"/>
        </w:rPr>
        <w:t>(Cambridge: Cambridge University Press, 2010) especially pp. 391-452; for transatlantic use see Joanne Van der Woude, ‘</w:t>
      </w:r>
      <w:r>
        <w:rPr>
          <w:rFonts w:ascii="Garamond" w:hAnsi="Garamond"/>
        </w:rPr>
        <w:t>“</w:t>
      </w:r>
      <w:r w:rsidRPr="003B1071">
        <w:rPr>
          <w:rFonts w:ascii="Garamond" w:hAnsi="Garamond"/>
        </w:rPr>
        <w:t>How shall we sing the Lord’s word in a strange land?</w:t>
      </w:r>
      <w:r>
        <w:rPr>
          <w:rFonts w:ascii="Garamond" w:hAnsi="Garamond"/>
        </w:rPr>
        <w:t>”</w:t>
      </w:r>
      <w:r w:rsidRPr="003B1071">
        <w:rPr>
          <w:rFonts w:ascii="Garamond" w:hAnsi="Garamond"/>
        </w:rPr>
        <w:t xml:space="preserve"> A transatlantic study of </w:t>
      </w:r>
      <w:r w:rsidRPr="003B1071">
        <w:rPr>
          <w:rFonts w:ascii="Garamond" w:hAnsi="Garamond"/>
          <w:i/>
        </w:rPr>
        <w:t>the Bay Psalm Book</w:t>
      </w:r>
      <w:r w:rsidRPr="003B1071">
        <w:rPr>
          <w:rFonts w:ascii="Garamond" w:hAnsi="Garamond"/>
        </w:rPr>
        <w:t xml:space="preserve">’, in </w:t>
      </w:r>
      <w:r w:rsidRPr="003B1071">
        <w:rPr>
          <w:rFonts w:ascii="Garamond" w:hAnsi="Garamond"/>
          <w:i/>
          <w:iCs/>
        </w:rPr>
        <w:t>Psalms in the Early Modern World,</w:t>
      </w:r>
      <w:r w:rsidRPr="003B1071">
        <w:rPr>
          <w:rFonts w:ascii="Garamond" w:hAnsi="Garamond"/>
        </w:rPr>
        <w:t xml:space="preserve"> ed. by Linda Austern, Kari Boyd McBride, and David L. Orvis (Farnham: Ashgate, 2011), pp. 115-134.</w:t>
      </w:r>
    </w:p>
  </w:footnote>
  <w:footnote w:id="240">
    <w:p w14:paraId="22B8E95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r w:rsidRPr="003B1071">
        <w:rPr>
          <w:rFonts w:ascii="Garamond" w:hAnsi="Garamond"/>
          <w:i/>
        </w:rPr>
        <w:t>Renaissance Studies</w:t>
      </w:r>
      <w:r w:rsidRPr="003B1071">
        <w:rPr>
          <w:rFonts w:ascii="Garamond" w:hAnsi="Garamond"/>
        </w:rPr>
        <w:t xml:space="preserve">, 29/4 (September 2015), ed. by Ruth Ahnert and Beth Quitslund. </w:t>
      </w:r>
    </w:p>
  </w:footnote>
  <w:footnote w:id="241">
    <w:p w14:paraId="2ADD68C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Walter L. Reed, </w:t>
      </w:r>
      <w:r w:rsidRPr="003B1071">
        <w:rPr>
          <w:rFonts w:ascii="Garamond" w:hAnsi="Garamond"/>
          <w:i/>
        </w:rPr>
        <w:t>Dialogues of the Word: The bible as literature according to Bakhtin</w:t>
      </w:r>
      <w:r w:rsidRPr="003B1071">
        <w:rPr>
          <w:rFonts w:ascii="Garamond" w:hAnsi="Garamond"/>
        </w:rPr>
        <w:t xml:space="preserve"> (Oxford: Oxford University Press, 1993), pp. 62-3. </w:t>
      </w:r>
    </w:p>
  </w:footnote>
  <w:footnote w:id="242">
    <w:p w14:paraId="0B098BE3" w14:textId="5D4EDE3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The Sidney Psalter is difficult to date, as large portions of it were written at very different times. The Psalter circulated in various manuscripts amongst John Donne, Fulke Greville, Samuel Daniel, Ben Jonson, Joseph Hall, Sir John Harrington and many others, but was only published in 1823 in a very limited print run. The first forty-three Psalms are the work of Philip Sidney, and 44-150 are by Mary Sidney Herbert. It is believed that she wrote these between 1593 and 1600 and made extensive revisions to Sidney’s psalms. See Sidney, pp. xi-xv. For further discussion of the manuscripts of Sidney-Herbert’s psalms see G.F. Waller, ‘The Text and Manuscript Variants of the Countess of Pembroke's Psalms’ in </w:t>
      </w:r>
      <w:r w:rsidRPr="003B1071">
        <w:rPr>
          <w:rFonts w:ascii="Garamond" w:hAnsi="Garamond"/>
          <w:i/>
          <w:iCs/>
        </w:rPr>
        <w:t xml:space="preserve">Review of English Studies, </w:t>
      </w:r>
      <w:r w:rsidRPr="003B1071">
        <w:rPr>
          <w:rFonts w:ascii="Garamond" w:hAnsi="Garamond"/>
        </w:rPr>
        <w:t xml:space="preserve">26 (1975), 1-18. </w:t>
      </w:r>
    </w:p>
  </w:footnote>
  <w:footnote w:id="243">
    <w:p w14:paraId="08484508" w14:textId="77777777" w:rsidR="00814479" w:rsidRPr="003B1071" w:rsidRDefault="00814479" w:rsidP="00162224">
      <w:pPr>
        <w:rPr>
          <w:rFonts w:ascii="Garamond" w:hAnsi="Garamond"/>
          <w:sz w:val="20"/>
          <w:szCs w:val="20"/>
        </w:rPr>
      </w:pPr>
      <w:r w:rsidRPr="003B1071">
        <w:rPr>
          <w:rStyle w:val="FootnoteReference"/>
          <w:rFonts w:ascii="Garamond" w:hAnsi="Garamond"/>
          <w:sz w:val="20"/>
          <w:szCs w:val="20"/>
        </w:rPr>
        <w:footnoteRef/>
      </w:r>
      <w:r w:rsidRPr="003B1071">
        <w:rPr>
          <w:rFonts w:ascii="Garamond" w:hAnsi="Garamond"/>
          <w:sz w:val="20"/>
          <w:szCs w:val="20"/>
        </w:rPr>
        <w:t xml:space="preserve"> James Simpson has discussed how the interior voice offered by the psalmist was particularly useful for those facing political exile and imprisonment, see ‘The psalms and threat in sixteenth-century English court culture’ in </w:t>
      </w:r>
      <w:r w:rsidRPr="003B1071">
        <w:rPr>
          <w:rFonts w:ascii="Garamond" w:hAnsi="Garamond"/>
          <w:i/>
          <w:iCs/>
          <w:sz w:val="20"/>
          <w:szCs w:val="20"/>
        </w:rPr>
        <w:t xml:space="preserve">Renaissance Studies, </w:t>
      </w:r>
      <w:r w:rsidRPr="003B1071">
        <w:rPr>
          <w:rFonts w:ascii="Garamond" w:hAnsi="Garamond"/>
          <w:sz w:val="20"/>
          <w:szCs w:val="20"/>
        </w:rPr>
        <w:t xml:space="preserve">29/4 (September 2015), 576- 594. </w:t>
      </w:r>
    </w:p>
  </w:footnote>
  <w:footnote w:id="244">
    <w:p w14:paraId="578CF4E9" w14:textId="35AFBEB8"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Matthew Parker, </w:t>
      </w:r>
      <w:proofErr w:type="gramStart"/>
      <w:r w:rsidRPr="003B1071">
        <w:rPr>
          <w:rFonts w:ascii="Garamond" w:hAnsi="Garamond"/>
          <w:i/>
        </w:rPr>
        <w:t>The</w:t>
      </w:r>
      <w:proofErr w:type="gramEnd"/>
      <w:r w:rsidRPr="003B1071">
        <w:rPr>
          <w:rFonts w:ascii="Garamond" w:hAnsi="Garamond"/>
          <w:i/>
        </w:rPr>
        <w:t xml:space="preserve"> whole Psalter translated into English metre, which contayneth an hundreth and fifty Psalmes. The first quinquagene </w:t>
      </w:r>
      <w:r w:rsidRPr="003B1071">
        <w:rPr>
          <w:rFonts w:ascii="Garamond" w:hAnsi="Garamond"/>
        </w:rPr>
        <w:t>(London: 1567)</w:t>
      </w:r>
      <w:r>
        <w:rPr>
          <w:rFonts w:ascii="Garamond" w:hAnsi="Garamond"/>
        </w:rPr>
        <w:t>,</w:t>
      </w:r>
      <w:r w:rsidRPr="003B1071">
        <w:rPr>
          <w:rFonts w:ascii="Garamond" w:hAnsi="Garamond"/>
        </w:rPr>
        <w:t xml:space="preserve"> A3v.</w:t>
      </w:r>
    </w:p>
  </w:footnote>
  <w:footnote w:id="245">
    <w:p w14:paraId="559C608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r w:rsidRPr="003B1071">
        <w:rPr>
          <w:rFonts w:ascii="Garamond" w:hAnsi="Garamond"/>
          <w:iCs/>
        </w:rPr>
        <w:t xml:space="preserve">Parker, </w:t>
      </w:r>
      <w:r w:rsidRPr="003B1071">
        <w:rPr>
          <w:rFonts w:ascii="Garamond" w:hAnsi="Garamond"/>
          <w:i/>
          <w:iCs/>
        </w:rPr>
        <w:t xml:space="preserve">Psalter, </w:t>
      </w:r>
      <w:r w:rsidRPr="003B1071">
        <w:rPr>
          <w:rFonts w:ascii="Garamond" w:hAnsi="Garamond"/>
        </w:rPr>
        <w:t xml:space="preserve">f. 8r. </w:t>
      </w:r>
    </w:p>
  </w:footnote>
  <w:footnote w:id="246">
    <w:p w14:paraId="6B307C6D" w14:textId="1F80EC6A"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David J. Crankshaw and Alexandra Gillespie, ‘Parker, Matthew (1504–1575)’ in </w:t>
      </w:r>
      <w:r w:rsidRPr="003B1071">
        <w:rPr>
          <w:rFonts w:ascii="Garamond" w:hAnsi="Garamond"/>
          <w:i/>
        </w:rPr>
        <w:t xml:space="preserve">ODNB </w:t>
      </w:r>
      <w:r w:rsidRPr="003B1071">
        <w:rPr>
          <w:rFonts w:ascii="Garamond" w:hAnsi="Garamond"/>
        </w:rPr>
        <w:t>(Oxford: Oxford University Press</w:t>
      </w:r>
      <w:r>
        <w:rPr>
          <w:rFonts w:ascii="Garamond" w:hAnsi="Garamond"/>
        </w:rPr>
        <w:t>, 2004</w:t>
      </w:r>
      <w:r w:rsidRPr="003B1071">
        <w:rPr>
          <w:rFonts w:ascii="Garamond" w:hAnsi="Garamond"/>
        </w:rPr>
        <w:t>).</w:t>
      </w:r>
      <w:r w:rsidRPr="003B1071">
        <w:rPr>
          <w:rFonts w:ascii="Garamond" w:hAnsi="Garamond"/>
          <w:i/>
        </w:rPr>
        <w:t xml:space="preserve"> </w:t>
      </w:r>
    </w:p>
  </w:footnote>
  <w:footnote w:id="247">
    <w:p w14:paraId="3E2249D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Matthew Parker, </w:t>
      </w:r>
      <w:r w:rsidRPr="003B1071">
        <w:rPr>
          <w:rFonts w:ascii="Garamond" w:hAnsi="Garamond"/>
          <w:i/>
          <w:iCs/>
        </w:rPr>
        <w:t xml:space="preserve">Correspondence </w:t>
      </w:r>
      <w:r w:rsidRPr="003B1071">
        <w:rPr>
          <w:rFonts w:ascii="Garamond" w:hAnsi="Garamond"/>
        </w:rPr>
        <w:t>(Cambridge: Cambridge University Press, 1853),</w:t>
      </w:r>
      <w:r w:rsidRPr="003B1071">
        <w:rPr>
          <w:rFonts w:ascii="Garamond" w:hAnsi="Garamond"/>
          <w:i/>
          <w:iCs/>
        </w:rPr>
        <w:t xml:space="preserve"> </w:t>
      </w:r>
      <w:r w:rsidRPr="003B1071">
        <w:rPr>
          <w:rFonts w:ascii="Garamond" w:hAnsi="Garamond"/>
          <w:iCs/>
        </w:rPr>
        <w:t>p.</w:t>
      </w:r>
      <w:r w:rsidRPr="003B1071">
        <w:rPr>
          <w:rFonts w:ascii="Garamond" w:hAnsi="Garamond"/>
          <w:i/>
          <w:iCs/>
        </w:rPr>
        <w:t xml:space="preserve"> </w:t>
      </w:r>
      <w:r w:rsidRPr="003B1071">
        <w:rPr>
          <w:rFonts w:ascii="Garamond" w:hAnsi="Garamond"/>
        </w:rPr>
        <w:t xml:space="preserve">viii. </w:t>
      </w:r>
    </w:p>
  </w:footnote>
  <w:footnote w:id="248">
    <w:p w14:paraId="4476F09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Parker claimed himself that he published the psalter due to the urging of his friends, which may or may not be contradicted by the fact that an early manuscript draft shows how the psalms were adapted ‘for use by a congregation in corporate worship’ London, Inner Temple Library, misc. MS 36, discussed in Nancy Claire Bjorklund, ‘Matthew Parker and the reform of the English church during the reigns of Henry VIII and Edward VI’ (unpublished Doctoral dissertation, University of California, Irvine, 1987) (online ed.). </w:t>
      </w:r>
    </w:p>
  </w:footnote>
  <w:footnote w:id="249">
    <w:p w14:paraId="21F932B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Crankshaw and Gillespie. </w:t>
      </w:r>
    </w:p>
  </w:footnote>
  <w:footnote w:id="250">
    <w:p w14:paraId="701A759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Parker, </w:t>
      </w:r>
      <w:r w:rsidRPr="003B1071">
        <w:rPr>
          <w:rFonts w:ascii="Garamond" w:hAnsi="Garamond"/>
          <w:i/>
          <w:iCs/>
        </w:rPr>
        <w:t xml:space="preserve">Correspondence, </w:t>
      </w:r>
      <w:r w:rsidRPr="003B1071">
        <w:rPr>
          <w:rFonts w:ascii="Garamond" w:hAnsi="Garamond"/>
        </w:rPr>
        <w:t xml:space="preserve">p. 336. </w:t>
      </w:r>
    </w:p>
  </w:footnote>
  <w:footnote w:id="251">
    <w:p w14:paraId="421EBC2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Parker, </w:t>
      </w:r>
      <w:r w:rsidRPr="003B1071">
        <w:rPr>
          <w:rFonts w:ascii="Garamond" w:hAnsi="Garamond"/>
          <w:i/>
          <w:iCs/>
        </w:rPr>
        <w:t xml:space="preserve">Correspondence, </w:t>
      </w:r>
      <w:r w:rsidRPr="003B1071">
        <w:rPr>
          <w:rFonts w:ascii="Garamond" w:hAnsi="Garamond"/>
        </w:rPr>
        <w:t xml:space="preserve">p. 336. </w:t>
      </w:r>
    </w:p>
  </w:footnote>
  <w:footnote w:id="252">
    <w:p w14:paraId="3026411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Cited in David Norton, </w:t>
      </w:r>
      <w:r w:rsidRPr="003B1071">
        <w:rPr>
          <w:rFonts w:ascii="Garamond" w:hAnsi="Garamond"/>
          <w:i/>
          <w:iCs/>
        </w:rPr>
        <w:t xml:space="preserve">A history of the Bible as literature: Vol I, from antiquity to 1700 </w:t>
      </w:r>
      <w:r w:rsidRPr="003B1071">
        <w:rPr>
          <w:rFonts w:ascii="Garamond" w:hAnsi="Garamond"/>
          <w:iCs/>
        </w:rPr>
        <w:t>(Cambridge: Cambridge University Press, 1993)</w:t>
      </w:r>
      <w:r w:rsidRPr="003B1071">
        <w:rPr>
          <w:rFonts w:ascii="Garamond" w:hAnsi="Garamond"/>
        </w:rPr>
        <w:t>, p. 35.</w:t>
      </w:r>
    </w:p>
  </w:footnote>
  <w:footnote w:id="253">
    <w:p w14:paraId="469C36B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Cited in Norton, p. 38. </w:t>
      </w:r>
    </w:p>
  </w:footnote>
  <w:footnote w:id="254">
    <w:p w14:paraId="71ED0EF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Norton, p. 118. </w:t>
      </w:r>
    </w:p>
  </w:footnote>
  <w:footnote w:id="255">
    <w:p w14:paraId="2E64ABF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Hamlin, p. 10. </w:t>
      </w:r>
    </w:p>
  </w:footnote>
  <w:footnote w:id="256">
    <w:p w14:paraId="67261B7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M.M. Bakhtin, </w:t>
      </w:r>
      <w:r w:rsidRPr="003B1071">
        <w:rPr>
          <w:rFonts w:ascii="Garamond" w:hAnsi="Garamond"/>
          <w:i/>
          <w:iCs/>
        </w:rPr>
        <w:t xml:space="preserve">The Dialogic Imagination: Four Essays </w:t>
      </w:r>
      <w:r w:rsidRPr="003B1071">
        <w:rPr>
          <w:rFonts w:ascii="Garamond" w:hAnsi="Garamond"/>
        </w:rPr>
        <w:t>(Austin: University of Texas Press, 1990) p. 14.</w:t>
      </w:r>
    </w:p>
  </w:footnote>
  <w:footnote w:id="257">
    <w:p w14:paraId="3BF7896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Donne, </w:t>
      </w:r>
      <w:r w:rsidRPr="003B1071">
        <w:rPr>
          <w:rFonts w:ascii="Garamond" w:hAnsi="Garamond"/>
          <w:i/>
        </w:rPr>
        <w:t>Sermons</w:t>
      </w:r>
      <w:r w:rsidRPr="003B1071">
        <w:rPr>
          <w:rFonts w:ascii="Garamond" w:hAnsi="Garamond"/>
        </w:rPr>
        <w:t xml:space="preserve">, VII.1. p. 51. </w:t>
      </w:r>
    </w:p>
  </w:footnote>
  <w:footnote w:id="258">
    <w:p w14:paraId="2260107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This was an error also made in </w:t>
      </w:r>
      <w:r w:rsidRPr="003B1071">
        <w:rPr>
          <w:rFonts w:ascii="Garamond" w:hAnsi="Garamond"/>
          <w:i/>
        </w:rPr>
        <w:t>The Great Bible</w:t>
      </w:r>
      <w:r w:rsidRPr="003B1071">
        <w:rPr>
          <w:rFonts w:ascii="Garamond" w:hAnsi="Garamond"/>
        </w:rPr>
        <w:t xml:space="preserve"> (London: 1593). </w:t>
      </w:r>
    </w:p>
  </w:footnote>
  <w:footnote w:id="259">
    <w:p w14:paraId="5A644DFD" w14:textId="2FFA71C1"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David Daniell, </w:t>
      </w:r>
      <w:r w:rsidRPr="003B1071">
        <w:rPr>
          <w:rFonts w:ascii="Garamond" w:hAnsi="Garamond"/>
          <w:i/>
          <w:iCs/>
        </w:rPr>
        <w:t xml:space="preserve">Tyndale's New Testament </w:t>
      </w:r>
      <w:r w:rsidRPr="003B1071">
        <w:rPr>
          <w:rFonts w:ascii="Garamond" w:hAnsi="Garamond"/>
          <w:iCs/>
        </w:rPr>
        <w:t>(</w:t>
      </w:r>
      <w:r w:rsidRPr="003B1071">
        <w:rPr>
          <w:rFonts w:ascii="Garamond" w:hAnsi="Garamond"/>
        </w:rPr>
        <w:t>New Haven: Yale University Press, 1989)</w:t>
      </w:r>
      <w:r>
        <w:rPr>
          <w:rFonts w:ascii="Garamond" w:hAnsi="Garamond"/>
        </w:rPr>
        <w:t>,</w:t>
      </w:r>
      <w:r w:rsidRPr="003B1071">
        <w:rPr>
          <w:rFonts w:ascii="Garamond" w:hAnsi="Garamond"/>
        </w:rPr>
        <w:t xml:space="preserve"> p. xii. </w:t>
      </w:r>
    </w:p>
  </w:footnote>
  <w:footnote w:id="260">
    <w:p w14:paraId="5510DBEB" w14:textId="3AA75111"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Lori Anne Ferrell, ‘The Church of England and the English Bible, 1559-1640’ in </w:t>
      </w:r>
      <w:r w:rsidRPr="003B1071">
        <w:rPr>
          <w:rFonts w:ascii="Garamond" w:hAnsi="Garamond"/>
          <w:i/>
          <w:iCs/>
        </w:rPr>
        <w:t>The Oxford Handbook of the Bible in Early Modern England, c.1530-1700</w:t>
      </w:r>
      <w:r w:rsidR="008F16FC">
        <w:rPr>
          <w:rFonts w:ascii="Garamond" w:hAnsi="Garamond"/>
          <w:i/>
          <w:iCs/>
        </w:rPr>
        <w:t>,</w:t>
      </w:r>
      <w:r>
        <w:rPr>
          <w:rFonts w:ascii="Garamond" w:hAnsi="Garamond"/>
          <w:i/>
          <w:iCs/>
        </w:rPr>
        <w:t xml:space="preserve"> </w:t>
      </w:r>
      <w:r>
        <w:rPr>
          <w:rFonts w:ascii="Garamond" w:hAnsi="Garamond"/>
          <w:iCs/>
        </w:rPr>
        <w:t>ed. by Kevin Kileen et al.</w:t>
      </w:r>
      <w:r w:rsidRPr="003B1071">
        <w:rPr>
          <w:rFonts w:ascii="Garamond" w:hAnsi="Garamond"/>
          <w:i/>
          <w:iCs/>
        </w:rPr>
        <w:t xml:space="preserve"> </w:t>
      </w:r>
      <w:r w:rsidRPr="003B1071">
        <w:rPr>
          <w:rFonts w:ascii="Garamond" w:hAnsi="Garamond"/>
        </w:rPr>
        <w:t>(Oxford: Oxford University Press, 2015),</w:t>
      </w:r>
      <w:r w:rsidRPr="003B1071">
        <w:rPr>
          <w:rFonts w:ascii="Garamond" w:hAnsi="Garamond"/>
          <w:i/>
          <w:iCs/>
        </w:rPr>
        <w:t xml:space="preserve"> </w:t>
      </w:r>
      <w:r w:rsidRPr="003B1071">
        <w:rPr>
          <w:rFonts w:ascii="Garamond" w:hAnsi="Garamond"/>
        </w:rPr>
        <w:t xml:space="preserve">pp. 261-271 (pp. 267-8). </w:t>
      </w:r>
    </w:p>
  </w:footnote>
  <w:footnote w:id="261">
    <w:p w14:paraId="02D1ADA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Gerald Hammond, </w:t>
      </w:r>
      <w:r w:rsidRPr="003B1071">
        <w:rPr>
          <w:rFonts w:ascii="Garamond" w:hAnsi="Garamond"/>
          <w:i/>
          <w:iCs/>
        </w:rPr>
        <w:t>The Making of the English Bible</w:t>
      </w:r>
      <w:r w:rsidRPr="003B1071">
        <w:rPr>
          <w:rFonts w:ascii="Garamond" w:hAnsi="Garamond"/>
        </w:rPr>
        <w:t xml:space="preserve"> (Manchester: Carcanet New Press, 1982) pp. 142-3. </w:t>
      </w:r>
    </w:p>
  </w:footnote>
  <w:footnote w:id="262">
    <w:p w14:paraId="40FE9224" w14:textId="534F2816" w:rsidR="00814479" w:rsidRPr="003B1071" w:rsidRDefault="00814479" w:rsidP="00162224">
      <w:pPr>
        <w:pStyle w:val="NoSpacing1"/>
        <w:rPr>
          <w:rFonts w:ascii="Garamond" w:hAnsi="Garamond"/>
          <w:sz w:val="20"/>
          <w:szCs w:val="20"/>
        </w:rPr>
      </w:pPr>
      <w:r w:rsidRPr="003B1071">
        <w:rPr>
          <w:rStyle w:val="FootnoteReference"/>
          <w:rFonts w:ascii="Garamond" w:hAnsi="Garamond"/>
          <w:sz w:val="20"/>
          <w:szCs w:val="20"/>
        </w:rPr>
        <w:footnoteRef/>
      </w:r>
      <w:r w:rsidRPr="003B1071">
        <w:rPr>
          <w:rFonts w:ascii="Garamond" w:hAnsi="Garamond"/>
          <w:sz w:val="20"/>
          <w:szCs w:val="20"/>
        </w:rPr>
        <w:t xml:space="preserve"> Parker, ‘Arch Bishop Parker’s preface to the Bible’ in </w:t>
      </w:r>
      <w:r w:rsidRPr="003B1071">
        <w:rPr>
          <w:rFonts w:ascii="Garamond" w:hAnsi="Garamond"/>
          <w:i/>
          <w:sz w:val="20"/>
          <w:szCs w:val="20"/>
        </w:rPr>
        <w:t xml:space="preserve">The Fathers of the English Church, </w:t>
      </w:r>
      <w:r w:rsidRPr="003B1071">
        <w:rPr>
          <w:rFonts w:ascii="Garamond" w:hAnsi="Garamond"/>
          <w:sz w:val="20"/>
          <w:szCs w:val="20"/>
        </w:rPr>
        <w:t>Vol. VIII (London: John Hatchard, 1812)</w:t>
      </w:r>
      <w:r>
        <w:rPr>
          <w:rFonts w:ascii="Garamond" w:hAnsi="Garamond"/>
          <w:sz w:val="20"/>
          <w:szCs w:val="20"/>
        </w:rPr>
        <w:t>,</w:t>
      </w:r>
      <w:r w:rsidRPr="003B1071">
        <w:rPr>
          <w:rFonts w:ascii="Garamond" w:hAnsi="Garamond"/>
          <w:sz w:val="20"/>
          <w:szCs w:val="20"/>
        </w:rPr>
        <w:t xml:space="preserve"> pp. 145-170, p. 154, p. 162. </w:t>
      </w:r>
    </w:p>
  </w:footnote>
  <w:footnote w:id="263">
    <w:p w14:paraId="01393FB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Parker, </w:t>
      </w:r>
      <w:r w:rsidRPr="003B1071">
        <w:rPr>
          <w:rFonts w:ascii="Garamond" w:hAnsi="Garamond"/>
          <w:i/>
        </w:rPr>
        <w:t xml:space="preserve">Psalter, </w:t>
      </w:r>
      <w:r w:rsidRPr="003B1071">
        <w:rPr>
          <w:rFonts w:ascii="Garamond" w:hAnsi="Garamond"/>
        </w:rPr>
        <w:t xml:space="preserve">f. 22r.  Scott-Robinson makes a similar argument, see p. 1082. </w:t>
      </w:r>
    </w:p>
  </w:footnote>
  <w:footnote w:id="264">
    <w:p w14:paraId="0C4DB7F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Thapar, p. 29. </w:t>
      </w:r>
    </w:p>
  </w:footnote>
  <w:footnote w:id="265">
    <w:p w14:paraId="1C96E42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r w:rsidRPr="003B1071">
        <w:rPr>
          <w:rFonts w:ascii="Garamond" w:hAnsi="Garamond"/>
          <w:i/>
          <w:iCs/>
        </w:rPr>
        <w:t xml:space="preserve">The Holi Bible </w:t>
      </w:r>
      <w:r w:rsidRPr="003B1071">
        <w:rPr>
          <w:rFonts w:ascii="Garamond" w:hAnsi="Garamond"/>
        </w:rPr>
        <w:t xml:space="preserve">(1572), f. 3r. </w:t>
      </w:r>
    </w:p>
  </w:footnote>
  <w:footnote w:id="266">
    <w:p w14:paraId="63BABF2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r w:rsidRPr="003B1071">
        <w:rPr>
          <w:rFonts w:ascii="Garamond" w:hAnsi="Garamond"/>
          <w:i/>
          <w:iCs/>
        </w:rPr>
        <w:t xml:space="preserve">The Holie Bible </w:t>
      </w:r>
      <w:r w:rsidRPr="003B1071">
        <w:rPr>
          <w:rFonts w:ascii="Garamond" w:hAnsi="Garamond"/>
        </w:rPr>
        <w:t xml:space="preserve">(1568), f. 12r. </w:t>
      </w:r>
    </w:p>
  </w:footnote>
  <w:footnote w:id="267">
    <w:p w14:paraId="0E45539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bookmarkStart w:id="20" w:name="_Hlk532642459"/>
      <w:r w:rsidRPr="003B1071">
        <w:rPr>
          <w:rFonts w:ascii="Garamond" w:hAnsi="Garamond"/>
          <w:i/>
          <w:iCs/>
        </w:rPr>
        <w:t xml:space="preserve">The Holie Bible </w:t>
      </w:r>
      <w:r w:rsidRPr="003B1071">
        <w:rPr>
          <w:rFonts w:ascii="Garamond" w:hAnsi="Garamond"/>
        </w:rPr>
        <w:t>(1568)</w:t>
      </w:r>
      <w:bookmarkEnd w:id="20"/>
      <w:r w:rsidRPr="003B1071">
        <w:rPr>
          <w:rFonts w:ascii="Garamond" w:hAnsi="Garamond"/>
        </w:rPr>
        <w:t xml:space="preserve">, f. 12r. </w:t>
      </w:r>
    </w:p>
  </w:footnote>
  <w:footnote w:id="268">
    <w:p w14:paraId="14A3A99C" w14:textId="77777777" w:rsidR="00814479" w:rsidRPr="003B1071" w:rsidRDefault="00814479" w:rsidP="00162224">
      <w:pPr>
        <w:pStyle w:val="FootnoteText"/>
        <w:rPr>
          <w:rFonts w:ascii="Garamond" w:hAnsi="Garamond"/>
          <w:i/>
          <w:iCs/>
        </w:rPr>
      </w:pPr>
      <w:r w:rsidRPr="003B1071">
        <w:rPr>
          <w:rStyle w:val="FootnoteReference"/>
          <w:rFonts w:ascii="Garamond" w:hAnsi="Garamond"/>
        </w:rPr>
        <w:footnoteRef/>
      </w:r>
      <w:r w:rsidRPr="003B1071">
        <w:rPr>
          <w:rFonts w:ascii="Garamond" w:hAnsi="Garamond"/>
        </w:rPr>
        <w:t xml:space="preserve"> </w:t>
      </w:r>
      <w:r w:rsidRPr="003B1071">
        <w:rPr>
          <w:rFonts w:ascii="Garamond" w:hAnsi="Garamond"/>
          <w:i/>
          <w:iCs/>
        </w:rPr>
        <w:t xml:space="preserve">The Holie Bible </w:t>
      </w:r>
      <w:r w:rsidRPr="003B1071">
        <w:rPr>
          <w:rFonts w:ascii="Garamond" w:hAnsi="Garamond"/>
        </w:rPr>
        <w:t>(1568), f. 13r.</w:t>
      </w:r>
    </w:p>
  </w:footnote>
  <w:footnote w:id="269">
    <w:p w14:paraId="65AE878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r w:rsidRPr="003B1071">
        <w:rPr>
          <w:rFonts w:ascii="Garamond" w:hAnsi="Garamond"/>
          <w:i/>
          <w:iCs/>
        </w:rPr>
        <w:t xml:space="preserve">The Holie Bible </w:t>
      </w:r>
      <w:r w:rsidRPr="003B1071">
        <w:rPr>
          <w:rFonts w:ascii="Garamond" w:hAnsi="Garamond"/>
        </w:rPr>
        <w:t xml:space="preserve">(1568), f. 2v and ff. 5r-10v. </w:t>
      </w:r>
    </w:p>
  </w:footnote>
  <w:footnote w:id="270">
    <w:p w14:paraId="73925FA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w:t>
      </w:r>
      <w:bookmarkStart w:id="21" w:name="_Hlk532643087"/>
      <w:proofErr w:type="gramStart"/>
      <w:r w:rsidRPr="003B1071">
        <w:rPr>
          <w:rFonts w:ascii="Garamond" w:hAnsi="Garamond"/>
          <w:i/>
          <w:iCs/>
        </w:rPr>
        <w:t>The</w:t>
      </w:r>
      <w:proofErr w:type="gramEnd"/>
      <w:r w:rsidRPr="003B1071">
        <w:rPr>
          <w:rFonts w:ascii="Garamond" w:hAnsi="Garamond"/>
          <w:i/>
          <w:iCs/>
        </w:rPr>
        <w:t xml:space="preserve"> Holy Bible </w:t>
      </w:r>
      <w:r w:rsidRPr="003B1071">
        <w:rPr>
          <w:rFonts w:ascii="Garamond" w:hAnsi="Garamond"/>
        </w:rPr>
        <w:t xml:space="preserve">(1602), </w:t>
      </w:r>
      <w:bookmarkEnd w:id="21"/>
      <w:r w:rsidRPr="003B1071">
        <w:rPr>
          <w:rFonts w:ascii="Garamond" w:hAnsi="Garamond"/>
        </w:rPr>
        <w:t xml:space="preserve">ff. 2r-9r. </w:t>
      </w:r>
    </w:p>
  </w:footnote>
  <w:footnote w:id="271">
    <w:p w14:paraId="516C24B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Crankshaw and Gillsepie. </w:t>
      </w:r>
    </w:p>
  </w:footnote>
  <w:footnote w:id="272">
    <w:p w14:paraId="3CC9705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Parker, </w:t>
      </w:r>
      <w:r w:rsidRPr="003B1071">
        <w:rPr>
          <w:rFonts w:ascii="Garamond" w:hAnsi="Garamond"/>
          <w:i/>
          <w:iCs/>
        </w:rPr>
        <w:t xml:space="preserve">Correspondence, </w:t>
      </w:r>
      <w:r w:rsidRPr="003B1071">
        <w:rPr>
          <w:rFonts w:ascii="Garamond" w:hAnsi="Garamond"/>
        </w:rPr>
        <w:t>p. 254.</w:t>
      </w:r>
    </w:p>
  </w:footnote>
  <w:footnote w:id="273">
    <w:p w14:paraId="16E7E77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Scott Robinson, p. 1066. </w:t>
      </w:r>
    </w:p>
  </w:footnote>
  <w:footnote w:id="274">
    <w:p w14:paraId="59A69D1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Scott Robinson, p. 1077. </w:t>
      </w:r>
    </w:p>
  </w:footnote>
  <w:footnote w:id="275">
    <w:p w14:paraId="67E62AD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Cited in Scott Robinson, p. 1077. </w:t>
      </w:r>
    </w:p>
  </w:footnote>
  <w:footnote w:id="276">
    <w:p w14:paraId="04056022"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Scott Robinson, p. 1064.  </w:t>
      </w:r>
    </w:p>
  </w:footnote>
  <w:footnote w:id="277">
    <w:p w14:paraId="5D45A169"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Parker, </w:t>
      </w:r>
      <w:r w:rsidRPr="003B1071">
        <w:rPr>
          <w:rFonts w:ascii="Garamond" w:hAnsi="Garamond"/>
          <w:i/>
          <w:iCs/>
          <w:lang w:val="fr-FR"/>
        </w:rPr>
        <w:t xml:space="preserve">Correspondence, </w:t>
      </w:r>
      <w:r w:rsidRPr="003B1071">
        <w:rPr>
          <w:rFonts w:ascii="Garamond" w:hAnsi="Garamond"/>
          <w:lang w:val="fr-FR"/>
        </w:rPr>
        <w:t xml:space="preserve">p. 253. </w:t>
      </w:r>
    </w:p>
  </w:footnote>
  <w:footnote w:id="278">
    <w:p w14:paraId="534E27AA"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Scott Robinson, p. 1061. </w:t>
      </w:r>
    </w:p>
  </w:footnote>
  <w:footnote w:id="279">
    <w:p w14:paraId="78547B86" w14:textId="6AEA986F" w:rsidR="00814479" w:rsidRPr="00667CD5"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iCs/>
          <w:lang w:val="fr-FR"/>
        </w:rPr>
        <w:t xml:space="preserve">Sermons, </w:t>
      </w:r>
      <w:r w:rsidRPr="003B1071">
        <w:rPr>
          <w:rFonts w:ascii="Garamond" w:hAnsi="Garamond"/>
          <w:lang w:val="fr-FR"/>
        </w:rPr>
        <w:t>VII.1 p. 60.</w:t>
      </w:r>
      <w:r>
        <w:rPr>
          <w:rFonts w:ascii="Garamond" w:hAnsi="Garamond"/>
          <w:lang w:val="fr-FR"/>
        </w:rPr>
        <w:t xml:space="preserve"> </w:t>
      </w:r>
      <w:r w:rsidRPr="00667CD5">
        <w:rPr>
          <w:rFonts w:ascii="Garamond" w:hAnsi="Garamond"/>
        </w:rPr>
        <w:t xml:space="preserve">Donne is here usin Catholic to mean </w:t>
      </w:r>
      <w:r w:rsidRPr="00667CD5">
        <w:rPr>
          <w:rFonts w:ascii="Garamond" w:hAnsi="Garamond"/>
          <w:i/>
        </w:rPr>
        <w:t xml:space="preserve">universal. </w:t>
      </w:r>
    </w:p>
  </w:footnote>
  <w:footnote w:id="280">
    <w:p w14:paraId="5C13AA8E" w14:textId="7748AF14"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A.M. Guite, ‘The Art of Memory and the Art of Salvation: the Centrality of Memory in the Sermons of John Donne and Lancelot Andrewes’ in </w:t>
      </w:r>
      <w:r w:rsidRPr="003B1071">
        <w:rPr>
          <w:rFonts w:ascii="Garamond" w:hAnsi="Garamond"/>
          <w:i/>
          <w:iCs/>
        </w:rPr>
        <w:t xml:space="preserve">The Seventeenth Century, </w:t>
      </w:r>
      <w:r w:rsidRPr="003B1071">
        <w:rPr>
          <w:rFonts w:ascii="Garamond" w:hAnsi="Garamond"/>
        </w:rPr>
        <w:t xml:space="preserve">4.1 (1989), 1-17 (pp. 11-13) on Donne’s interest in the patterns of memory and Chapter IV in this thesis for further discussion. </w:t>
      </w:r>
    </w:p>
  </w:footnote>
  <w:footnote w:id="281">
    <w:p w14:paraId="7982F28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John </w:t>
      </w:r>
      <w:bookmarkStart w:id="23" w:name="_Hlk532643847"/>
      <w:r w:rsidRPr="003B1071">
        <w:rPr>
          <w:rFonts w:ascii="Garamond" w:hAnsi="Garamond"/>
        </w:rPr>
        <w:t xml:space="preserve">Strype, </w:t>
      </w:r>
      <w:r w:rsidRPr="003B1071">
        <w:rPr>
          <w:rFonts w:ascii="Garamond" w:hAnsi="Garamond"/>
          <w:i/>
        </w:rPr>
        <w:t>The Life and Acts of Matthew Parker</w:t>
      </w:r>
      <w:r w:rsidRPr="003B1071">
        <w:rPr>
          <w:rFonts w:ascii="Garamond" w:hAnsi="Garamond"/>
        </w:rPr>
        <w:t xml:space="preserve"> (Oxford: Clarendon Press, 1821) </w:t>
      </w:r>
      <w:bookmarkEnd w:id="23"/>
      <w:r w:rsidRPr="003B1071">
        <w:rPr>
          <w:rFonts w:ascii="Garamond" w:hAnsi="Garamond"/>
        </w:rPr>
        <w:t xml:space="preserve">Vol. 3, p. 233, in Latin in the original, translation by Scott Robinson, p. 1080. </w:t>
      </w:r>
    </w:p>
  </w:footnote>
  <w:footnote w:id="282">
    <w:p w14:paraId="2FA0442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Reed, pp. 155-6 for further discussion. Reed makes the astute point that literary critics should beware replacing ‘the older paradigm of history with a new paradigm of art as the ‘normal science’ of biblical studies’, aruging that this form of criticism often substitutes ‘textuality’ for ‘divine authority’ in creating a unifying purpose. </w:t>
      </w:r>
    </w:p>
  </w:footnote>
  <w:footnote w:id="283">
    <w:p w14:paraId="3263245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In Reed, p. ix. </w:t>
      </w:r>
    </w:p>
  </w:footnote>
  <w:footnote w:id="284">
    <w:p w14:paraId="20771DB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Scott Robinson, p. 1083</w:t>
      </w:r>
    </w:p>
  </w:footnote>
  <w:footnote w:id="285">
    <w:p w14:paraId="14BAC63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Bakhtin, p. 14. </w:t>
      </w:r>
    </w:p>
  </w:footnote>
  <w:footnote w:id="286">
    <w:p w14:paraId="5C53580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Gil Harris, </w:t>
      </w:r>
      <w:r w:rsidRPr="003B1071">
        <w:rPr>
          <w:rFonts w:ascii="Garamond" w:hAnsi="Garamond"/>
          <w:i/>
          <w:iCs/>
        </w:rPr>
        <w:t>Untimely Matter</w:t>
      </w:r>
      <w:r w:rsidRPr="003B1071">
        <w:rPr>
          <w:rFonts w:ascii="Garamond" w:hAnsi="Garamond"/>
        </w:rPr>
        <w:t xml:space="preserve">, p. 13. </w:t>
      </w:r>
    </w:p>
  </w:footnote>
  <w:footnote w:id="287">
    <w:p w14:paraId="04646D1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Gil Harris, </w:t>
      </w:r>
      <w:r w:rsidRPr="003B1071">
        <w:rPr>
          <w:rFonts w:ascii="Garamond" w:hAnsi="Garamond"/>
          <w:i/>
          <w:iCs/>
        </w:rPr>
        <w:t>Untimely Matter</w:t>
      </w:r>
      <w:r w:rsidRPr="003B1071">
        <w:rPr>
          <w:rFonts w:ascii="Garamond" w:hAnsi="Garamond"/>
        </w:rPr>
        <w:t xml:space="preserve">, p. 13. </w:t>
      </w:r>
    </w:p>
  </w:footnote>
  <w:footnote w:id="288">
    <w:p w14:paraId="1BB9EAD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Gil Harris, </w:t>
      </w:r>
      <w:r w:rsidRPr="003B1071">
        <w:rPr>
          <w:rFonts w:ascii="Garamond" w:hAnsi="Garamond"/>
          <w:i/>
          <w:iCs/>
        </w:rPr>
        <w:t>Untimely Matter</w:t>
      </w:r>
      <w:r w:rsidRPr="003B1071">
        <w:rPr>
          <w:rFonts w:ascii="Garamond" w:hAnsi="Garamond"/>
        </w:rPr>
        <w:t xml:space="preserve">, p. 34. </w:t>
      </w:r>
    </w:p>
  </w:footnote>
  <w:footnote w:id="289">
    <w:p w14:paraId="4672172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Parker, ‘Preface to the Bible’, p. 145. </w:t>
      </w:r>
    </w:p>
  </w:footnote>
  <w:footnote w:id="290">
    <w:p w14:paraId="21EE70E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Parker, </w:t>
      </w:r>
      <w:r w:rsidRPr="003B1071">
        <w:rPr>
          <w:rFonts w:ascii="Garamond" w:hAnsi="Garamond"/>
          <w:i/>
        </w:rPr>
        <w:t xml:space="preserve">Correspondence, </w:t>
      </w:r>
      <w:r w:rsidRPr="003B1071">
        <w:rPr>
          <w:rFonts w:ascii="Garamond" w:hAnsi="Garamond"/>
        </w:rPr>
        <w:t xml:space="preserve">p. 80. </w:t>
      </w:r>
    </w:p>
  </w:footnote>
  <w:footnote w:id="291">
    <w:p w14:paraId="536F44C9" w14:textId="77777777" w:rsidR="00814479" w:rsidRPr="00667CD5" w:rsidRDefault="00814479" w:rsidP="00162224">
      <w:pPr>
        <w:pStyle w:val="FootnoteText"/>
        <w:rPr>
          <w:rFonts w:ascii="Garamond" w:hAnsi="Garamond"/>
        </w:rPr>
      </w:pPr>
      <w:r w:rsidRPr="003B1071">
        <w:rPr>
          <w:rStyle w:val="FootnoteReference"/>
          <w:rFonts w:ascii="Garamond" w:hAnsi="Garamond"/>
        </w:rPr>
        <w:footnoteRef/>
      </w:r>
      <w:r w:rsidRPr="00667CD5">
        <w:rPr>
          <w:rFonts w:ascii="Garamond" w:hAnsi="Garamond"/>
        </w:rPr>
        <w:t xml:space="preserve"> Hamlin, p. 3. </w:t>
      </w:r>
    </w:p>
  </w:footnote>
  <w:footnote w:id="292">
    <w:p w14:paraId="6EAEA331" w14:textId="77777777" w:rsidR="00814479" w:rsidRPr="003B1071" w:rsidRDefault="00814479" w:rsidP="00162224">
      <w:pPr>
        <w:pStyle w:val="FootnoteText"/>
        <w:rPr>
          <w:rFonts w:ascii="Garamond" w:hAnsi="Garamond"/>
          <w:lang w:val="sv-SE"/>
        </w:rPr>
      </w:pPr>
      <w:r w:rsidRPr="003B1071">
        <w:rPr>
          <w:rStyle w:val="FootnoteReference"/>
          <w:rFonts w:ascii="Garamond" w:hAnsi="Garamond"/>
        </w:rPr>
        <w:footnoteRef/>
      </w:r>
      <w:r w:rsidRPr="003B1071">
        <w:rPr>
          <w:rFonts w:ascii="Garamond" w:hAnsi="Garamond"/>
          <w:lang w:val="sv-SE"/>
        </w:rPr>
        <w:t xml:space="preserve"> Parker, </w:t>
      </w:r>
      <w:r w:rsidRPr="003B1071">
        <w:rPr>
          <w:rFonts w:ascii="Garamond" w:hAnsi="Garamond"/>
          <w:i/>
          <w:lang w:val="sv-SE"/>
        </w:rPr>
        <w:t xml:space="preserve">Psalter, </w:t>
      </w:r>
      <w:r w:rsidRPr="003B1071">
        <w:rPr>
          <w:rFonts w:ascii="Garamond" w:hAnsi="Garamond"/>
          <w:lang w:val="sv-SE"/>
        </w:rPr>
        <w:t xml:space="preserve">f. 9r. </w:t>
      </w:r>
    </w:p>
  </w:footnote>
  <w:footnote w:id="293">
    <w:p w14:paraId="3CB77647" w14:textId="77777777" w:rsidR="00814479" w:rsidRPr="00667CD5" w:rsidRDefault="00814479" w:rsidP="00162224">
      <w:pPr>
        <w:pStyle w:val="FootnoteText"/>
        <w:rPr>
          <w:rFonts w:ascii="Garamond" w:hAnsi="Garamond"/>
          <w:lang w:val="sv-SE"/>
        </w:rPr>
      </w:pPr>
      <w:r w:rsidRPr="003B1071">
        <w:rPr>
          <w:rStyle w:val="FootnoteReference"/>
          <w:rFonts w:ascii="Garamond" w:hAnsi="Garamond"/>
        </w:rPr>
        <w:footnoteRef/>
      </w:r>
      <w:r w:rsidRPr="00667CD5">
        <w:rPr>
          <w:rFonts w:ascii="Garamond" w:hAnsi="Garamond"/>
          <w:lang w:val="sv-SE"/>
        </w:rPr>
        <w:t xml:space="preserve"> Parker, </w:t>
      </w:r>
      <w:r w:rsidRPr="00667CD5">
        <w:rPr>
          <w:rFonts w:ascii="Garamond" w:hAnsi="Garamond"/>
          <w:i/>
          <w:lang w:val="sv-SE"/>
        </w:rPr>
        <w:t xml:space="preserve">Psalter, </w:t>
      </w:r>
      <w:r w:rsidRPr="00667CD5">
        <w:rPr>
          <w:rFonts w:ascii="Garamond" w:hAnsi="Garamond"/>
          <w:lang w:val="sv-SE"/>
        </w:rPr>
        <w:t xml:space="preserve">A4v-B1r. </w:t>
      </w:r>
    </w:p>
  </w:footnote>
  <w:footnote w:id="294">
    <w:p w14:paraId="654155C9" w14:textId="77777777" w:rsidR="00814479" w:rsidRPr="003B1071" w:rsidRDefault="00814479" w:rsidP="00162224">
      <w:pPr>
        <w:pStyle w:val="FootnoteText"/>
        <w:rPr>
          <w:rFonts w:ascii="Garamond" w:hAnsi="Garamond"/>
          <w:i/>
          <w:iCs/>
        </w:rPr>
      </w:pPr>
      <w:r w:rsidRPr="003B1071">
        <w:rPr>
          <w:rStyle w:val="FootnoteReference"/>
          <w:rFonts w:ascii="Garamond" w:hAnsi="Garamond"/>
        </w:rPr>
        <w:footnoteRef/>
      </w:r>
      <w:r w:rsidRPr="003B1071">
        <w:rPr>
          <w:rFonts w:ascii="Garamond" w:hAnsi="Garamond"/>
          <w:iCs/>
        </w:rPr>
        <w:t xml:space="preserve"> From Calvin’s preface to the Psalter (1557) in</w:t>
      </w:r>
      <w:bookmarkStart w:id="25" w:name="_Hlk532139201"/>
      <w:r w:rsidRPr="003B1071">
        <w:rPr>
          <w:rFonts w:ascii="Garamond" w:hAnsi="Garamond"/>
          <w:iCs/>
        </w:rPr>
        <w:t>., </w:t>
      </w:r>
      <w:r w:rsidRPr="003B1071">
        <w:rPr>
          <w:rFonts w:ascii="Garamond" w:hAnsi="Garamond"/>
          <w:i/>
          <w:iCs/>
        </w:rPr>
        <w:t>A Reformation Reader: Primary Texts with Introductions, Augmented &amp; improved</w:t>
      </w:r>
      <w:r w:rsidRPr="003B1071">
        <w:rPr>
          <w:rFonts w:ascii="Garamond" w:hAnsi="Garamond"/>
          <w:iCs/>
        </w:rPr>
        <w:t xml:space="preserve">, ed. by Denis Janz and Sherry E. Jordon (Minneapolis, MN: Fortress Press, 2002), </w:t>
      </w:r>
      <w:bookmarkEnd w:id="25"/>
      <w:r w:rsidRPr="003B1071">
        <w:rPr>
          <w:rFonts w:ascii="Garamond" w:hAnsi="Garamond"/>
          <w:iCs/>
        </w:rPr>
        <w:t>p. 205</w:t>
      </w:r>
      <w:r w:rsidRPr="003B1071">
        <w:rPr>
          <w:rFonts w:ascii="Garamond" w:hAnsi="Garamond"/>
          <w:i/>
          <w:iCs/>
        </w:rPr>
        <w:t>.</w:t>
      </w:r>
    </w:p>
  </w:footnote>
  <w:footnote w:id="295">
    <w:p w14:paraId="1684F19D" w14:textId="075634A2"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bookmarkStart w:id="26" w:name="_Hlk532648213"/>
      <w:r w:rsidRPr="003B1071">
        <w:rPr>
          <w:rFonts w:ascii="Garamond" w:hAnsi="Garamond"/>
        </w:rPr>
        <w:t xml:space="preserve">John Calvin, </w:t>
      </w:r>
      <w:r w:rsidRPr="003B1071">
        <w:rPr>
          <w:rFonts w:ascii="Garamond" w:hAnsi="Garamond"/>
          <w:i/>
        </w:rPr>
        <w:t xml:space="preserve">Institutes of the Christian Religion </w:t>
      </w:r>
      <w:r w:rsidRPr="003B1071">
        <w:rPr>
          <w:rFonts w:ascii="Garamond" w:hAnsi="Garamond"/>
        </w:rPr>
        <w:t>(London: Hendrickson, 2007</w:t>
      </w:r>
      <w:bookmarkEnd w:id="26"/>
      <w:r w:rsidRPr="003B1071">
        <w:rPr>
          <w:rFonts w:ascii="Garamond" w:hAnsi="Garamond"/>
        </w:rPr>
        <w:t>), I.i.2.</w:t>
      </w:r>
    </w:p>
  </w:footnote>
  <w:footnote w:id="296">
    <w:p w14:paraId="0535D59A" w14:textId="269A7AFE" w:rsidR="00814479" w:rsidRPr="00667CD5" w:rsidRDefault="00814479" w:rsidP="00162224">
      <w:pPr>
        <w:pStyle w:val="FootnoteText"/>
        <w:rPr>
          <w:rFonts w:ascii="Garamond" w:hAnsi="Garamond"/>
          <w:lang w:val="sv-SE"/>
        </w:rPr>
      </w:pPr>
      <w:r w:rsidRPr="003B1071">
        <w:rPr>
          <w:rStyle w:val="FootnoteReference"/>
          <w:rFonts w:ascii="Garamond" w:hAnsi="Garamond"/>
        </w:rPr>
        <w:footnoteRef/>
      </w:r>
      <w:r w:rsidRPr="00667CD5">
        <w:rPr>
          <w:rFonts w:ascii="Garamond" w:hAnsi="Garamond"/>
          <w:lang w:val="sv-SE"/>
        </w:rPr>
        <w:t xml:space="preserve"> Calvin, </w:t>
      </w:r>
      <w:r w:rsidRPr="00667CD5">
        <w:rPr>
          <w:rFonts w:ascii="Garamond" w:hAnsi="Garamond"/>
          <w:i/>
          <w:lang w:val="sv-SE"/>
        </w:rPr>
        <w:t xml:space="preserve">Institutes, </w:t>
      </w:r>
      <w:r w:rsidRPr="00667CD5">
        <w:rPr>
          <w:rFonts w:ascii="Garamond" w:hAnsi="Garamond"/>
          <w:lang w:val="sv-SE"/>
        </w:rPr>
        <w:t xml:space="preserve">I.xiii.1. </w:t>
      </w:r>
    </w:p>
  </w:footnote>
  <w:footnote w:id="297">
    <w:p w14:paraId="7D5025F2" w14:textId="66963C30"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667CD5">
        <w:rPr>
          <w:rFonts w:ascii="Garamond" w:hAnsi="Garamond"/>
          <w:lang w:val="sv-SE"/>
        </w:rPr>
        <w:t xml:space="preserve"> Calvin, </w:t>
      </w:r>
      <w:r w:rsidRPr="00667CD5">
        <w:rPr>
          <w:rFonts w:ascii="Garamond" w:hAnsi="Garamond"/>
          <w:i/>
          <w:lang w:val="sv-SE"/>
        </w:rPr>
        <w:t xml:space="preserve">Institutes, </w:t>
      </w:r>
      <w:r w:rsidRPr="00667CD5">
        <w:rPr>
          <w:rFonts w:ascii="Garamond" w:hAnsi="Garamond"/>
          <w:lang w:val="sv-SE"/>
        </w:rPr>
        <w:t xml:space="preserve">1.vi.1. </w:t>
      </w:r>
      <w:r w:rsidRPr="003B1071">
        <w:rPr>
          <w:rFonts w:ascii="Garamond" w:hAnsi="Garamond"/>
        </w:rPr>
        <w:t xml:space="preserve">Calvin uses this arresting image again shortly after, ‘For just as eyes, when dimmed with age or weakness or by some other defect, unless aided by spectacles, discern nothing distinctly; so, such is our feebleness, unless Scripture guides us in seeking God, we are immediately confused.’ I.xiv.1.  </w:t>
      </w:r>
    </w:p>
  </w:footnote>
  <w:footnote w:id="298">
    <w:p w14:paraId="06CCAD2E" w14:textId="112DD6EA"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Calvin, </w:t>
      </w:r>
      <w:r w:rsidRPr="003B1071">
        <w:rPr>
          <w:rFonts w:ascii="Garamond" w:hAnsi="Garamond"/>
          <w:i/>
        </w:rPr>
        <w:t xml:space="preserve">Institutes, </w:t>
      </w:r>
      <w:proofErr w:type="gramStart"/>
      <w:r w:rsidRPr="003B1071">
        <w:rPr>
          <w:rFonts w:ascii="Garamond" w:hAnsi="Garamond"/>
        </w:rPr>
        <w:t>I.xiii</w:t>
      </w:r>
      <w:proofErr w:type="gramEnd"/>
      <w:r w:rsidRPr="003B1071">
        <w:rPr>
          <w:rFonts w:ascii="Garamond" w:hAnsi="Garamond"/>
        </w:rPr>
        <w:t>.1</w:t>
      </w:r>
      <w:r>
        <w:rPr>
          <w:rFonts w:ascii="Garamond" w:hAnsi="Garamond"/>
        </w:rPr>
        <w:t>.</w:t>
      </w:r>
      <w:r w:rsidRPr="003B1071">
        <w:rPr>
          <w:rFonts w:ascii="Garamond" w:hAnsi="Garamond"/>
        </w:rPr>
        <w:t xml:space="preserve"> </w:t>
      </w:r>
    </w:p>
  </w:footnote>
  <w:footnote w:id="299">
    <w:p w14:paraId="751C5F5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Hamlin suggests that this may have influenced the Sidney Psalter, p. 10. </w:t>
      </w:r>
    </w:p>
  </w:footnote>
  <w:footnote w:id="300">
    <w:p w14:paraId="5C82EEE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Parker, </w:t>
      </w:r>
      <w:r w:rsidRPr="003B1071">
        <w:rPr>
          <w:rFonts w:ascii="Garamond" w:hAnsi="Garamond"/>
          <w:i/>
        </w:rPr>
        <w:t xml:space="preserve">Psalter, </w:t>
      </w:r>
      <w:r w:rsidRPr="003B1071">
        <w:rPr>
          <w:rFonts w:ascii="Garamond" w:hAnsi="Garamond"/>
        </w:rPr>
        <w:t xml:space="preserve">B2r. </w:t>
      </w:r>
    </w:p>
  </w:footnote>
  <w:footnote w:id="301">
    <w:p w14:paraId="26136996" w14:textId="0F6D2DA8"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w:t>
      </w:r>
      <w:bookmarkStart w:id="27" w:name="_Hlk532648370"/>
      <w:r w:rsidRPr="003B1071">
        <w:rPr>
          <w:rFonts w:ascii="Garamond" w:hAnsi="Garamond"/>
        </w:rPr>
        <w:t xml:space="preserve">Penelope Gouk, </w:t>
      </w:r>
      <w:r w:rsidRPr="003B1071">
        <w:rPr>
          <w:rFonts w:ascii="Garamond" w:hAnsi="Garamond"/>
          <w:i/>
        </w:rPr>
        <w:t xml:space="preserve">Music, Science, and Natural Magic in Seventeenth-Century England </w:t>
      </w:r>
      <w:r w:rsidRPr="003B1071">
        <w:rPr>
          <w:rFonts w:ascii="Garamond" w:hAnsi="Garamond"/>
        </w:rPr>
        <w:t>(New Haven: Yale University Press, 1999)</w:t>
      </w:r>
      <w:bookmarkEnd w:id="27"/>
      <w:r w:rsidRPr="003B1071">
        <w:rPr>
          <w:rFonts w:ascii="Garamond" w:hAnsi="Garamond"/>
        </w:rPr>
        <w:t xml:space="preserve">, pp. 22-7 for a discussion of the experimental philosophers writing on music’s curative properties. Discussions of the healing power of music was often linked to the Psalms, as David </w:t>
      </w:r>
      <w:proofErr w:type="gramStart"/>
      <w:r w:rsidRPr="003B1071">
        <w:rPr>
          <w:rFonts w:ascii="Garamond" w:hAnsi="Garamond"/>
        </w:rPr>
        <w:t>was seen as</w:t>
      </w:r>
      <w:proofErr w:type="gramEnd"/>
      <w:r w:rsidRPr="003B1071">
        <w:rPr>
          <w:rFonts w:ascii="Garamond" w:hAnsi="Garamond"/>
        </w:rPr>
        <w:t xml:space="preserve"> the ‘sweet singer of Israel’ who cured Saul’s madness with the power of his lute, Donne </w:t>
      </w:r>
      <w:r w:rsidRPr="003B1071">
        <w:rPr>
          <w:rFonts w:ascii="Garamond" w:hAnsi="Garamond"/>
          <w:i/>
        </w:rPr>
        <w:t xml:space="preserve">Sermons, </w:t>
      </w:r>
      <w:r w:rsidRPr="003B1071">
        <w:rPr>
          <w:rFonts w:ascii="Garamond" w:hAnsi="Garamond"/>
        </w:rPr>
        <w:t xml:space="preserve">IX.12, p. 274. Richard Bernard draws heavily on this in his commentary on the Psalms: ‘when Saul was troubled with an evil spirit, .... he sought out one that might play on the Harpe, and they found David the Sonne of Ishai, who plaid with his hand and Saul... had ease, the evil spirit departing from him’ Richard Bernar, </w:t>
      </w:r>
      <w:r w:rsidRPr="003B1071">
        <w:rPr>
          <w:rFonts w:ascii="Garamond" w:hAnsi="Garamond"/>
          <w:i/>
        </w:rPr>
        <w:t xml:space="preserve">Davids Musick </w:t>
      </w:r>
      <w:r w:rsidRPr="003B1071">
        <w:rPr>
          <w:rFonts w:ascii="Garamond" w:hAnsi="Garamond"/>
        </w:rPr>
        <w:t>(London: 1616)</w:t>
      </w:r>
      <w:r>
        <w:rPr>
          <w:rFonts w:ascii="Garamond" w:hAnsi="Garamond"/>
        </w:rPr>
        <w:t>,</w:t>
      </w:r>
      <w:r w:rsidRPr="003B1071">
        <w:rPr>
          <w:rFonts w:ascii="Garamond" w:hAnsi="Garamond"/>
        </w:rPr>
        <w:t xml:space="preserve"> A3r.  </w:t>
      </w:r>
    </w:p>
  </w:footnote>
  <w:footnote w:id="302">
    <w:p w14:paraId="51C6614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Parker, </w:t>
      </w:r>
      <w:r w:rsidRPr="003B1071">
        <w:rPr>
          <w:rFonts w:ascii="Garamond" w:hAnsi="Garamond"/>
          <w:i/>
        </w:rPr>
        <w:t xml:space="preserve">Psalter, </w:t>
      </w:r>
      <w:r w:rsidRPr="003B1071">
        <w:rPr>
          <w:rFonts w:ascii="Garamond" w:hAnsi="Garamond"/>
        </w:rPr>
        <w:t xml:space="preserve">f. 17v. </w:t>
      </w:r>
    </w:p>
  </w:footnote>
  <w:footnote w:id="303">
    <w:p w14:paraId="428ECD11" w14:textId="6A7D2F2A"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bookmarkStart w:id="28" w:name="_Hlk532648619"/>
      <w:r w:rsidRPr="003B1071">
        <w:rPr>
          <w:rFonts w:ascii="Garamond" w:hAnsi="Garamond"/>
        </w:rPr>
        <w:t xml:space="preserve">Humphrey Sydenham, </w:t>
      </w:r>
      <w:r w:rsidRPr="003B1071">
        <w:rPr>
          <w:rFonts w:ascii="Garamond" w:hAnsi="Garamond"/>
          <w:i/>
        </w:rPr>
        <w:t>Sermons upon solemne occasions preached in severall auditories</w:t>
      </w:r>
      <w:r w:rsidRPr="003B1071">
        <w:rPr>
          <w:rFonts w:ascii="Garamond" w:hAnsi="Garamond"/>
        </w:rPr>
        <w:t xml:space="preserve"> (London: 1637)</w:t>
      </w:r>
      <w:r>
        <w:rPr>
          <w:rFonts w:ascii="Garamond" w:hAnsi="Garamond"/>
        </w:rPr>
        <w:t>,</w:t>
      </w:r>
      <w:r w:rsidRPr="003B1071">
        <w:rPr>
          <w:rFonts w:ascii="Garamond" w:hAnsi="Garamond"/>
        </w:rPr>
        <w:t xml:space="preserve"> </w:t>
      </w:r>
      <w:bookmarkEnd w:id="28"/>
      <w:r w:rsidRPr="003B1071">
        <w:rPr>
          <w:rFonts w:ascii="Garamond" w:hAnsi="Garamond"/>
        </w:rPr>
        <w:t>p. 17.</w:t>
      </w:r>
    </w:p>
  </w:footnote>
  <w:footnote w:id="304">
    <w:p w14:paraId="7B5DCAB5" w14:textId="77777777" w:rsidR="00814479" w:rsidRPr="003B1071" w:rsidRDefault="00814479" w:rsidP="00162224">
      <w:pPr>
        <w:pStyle w:val="FootnoteText"/>
        <w:rPr>
          <w:rFonts w:ascii="Garamond" w:hAnsi="Garamond"/>
          <w:i/>
        </w:rPr>
      </w:pPr>
      <w:r w:rsidRPr="003B1071">
        <w:rPr>
          <w:rStyle w:val="FootnoteReference"/>
          <w:rFonts w:ascii="Garamond" w:hAnsi="Garamond"/>
        </w:rPr>
        <w:footnoteRef/>
      </w:r>
      <w:r w:rsidRPr="003B1071">
        <w:rPr>
          <w:rFonts w:ascii="Garamond" w:hAnsi="Garamond"/>
        </w:rPr>
        <w:t xml:space="preserve"> Parker, </w:t>
      </w:r>
      <w:r w:rsidRPr="003B1071">
        <w:rPr>
          <w:rFonts w:ascii="Garamond" w:hAnsi="Garamond"/>
          <w:i/>
        </w:rPr>
        <w:t xml:space="preserve">Psalter, </w:t>
      </w:r>
      <w:r w:rsidRPr="003B1071">
        <w:rPr>
          <w:rFonts w:ascii="Garamond" w:hAnsi="Garamond"/>
        </w:rPr>
        <w:t xml:space="preserve">f. 17v. </w:t>
      </w:r>
      <w:r w:rsidRPr="003B1071">
        <w:rPr>
          <w:rFonts w:ascii="Garamond" w:hAnsi="Garamond"/>
          <w:i/>
        </w:rPr>
        <w:t xml:space="preserve"> </w:t>
      </w:r>
    </w:p>
  </w:footnote>
  <w:footnote w:id="305">
    <w:p w14:paraId="5836712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Cicero, </w:t>
      </w:r>
      <w:r w:rsidRPr="003B1071">
        <w:rPr>
          <w:rFonts w:ascii="Garamond" w:hAnsi="Garamond"/>
          <w:i/>
          <w:iCs/>
        </w:rPr>
        <w:t xml:space="preserve">De Optimo Genre Oratorum, </w:t>
      </w:r>
      <w:r w:rsidRPr="003B1071">
        <w:rPr>
          <w:rFonts w:ascii="Garamond" w:hAnsi="Garamond"/>
        </w:rPr>
        <w:t xml:space="preserve">cited in Norton, p.2.  </w:t>
      </w:r>
    </w:p>
  </w:footnote>
  <w:footnote w:id="306">
    <w:p w14:paraId="3BA082B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Parker, </w:t>
      </w:r>
      <w:r w:rsidRPr="003B1071">
        <w:rPr>
          <w:rFonts w:ascii="Garamond" w:hAnsi="Garamond"/>
          <w:i/>
        </w:rPr>
        <w:t xml:space="preserve">Correspondence, </w:t>
      </w:r>
      <w:r w:rsidRPr="003B1071">
        <w:rPr>
          <w:rFonts w:ascii="Garamond" w:hAnsi="Garamond"/>
        </w:rPr>
        <w:t xml:space="preserve">p. 336, A letter to Sir William Cecil. Emphasis my own. </w:t>
      </w:r>
    </w:p>
  </w:footnote>
  <w:footnote w:id="307">
    <w:p w14:paraId="17C3AF9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Norton, p. 162. </w:t>
      </w:r>
    </w:p>
  </w:footnote>
  <w:footnote w:id="308">
    <w:p w14:paraId="493469D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Crankshaw and Gillespie</w:t>
      </w:r>
    </w:p>
  </w:footnote>
  <w:footnote w:id="309">
    <w:p w14:paraId="7ACDD84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Parker, </w:t>
      </w:r>
      <w:r w:rsidRPr="003B1071">
        <w:rPr>
          <w:rFonts w:ascii="Garamond" w:hAnsi="Garamond"/>
          <w:i/>
          <w:iCs/>
        </w:rPr>
        <w:t xml:space="preserve">Correspondence, </w:t>
      </w:r>
      <w:r w:rsidRPr="003B1071">
        <w:rPr>
          <w:rFonts w:ascii="Garamond" w:hAnsi="Garamond"/>
        </w:rPr>
        <w:t>p. 336.</w:t>
      </w:r>
    </w:p>
  </w:footnote>
  <w:footnote w:id="310">
    <w:p w14:paraId="45EE7D2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Parker, </w:t>
      </w:r>
      <w:r w:rsidRPr="003B1071">
        <w:rPr>
          <w:rFonts w:ascii="Garamond" w:hAnsi="Garamond"/>
          <w:i/>
          <w:iCs/>
        </w:rPr>
        <w:t xml:space="preserve">Correspondence, </w:t>
      </w:r>
      <w:r w:rsidRPr="003B1071">
        <w:rPr>
          <w:rFonts w:ascii="Garamond" w:hAnsi="Garamond"/>
        </w:rPr>
        <w:t xml:space="preserve">p. 336. </w:t>
      </w:r>
    </w:p>
  </w:footnote>
  <w:footnote w:id="311">
    <w:p w14:paraId="6943E98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Parker, </w:t>
      </w:r>
      <w:r w:rsidRPr="003B1071">
        <w:rPr>
          <w:rFonts w:ascii="Garamond" w:hAnsi="Garamond"/>
          <w:i/>
          <w:iCs/>
        </w:rPr>
        <w:t xml:space="preserve">Correspondence, </w:t>
      </w:r>
      <w:r w:rsidRPr="003B1071">
        <w:rPr>
          <w:rFonts w:ascii="Garamond" w:hAnsi="Garamond"/>
        </w:rPr>
        <w:t xml:space="preserve">p. 61. </w:t>
      </w:r>
    </w:p>
  </w:footnote>
  <w:footnote w:id="312">
    <w:p w14:paraId="6D63C2C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Parker, </w:t>
      </w:r>
      <w:r w:rsidRPr="003B1071">
        <w:rPr>
          <w:rFonts w:ascii="Garamond" w:hAnsi="Garamond"/>
          <w:i/>
          <w:iCs/>
        </w:rPr>
        <w:t xml:space="preserve">Correspondence, </w:t>
      </w:r>
      <w:r w:rsidRPr="003B1071">
        <w:rPr>
          <w:rFonts w:ascii="Garamond" w:hAnsi="Garamond"/>
        </w:rPr>
        <w:t xml:space="preserve">p. 338.  </w:t>
      </w:r>
    </w:p>
  </w:footnote>
  <w:footnote w:id="313">
    <w:p w14:paraId="27333B9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Parker, </w:t>
      </w:r>
      <w:r w:rsidRPr="003B1071">
        <w:rPr>
          <w:rFonts w:ascii="Garamond" w:hAnsi="Garamond"/>
          <w:i/>
          <w:iCs/>
        </w:rPr>
        <w:t xml:space="preserve">Correspondence, </w:t>
      </w:r>
      <w:r w:rsidRPr="003B1071">
        <w:rPr>
          <w:rFonts w:ascii="Garamond" w:hAnsi="Garamond"/>
        </w:rPr>
        <w:t>p. 61.</w:t>
      </w:r>
    </w:p>
  </w:footnote>
  <w:footnote w:id="314">
    <w:p w14:paraId="73828CE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Zim, p. 26. </w:t>
      </w:r>
    </w:p>
  </w:footnote>
  <w:footnote w:id="315">
    <w:p w14:paraId="7263C9A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Parker, </w:t>
      </w:r>
      <w:r w:rsidRPr="003B1071">
        <w:rPr>
          <w:rFonts w:ascii="Garamond" w:hAnsi="Garamond"/>
          <w:i/>
        </w:rPr>
        <w:t xml:space="preserve">Psalter, </w:t>
      </w:r>
      <w:r w:rsidRPr="003B1071">
        <w:rPr>
          <w:rFonts w:ascii="Garamond" w:hAnsi="Garamond"/>
        </w:rPr>
        <w:t xml:space="preserve">B2r. </w:t>
      </w:r>
    </w:p>
  </w:footnote>
  <w:footnote w:id="316">
    <w:p w14:paraId="793C597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Simpson (2015); and </w:t>
      </w:r>
      <w:bookmarkStart w:id="29" w:name="_Hlk532649645"/>
      <w:r w:rsidRPr="003B1071">
        <w:rPr>
          <w:rFonts w:ascii="Garamond" w:hAnsi="Garamond"/>
        </w:rPr>
        <w:t xml:space="preserve">Ruth Ahnert, </w:t>
      </w:r>
      <w:r w:rsidRPr="003B1071">
        <w:rPr>
          <w:rFonts w:ascii="Garamond" w:hAnsi="Garamond"/>
          <w:i/>
        </w:rPr>
        <w:t>The Rise of Prison Literature in the Sixteenth Century</w:t>
      </w:r>
      <w:r w:rsidRPr="003B1071">
        <w:rPr>
          <w:rFonts w:ascii="Garamond" w:hAnsi="Garamond"/>
        </w:rPr>
        <w:t xml:space="preserve"> (Cambridge: Cambridge University Press, 2013) </w:t>
      </w:r>
      <w:bookmarkEnd w:id="29"/>
      <w:r w:rsidRPr="003B1071">
        <w:rPr>
          <w:rFonts w:ascii="Garamond" w:hAnsi="Garamond"/>
        </w:rPr>
        <w:t xml:space="preserve">especially pp. 60-64.  </w:t>
      </w:r>
    </w:p>
  </w:footnote>
  <w:footnote w:id="317">
    <w:p w14:paraId="1B4235C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Puttenham, p. 179. </w:t>
      </w:r>
    </w:p>
  </w:footnote>
  <w:footnote w:id="318">
    <w:p w14:paraId="5615E8A3" w14:textId="58657A70" w:rsidR="00814479" w:rsidRPr="003B1071" w:rsidRDefault="00814479" w:rsidP="00162224">
      <w:pPr>
        <w:pStyle w:val="NoSpacing1"/>
        <w:rPr>
          <w:rFonts w:ascii="Garamond" w:hAnsi="Garamond"/>
          <w:sz w:val="20"/>
          <w:szCs w:val="20"/>
        </w:rPr>
      </w:pPr>
      <w:r w:rsidRPr="003B1071">
        <w:rPr>
          <w:rStyle w:val="FootnoteReference"/>
          <w:rFonts w:ascii="Garamond" w:hAnsi="Garamond"/>
          <w:sz w:val="20"/>
          <w:szCs w:val="20"/>
        </w:rPr>
        <w:footnoteRef/>
      </w:r>
      <w:r w:rsidRPr="003B1071">
        <w:rPr>
          <w:rFonts w:ascii="Garamond" w:hAnsi="Garamond"/>
          <w:sz w:val="20"/>
          <w:szCs w:val="20"/>
        </w:rPr>
        <w:t xml:space="preserve"> Margaret Hannay has explored the links between Lock’s earlier rendition and the better known ‘Psalm 51’ in </w:t>
      </w:r>
      <w:r w:rsidRPr="003B1071">
        <w:rPr>
          <w:rFonts w:ascii="Garamond" w:hAnsi="Garamond"/>
          <w:i/>
          <w:iCs/>
          <w:sz w:val="20"/>
          <w:szCs w:val="20"/>
        </w:rPr>
        <w:t>the Sidney Psalter</w:t>
      </w:r>
      <w:r w:rsidRPr="003B1071">
        <w:rPr>
          <w:rFonts w:ascii="Garamond" w:hAnsi="Garamond"/>
          <w:sz w:val="20"/>
          <w:szCs w:val="20"/>
        </w:rPr>
        <w:t>, arguing that there are verbal echoes of Lock’s rendition throughout Sidney’s work. See Hannay ‘</w:t>
      </w:r>
      <w:r>
        <w:rPr>
          <w:rFonts w:ascii="Garamond" w:hAnsi="Garamond"/>
          <w:sz w:val="20"/>
          <w:szCs w:val="20"/>
        </w:rPr>
        <w:t>“</w:t>
      </w:r>
      <w:r w:rsidRPr="003B1071">
        <w:rPr>
          <w:rFonts w:ascii="Garamond" w:hAnsi="Garamond"/>
          <w:sz w:val="20"/>
          <w:szCs w:val="20"/>
        </w:rPr>
        <w:t>Wisdome the Wordes</w:t>
      </w:r>
      <w:r>
        <w:rPr>
          <w:rFonts w:ascii="Garamond" w:hAnsi="Garamond"/>
          <w:sz w:val="20"/>
          <w:szCs w:val="20"/>
        </w:rPr>
        <w:t>”</w:t>
      </w:r>
      <w:r w:rsidRPr="003B1071">
        <w:rPr>
          <w:rFonts w:ascii="Garamond" w:hAnsi="Garamond"/>
          <w:sz w:val="20"/>
          <w:szCs w:val="20"/>
        </w:rPr>
        <w:t xml:space="preserve">: Psalm Translation and Elizabethan Women’s Spirituality’ in </w:t>
      </w:r>
      <w:r w:rsidRPr="003B1071">
        <w:rPr>
          <w:rFonts w:ascii="Garamond" w:hAnsi="Garamond"/>
          <w:i/>
          <w:sz w:val="20"/>
          <w:szCs w:val="20"/>
        </w:rPr>
        <w:t>Religion and Literature,</w:t>
      </w:r>
      <w:r w:rsidRPr="003B1071">
        <w:rPr>
          <w:rFonts w:ascii="Garamond" w:hAnsi="Garamond"/>
          <w:sz w:val="20"/>
          <w:szCs w:val="20"/>
        </w:rPr>
        <w:t xml:space="preserve"> 23 (1991), 65-82 and ‘</w:t>
      </w:r>
      <w:r>
        <w:rPr>
          <w:rFonts w:ascii="Garamond" w:hAnsi="Garamond"/>
          <w:sz w:val="20"/>
          <w:szCs w:val="20"/>
        </w:rPr>
        <w:t>“</w:t>
      </w:r>
      <w:r w:rsidRPr="003B1071">
        <w:rPr>
          <w:rFonts w:ascii="Garamond" w:hAnsi="Garamond"/>
          <w:sz w:val="20"/>
          <w:szCs w:val="20"/>
        </w:rPr>
        <w:t>Unlock my lipps</w:t>
      </w:r>
      <w:r>
        <w:rPr>
          <w:rFonts w:ascii="Garamond" w:hAnsi="Garamond"/>
          <w:sz w:val="20"/>
          <w:szCs w:val="20"/>
        </w:rPr>
        <w:t>”</w:t>
      </w:r>
      <w:r w:rsidRPr="003B1071">
        <w:rPr>
          <w:rFonts w:ascii="Garamond" w:hAnsi="Garamond"/>
          <w:sz w:val="20"/>
          <w:szCs w:val="20"/>
        </w:rPr>
        <w:t xml:space="preserve">: The </w:t>
      </w:r>
      <w:r w:rsidRPr="003B1071">
        <w:rPr>
          <w:rFonts w:ascii="Garamond" w:hAnsi="Garamond"/>
          <w:i/>
          <w:sz w:val="20"/>
          <w:szCs w:val="20"/>
        </w:rPr>
        <w:t>Miserere mei Deus</w:t>
      </w:r>
      <w:r w:rsidRPr="003B1071">
        <w:rPr>
          <w:rFonts w:ascii="Garamond" w:hAnsi="Garamond"/>
          <w:sz w:val="20"/>
          <w:szCs w:val="20"/>
        </w:rPr>
        <w:t xml:space="preserve"> of Anne Vaughn Lok and Mary Sidney Herbert, Countess of Pembroke’ in </w:t>
      </w:r>
      <w:r w:rsidRPr="003B1071">
        <w:rPr>
          <w:rFonts w:ascii="Garamond" w:hAnsi="Garamond"/>
          <w:i/>
          <w:sz w:val="20"/>
          <w:szCs w:val="20"/>
        </w:rPr>
        <w:t xml:space="preserve">Privileging Gender in Early Modern England, </w:t>
      </w:r>
      <w:r w:rsidRPr="003B1071">
        <w:rPr>
          <w:rFonts w:ascii="Garamond" w:hAnsi="Garamond"/>
          <w:sz w:val="20"/>
          <w:szCs w:val="20"/>
        </w:rPr>
        <w:t>ed. by</w:t>
      </w:r>
      <w:r w:rsidRPr="003B1071">
        <w:rPr>
          <w:rFonts w:ascii="Garamond" w:hAnsi="Garamond"/>
          <w:i/>
          <w:sz w:val="20"/>
          <w:szCs w:val="20"/>
        </w:rPr>
        <w:t xml:space="preserve"> </w:t>
      </w:r>
      <w:r w:rsidRPr="003B1071">
        <w:rPr>
          <w:rFonts w:ascii="Garamond" w:hAnsi="Garamond"/>
          <w:sz w:val="20"/>
          <w:szCs w:val="20"/>
        </w:rPr>
        <w:t>Jane R. Brink (Kirksville, Mo.: Sixteenth Century Journal Publishers, 1993)</w:t>
      </w:r>
      <w:r>
        <w:rPr>
          <w:rFonts w:ascii="Garamond" w:hAnsi="Garamond"/>
          <w:sz w:val="20"/>
          <w:szCs w:val="20"/>
        </w:rPr>
        <w:t>,</w:t>
      </w:r>
      <w:r w:rsidRPr="003B1071">
        <w:rPr>
          <w:rFonts w:ascii="Garamond" w:hAnsi="Garamond"/>
          <w:sz w:val="20"/>
          <w:szCs w:val="20"/>
        </w:rPr>
        <w:t xml:space="preserve"> pp. 19-36.</w:t>
      </w:r>
    </w:p>
  </w:footnote>
  <w:footnote w:id="319">
    <w:p w14:paraId="218A8AC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i/>
        </w:rPr>
        <w:t xml:space="preserve"> </w:t>
      </w:r>
      <w:r w:rsidRPr="003B1071">
        <w:rPr>
          <w:rFonts w:ascii="Garamond" w:hAnsi="Garamond"/>
          <w:i/>
          <w:iCs/>
        </w:rPr>
        <w:t xml:space="preserve">The Bible </w:t>
      </w:r>
      <w:r w:rsidRPr="003B1071">
        <w:rPr>
          <w:rFonts w:ascii="Garamond" w:hAnsi="Garamond"/>
        </w:rPr>
        <w:t xml:space="preserve">(Geneva: 1599), p. 217. </w:t>
      </w:r>
    </w:p>
  </w:footnote>
  <w:footnote w:id="320">
    <w:p w14:paraId="5AFB0521" w14:textId="013F76EA"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Martin </w:t>
      </w:r>
      <w:bookmarkStart w:id="31" w:name="_Hlk532650499"/>
      <w:r w:rsidRPr="003B1071">
        <w:rPr>
          <w:rFonts w:ascii="Garamond" w:hAnsi="Garamond"/>
        </w:rPr>
        <w:t xml:space="preserve">Luther, </w:t>
      </w:r>
      <w:r w:rsidRPr="003B1071">
        <w:rPr>
          <w:rFonts w:ascii="Garamond" w:hAnsi="Garamond"/>
          <w:i/>
        </w:rPr>
        <w:t xml:space="preserve">The Annotated Luther </w:t>
      </w:r>
      <w:r w:rsidRPr="003B1071">
        <w:rPr>
          <w:rFonts w:ascii="Garamond" w:hAnsi="Garamond"/>
        </w:rPr>
        <w:t>(Minneapolis: Fortress Press, 2015)</w:t>
      </w:r>
      <w:r>
        <w:rPr>
          <w:rFonts w:ascii="Garamond" w:hAnsi="Garamond"/>
        </w:rPr>
        <w:t>,</w:t>
      </w:r>
      <w:r w:rsidRPr="003B1071">
        <w:rPr>
          <w:rFonts w:ascii="Garamond" w:hAnsi="Garamond"/>
        </w:rPr>
        <w:t xml:space="preserve"> </w:t>
      </w:r>
      <w:bookmarkEnd w:id="31"/>
      <w:r w:rsidRPr="003B1071">
        <w:rPr>
          <w:rFonts w:ascii="Garamond" w:hAnsi="Garamond"/>
        </w:rPr>
        <w:t>p. 188-9.</w:t>
      </w:r>
    </w:p>
  </w:footnote>
  <w:footnote w:id="321">
    <w:p w14:paraId="6B00A11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Kelly Meyers, ‘Metanoia and the Transformation of opportunity’ in </w:t>
      </w:r>
      <w:r w:rsidRPr="003B1071">
        <w:rPr>
          <w:rFonts w:ascii="Garamond" w:hAnsi="Garamond"/>
          <w:i/>
        </w:rPr>
        <w:t xml:space="preserve">Rhetoric Society Quarterly, </w:t>
      </w:r>
      <w:r w:rsidRPr="003B1071">
        <w:rPr>
          <w:rFonts w:ascii="Garamond" w:hAnsi="Garamond"/>
        </w:rPr>
        <w:t>41 (2011), 1-18 (p. 8).</w:t>
      </w:r>
    </w:p>
  </w:footnote>
  <w:footnote w:id="322">
    <w:p w14:paraId="12311B52" w14:textId="3A717938"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James Simpson </w:t>
      </w:r>
      <w:r w:rsidRPr="003B1071">
        <w:rPr>
          <w:rFonts w:ascii="Garamond" w:hAnsi="Garamond"/>
          <w:i/>
          <w:iCs/>
        </w:rPr>
        <w:t xml:space="preserve">Burning to Read: English Fundamentalism and its Reformation Opponents </w:t>
      </w:r>
      <w:r w:rsidRPr="003B1071">
        <w:rPr>
          <w:rFonts w:ascii="Garamond" w:hAnsi="Garamond"/>
        </w:rPr>
        <w:t xml:space="preserve">(Cambridge, Massachusetts: </w:t>
      </w:r>
      <w:proofErr w:type="spellStart"/>
      <w:r w:rsidRPr="003B1071">
        <w:rPr>
          <w:rFonts w:ascii="Garamond" w:hAnsi="Garamond"/>
        </w:rPr>
        <w:t>Belknap</w:t>
      </w:r>
      <w:proofErr w:type="spellEnd"/>
      <w:r w:rsidRPr="003B1071">
        <w:rPr>
          <w:rFonts w:ascii="Garamond" w:hAnsi="Garamond"/>
        </w:rPr>
        <w:t xml:space="preserve"> Press, 2007)</w:t>
      </w:r>
      <w:r>
        <w:rPr>
          <w:rFonts w:ascii="Garamond" w:hAnsi="Garamond"/>
        </w:rPr>
        <w:t>,</w:t>
      </w:r>
      <w:r w:rsidRPr="003B1071">
        <w:rPr>
          <w:rFonts w:ascii="Garamond" w:hAnsi="Garamond"/>
        </w:rPr>
        <w:t xml:space="preserve"> p. 76. </w:t>
      </w:r>
    </w:p>
  </w:footnote>
  <w:footnote w:id="323">
    <w:p w14:paraId="00F1C72D" w14:textId="7AC19957" w:rsidR="00814479" w:rsidRPr="003B1071" w:rsidRDefault="00814479" w:rsidP="00162224">
      <w:pPr>
        <w:pStyle w:val="FootnoteText"/>
        <w:rPr>
          <w:rFonts w:ascii="Garamond" w:hAnsi="Garamond"/>
          <w:i/>
        </w:rPr>
      </w:pPr>
      <w:r w:rsidRPr="003B1071">
        <w:rPr>
          <w:rStyle w:val="FootnoteReference"/>
          <w:rFonts w:ascii="Garamond" w:hAnsi="Garamond"/>
        </w:rPr>
        <w:footnoteRef/>
      </w:r>
      <w:r w:rsidRPr="003B1071">
        <w:rPr>
          <w:rFonts w:ascii="Garamond" w:hAnsi="Garamond"/>
        </w:rPr>
        <w:t xml:space="preserve"> Luther, pp. 65-70. See Clare Costley King’oo, </w:t>
      </w:r>
      <w:r w:rsidRPr="003B1071">
        <w:rPr>
          <w:rFonts w:ascii="Garamond" w:hAnsi="Garamond"/>
          <w:i/>
          <w:iCs/>
        </w:rPr>
        <w:t xml:space="preserve">Miserere Mei: The Penitential Psalms in Late Medieval and Early Modern England </w:t>
      </w:r>
      <w:r w:rsidRPr="003B1071">
        <w:rPr>
          <w:rFonts w:ascii="Garamond" w:hAnsi="Garamond"/>
        </w:rPr>
        <w:t>(Notre Dame, Indiana: University of Notre Dame Press, 2012)</w:t>
      </w:r>
      <w:r>
        <w:rPr>
          <w:rFonts w:ascii="Garamond" w:hAnsi="Garamond"/>
        </w:rPr>
        <w:t>,</w:t>
      </w:r>
      <w:r w:rsidRPr="003B1071">
        <w:rPr>
          <w:rFonts w:ascii="Garamond" w:hAnsi="Garamond"/>
        </w:rPr>
        <w:t xml:space="preserve"> pp. 82-94 for further discussion of how Luther made use of the term.</w:t>
      </w:r>
    </w:p>
  </w:footnote>
  <w:footnote w:id="324">
    <w:p w14:paraId="5672A72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Calvin, </w:t>
      </w:r>
      <w:r w:rsidRPr="003B1071">
        <w:rPr>
          <w:rFonts w:ascii="Garamond" w:hAnsi="Garamond"/>
          <w:i/>
        </w:rPr>
        <w:t xml:space="preserve">Institutes, </w:t>
      </w:r>
      <w:r w:rsidRPr="003B1071">
        <w:rPr>
          <w:rFonts w:ascii="Garamond" w:hAnsi="Garamond" w:cs="Times New Roman"/>
          <w:iCs/>
          <w:shd w:val="clear" w:color="auto" w:fill="FFFFFF"/>
        </w:rPr>
        <w:t>3.3.1-16</w:t>
      </w:r>
      <w:r w:rsidRPr="003B1071">
        <w:rPr>
          <w:rFonts w:ascii="Garamond" w:hAnsi="Garamond" w:cs="Times New Roman"/>
          <w:iCs/>
        </w:rPr>
        <w:t>.</w:t>
      </w:r>
    </w:p>
  </w:footnote>
  <w:footnote w:id="325">
    <w:p w14:paraId="078401B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Simpson (2007), p. 70. </w:t>
      </w:r>
    </w:p>
  </w:footnote>
  <w:footnote w:id="326">
    <w:p w14:paraId="6E42169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Costley King’oo, p. 1. </w:t>
      </w:r>
    </w:p>
  </w:footnote>
  <w:footnote w:id="327">
    <w:p w14:paraId="786A055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Costley King’oo, pp. 17-18</w:t>
      </w:r>
    </w:p>
  </w:footnote>
  <w:footnote w:id="328">
    <w:p w14:paraId="165B839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Costley King’oo, pp. 82-94. </w:t>
      </w:r>
    </w:p>
  </w:footnote>
  <w:footnote w:id="329">
    <w:p w14:paraId="4FD41F7B" w14:textId="77777777" w:rsidR="00814479" w:rsidRPr="003B1071" w:rsidRDefault="00814479" w:rsidP="00162224">
      <w:pPr>
        <w:pStyle w:val="FootnoteText"/>
        <w:rPr>
          <w:rFonts w:ascii="Garamond" w:hAnsi="Garamond" w:cs="Times New Roman"/>
        </w:rPr>
      </w:pPr>
      <w:r w:rsidRPr="003B1071">
        <w:rPr>
          <w:rStyle w:val="FootnoteReference"/>
          <w:rFonts w:ascii="Garamond" w:hAnsi="Garamond"/>
        </w:rPr>
        <w:footnoteRef/>
      </w:r>
      <w:r w:rsidRPr="003B1071">
        <w:rPr>
          <w:rFonts w:ascii="Garamond" w:hAnsi="Garamond"/>
        </w:rPr>
        <w:t xml:space="preserve"> </w:t>
      </w:r>
      <w:r w:rsidRPr="003B1071">
        <w:rPr>
          <w:rFonts w:ascii="Garamond" w:hAnsi="Garamond" w:cs="Times New Roman"/>
          <w:i/>
        </w:rPr>
        <w:t xml:space="preserve">The Holi Bible </w:t>
      </w:r>
      <w:r w:rsidRPr="003B1071">
        <w:rPr>
          <w:rFonts w:ascii="Garamond" w:hAnsi="Garamond" w:cs="Times New Roman"/>
        </w:rPr>
        <w:t>(Geneva: 1599), p. 217.</w:t>
      </w:r>
    </w:p>
  </w:footnote>
  <w:footnote w:id="330">
    <w:p w14:paraId="17C8938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Edward </w:t>
      </w:r>
      <w:r w:rsidRPr="003B1071">
        <w:rPr>
          <w:rFonts w:ascii="Garamond" w:hAnsi="Garamond" w:cs="Times New Roman"/>
        </w:rPr>
        <w:t xml:space="preserve">Coke, </w:t>
      </w:r>
      <w:bookmarkStart w:id="32" w:name="_Hlk532380068"/>
      <w:r w:rsidRPr="003B1071">
        <w:rPr>
          <w:rFonts w:ascii="Garamond" w:hAnsi="Garamond" w:cs="Times New Roman"/>
          <w:bCs/>
          <w:i/>
          <w:iCs/>
        </w:rPr>
        <w:t>The first part of the institutes of the Lawes of England</w:t>
      </w:r>
      <w:r w:rsidRPr="003B1071">
        <w:rPr>
          <w:rFonts w:ascii="Garamond" w:hAnsi="Garamond" w:cs="Times New Roman"/>
          <w:bCs/>
        </w:rPr>
        <w:t> (London: 1628),</w:t>
      </w:r>
      <w:r w:rsidRPr="003B1071">
        <w:rPr>
          <w:rFonts w:ascii="Garamond" w:hAnsi="Garamond" w:cs="Times New Roman"/>
        </w:rPr>
        <w:t xml:space="preserve"> </w:t>
      </w:r>
      <w:bookmarkEnd w:id="32"/>
      <w:r w:rsidRPr="003B1071">
        <w:rPr>
          <w:rFonts w:ascii="Garamond" w:hAnsi="Garamond" w:cs="Times New Roman"/>
        </w:rPr>
        <w:t>p. 124.</w:t>
      </w:r>
    </w:p>
  </w:footnote>
  <w:footnote w:id="331">
    <w:p w14:paraId="04D0F78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Montaigne, </w:t>
      </w:r>
      <w:r w:rsidRPr="003B1071">
        <w:rPr>
          <w:rFonts w:ascii="Garamond" w:hAnsi="Garamond"/>
          <w:i/>
          <w:iCs/>
        </w:rPr>
        <w:t xml:space="preserve">Essais, </w:t>
      </w:r>
      <w:r w:rsidRPr="003B1071">
        <w:rPr>
          <w:rFonts w:ascii="Garamond" w:hAnsi="Garamond"/>
        </w:rPr>
        <w:t>translated by John Florio (e-text from Renasence edition in public domain).</w:t>
      </w:r>
    </w:p>
  </w:footnote>
  <w:footnote w:id="332">
    <w:p w14:paraId="5FB4496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Lydia Whitehead, </w:t>
      </w:r>
      <w:bookmarkStart w:id="33" w:name="_Hlk532651406"/>
      <w:r w:rsidRPr="003B1071">
        <w:rPr>
          <w:rFonts w:ascii="Garamond" w:hAnsi="Garamond"/>
        </w:rPr>
        <w:t>‘</w:t>
      </w:r>
      <w:r w:rsidRPr="003B1071">
        <w:rPr>
          <w:rFonts w:ascii="Garamond" w:hAnsi="Garamond"/>
          <w:i/>
          <w:iCs/>
        </w:rPr>
        <w:t>A poena et culpa</w:t>
      </w:r>
      <w:r w:rsidRPr="003B1071">
        <w:rPr>
          <w:rFonts w:ascii="Garamond" w:hAnsi="Garamond"/>
        </w:rPr>
        <w:t xml:space="preserve">: penitence, confidence and the Miserere in Foxe's Actes and Monuments’ in </w:t>
      </w:r>
      <w:r w:rsidRPr="003B1071">
        <w:rPr>
          <w:rFonts w:ascii="Garamond" w:hAnsi="Garamond"/>
          <w:i/>
          <w:iCs/>
        </w:rPr>
        <w:t>Renaissance Studies</w:t>
      </w:r>
      <w:r w:rsidRPr="003B1071">
        <w:rPr>
          <w:rFonts w:ascii="Garamond" w:hAnsi="Garamond"/>
        </w:rPr>
        <w:t xml:space="preserve"> 4/3 (September 2008), </w:t>
      </w:r>
      <w:bookmarkEnd w:id="33"/>
      <w:r w:rsidRPr="003B1071">
        <w:rPr>
          <w:rFonts w:ascii="Garamond" w:hAnsi="Garamond"/>
        </w:rPr>
        <w:t>287-299.</w:t>
      </w:r>
    </w:p>
  </w:footnote>
  <w:footnote w:id="333">
    <w:p w14:paraId="22702AE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Hannay, ‘Wisdom the Wordes’, p. 70</w:t>
      </w:r>
    </w:p>
  </w:footnote>
  <w:footnote w:id="334">
    <w:p w14:paraId="442B259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Lock was born Anne Vaughan and through her life, due to four marriages was known variously as Anne Lok, Lock, Locke, Dering, Prowse (and Prouze). </w:t>
      </w:r>
    </w:p>
  </w:footnote>
  <w:footnote w:id="335">
    <w:p w14:paraId="464D7F0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r w:rsidRPr="003B1071">
        <w:rPr>
          <w:rFonts w:ascii="Garamond" w:hAnsi="Garamond" w:cs="Times New Roman"/>
        </w:rPr>
        <w:t xml:space="preserve">Anne Vaughan Lock, </w:t>
      </w:r>
      <w:r w:rsidRPr="003B1071">
        <w:rPr>
          <w:rFonts w:ascii="Garamond" w:hAnsi="Garamond" w:cs="Times New Roman"/>
          <w:i/>
          <w:iCs/>
        </w:rPr>
        <w:t xml:space="preserve">The Collected works of Anne Vaughan Lock, </w:t>
      </w:r>
      <w:r w:rsidRPr="003B1071">
        <w:rPr>
          <w:rFonts w:ascii="Garamond" w:hAnsi="Garamond" w:cs="Times New Roman"/>
        </w:rPr>
        <w:t xml:space="preserve">ed. by Susan M Felch (Tempe, AZ: Renaissance Text Society, 1999) pp. xvii. </w:t>
      </w:r>
    </w:p>
  </w:footnote>
  <w:footnote w:id="336">
    <w:p w14:paraId="260FD8D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Knox, p. 221, p. 239. </w:t>
      </w:r>
    </w:p>
  </w:footnote>
  <w:footnote w:id="337">
    <w:p w14:paraId="48FF402B" w14:textId="22E4B2AD"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Knox, </w:t>
      </w:r>
      <w:r w:rsidRPr="003B1071">
        <w:rPr>
          <w:rFonts w:ascii="Garamond" w:hAnsi="Garamond"/>
          <w:i/>
          <w:iCs/>
        </w:rPr>
        <w:t>Works: Volume IV</w:t>
      </w:r>
      <w:r w:rsidR="008F16FC">
        <w:rPr>
          <w:rFonts w:ascii="Garamond" w:hAnsi="Garamond"/>
          <w:i/>
          <w:iCs/>
        </w:rPr>
        <w:t>,</w:t>
      </w:r>
      <w:r w:rsidRPr="003B1071">
        <w:rPr>
          <w:rFonts w:ascii="Garamond" w:hAnsi="Garamond"/>
          <w:i/>
          <w:iCs/>
        </w:rPr>
        <w:t xml:space="preserve"> </w:t>
      </w:r>
      <w:r w:rsidRPr="003B1071">
        <w:rPr>
          <w:rFonts w:ascii="Garamond" w:hAnsi="Garamond"/>
          <w:iCs/>
        </w:rPr>
        <w:t>ed. by David Laing (London: Woodrow Society, 1846), p</w:t>
      </w:r>
      <w:r w:rsidRPr="003B1071">
        <w:rPr>
          <w:rFonts w:ascii="Garamond" w:hAnsi="Garamond"/>
        </w:rPr>
        <w:t>. 220. See Susan Felch, ‘</w:t>
      </w:r>
      <w:r>
        <w:rPr>
          <w:rFonts w:ascii="Garamond" w:hAnsi="Garamond"/>
        </w:rPr>
        <w:t>“</w:t>
      </w:r>
      <w:r w:rsidRPr="003B1071">
        <w:rPr>
          <w:rFonts w:ascii="Garamond" w:hAnsi="Garamond"/>
        </w:rPr>
        <w:t>Dear Sister</w:t>
      </w:r>
      <w:r>
        <w:rPr>
          <w:rFonts w:ascii="Garamond" w:hAnsi="Garamond"/>
        </w:rPr>
        <w:t>”</w:t>
      </w:r>
      <w:r w:rsidRPr="003B1071">
        <w:rPr>
          <w:rFonts w:ascii="Garamond" w:hAnsi="Garamond"/>
        </w:rPr>
        <w:t xml:space="preserve">: The Letters of John Knox to Anne Vaughan Lok’ in </w:t>
      </w:r>
      <w:r w:rsidRPr="003B1071">
        <w:rPr>
          <w:rFonts w:ascii="Garamond" w:hAnsi="Garamond"/>
          <w:i/>
        </w:rPr>
        <w:t>Renaissance and Reformation,</w:t>
      </w:r>
      <w:r w:rsidRPr="003B1071">
        <w:rPr>
          <w:rFonts w:ascii="Garamond" w:hAnsi="Garamond"/>
        </w:rPr>
        <w:t xml:space="preserve"> 19.4 (1995), 47-68 for a discussion of Knox and Lock’s relationship and correspondence. </w:t>
      </w:r>
    </w:p>
  </w:footnote>
  <w:footnote w:id="338">
    <w:p w14:paraId="034DA01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Patrick Collinson, ‘Locke [née Vaughan; other married names Dering, Prowse], Anne, translator and religious activist’, </w:t>
      </w:r>
      <w:r w:rsidRPr="003B1071">
        <w:rPr>
          <w:rFonts w:ascii="Garamond" w:hAnsi="Garamond"/>
          <w:i/>
          <w:iCs/>
        </w:rPr>
        <w:t xml:space="preserve">ODNB. </w:t>
      </w:r>
      <w:r w:rsidRPr="003B1071">
        <w:rPr>
          <w:rFonts w:ascii="Garamond" w:hAnsi="Garamond"/>
        </w:rPr>
        <w:t xml:space="preserve">  </w:t>
      </w:r>
    </w:p>
  </w:footnote>
  <w:footnote w:id="339">
    <w:p w14:paraId="54027BF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r w:rsidRPr="003B1071">
        <w:rPr>
          <w:rFonts w:ascii="Garamond" w:hAnsi="Garamond" w:cs="Times New Roman"/>
        </w:rPr>
        <w:t xml:space="preserve">Hannay, ‘Wisdom the Words’, p. 67. </w:t>
      </w:r>
    </w:p>
  </w:footnote>
  <w:footnote w:id="340">
    <w:p w14:paraId="7E5AEA7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r w:rsidRPr="003B1071">
        <w:rPr>
          <w:rFonts w:ascii="Garamond" w:hAnsi="Garamond" w:cs="Times New Roman"/>
        </w:rPr>
        <w:t xml:space="preserve">Lock, p. xxi. </w:t>
      </w:r>
    </w:p>
  </w:footnote>
  <w:footnote w:id="341">
    <w:p w14:paraId="00E163AC" w14:textId="2E442300"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It should be noted that ‘Meditation’ was first published appended to four of Calvin’s sermons. Lock does not claim the sonnet for her own, describing it as agreeing with ‘the same argument’ of ‘maister Calvines worke’ and stating that it was ‘delivered me by my frend with whom I knew I might be so bolde to use and publishe it as pleased me’, Lock, p. 62. Debates over Lock’s possible authorship arguably may have led to the innovative nature of the poem being overlooked, however critical consensus is now that Lock was the author of the sequence. Anne Lake Prescott suggests that ‘this casual treatment… could be Anne Lock’s own modesty. It could show her nervousness about publishing anything as stylish as a sonnet sequence… The nervous</w:t>
      </w:r>
      <w:r>
        <w:rPr>
          <w:rFonts w:ascii="Garamond" w:hAnsi="Garamond"/>
        </w:rPr>
        <w:t>ness</w:t>
      </w:r>
      <w:r w:rsidRPr="003B1071">
        <w:rPr>
          <w:rFonts w:ascii="Garamond" w:hAnsi="Garamond"/>
        </w:rPr>
        <w:t xml:space="preserve"> could also be the </w:t>
      </w:r>
      <w:proofErr w:type="gramStart"/>
      <w:r w:rsidRPr="003B1071">
        <w:rPr>
          <w:rFonts w:ascii="Garamond" w:hAnsi="Garamond"/>
        </w:rPr>
        <w:t>printer’s’</w:t>
      </w:r>
      <w:proofErr w:type="gramEnd"/>
      <w:r w:rsidRPr="003B1071">
        <w:rPr>
          <w:rFonts w:ascii="Garamond" w:hAnsi="Garamond"/>
        </w:rPr>
        <w:t xml:space="preserve">. See Anne Lake Prescott, ‘Two Annes, Two Davids: The Sonnets of Anne Lock and Anne de Marquets’ in </w:t>
      </w:r>
      <w:r w:rsidRPr="003B1071">
        <w:rPr>
          <w:rFonts w:ascii="Garamond" w:hAnsi="Garamond"/>
          <w:i/>
        </w:rPr>
        <w:t xml:space="preserve">Tradition, Heterodoxy, and Religious Culture </w:t>
      </w:r>
      <w:r w:rsidRPr="003B1071">
        <w:rPr>
          <w:rFonts w:ascii="Garamond" w:hAnsi="Garamond"/>
          <w:iCs/>
        </w:rPr>
        <w:t>(</w:t>
      </w:r>
      <w:r w:rsidRPr="003B1071">
        <w:rPr>
          <w:rFonts w:ascii="Garamond" w:hAnsi="Garamond"/>
        </w:rPr>
        <w:t xml:space="preserve">Beer-Sheva: Ben-Gurion University of the Negev Press, 2006), pp. 311–29 (p. 321). </w:t>
      </w:r>
    </w:p>
  </w:footnote>
  <w:footnote w:id="342">
    <w:p w14:paraId="61B976F4" w14:textId="0F56F28B"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Christopher Warley, </w:t>
      </w:r>
      <w:r w:rsidRPr="003B1071">
        <w:rPr>
          <w:rFonts w:ascii="Garamond" w:hAnsi="Garamond"/>
          <w:i/>
          <w:iCs/>
        </w:rPr>
        <w:t>Sonnet Sequences and Social distinction in Renaissance England</w:t>
      </w:r>
      <w:r w:rsidRPr="003B1071">
        <w:rPr>
          <w:rFonts w:ascii="Garamond" w:hAnsi="Garamond"/>
        </w:rPr>
        <w:t xml:space="preserve"> (Cambridge: Cambridge University Press, 2005)</w:t>
      </w:r>
      <w:r>
        <w:rPr>
          <w:rFonts w:ascii="Garamond" w:hAnsi="Garamond"/>
        </w:rPr>
        <w:t>,</w:t>
      </w:r>
      <w:r w:rsidRPr="003B1071">
        <w:rPr>
          <w:rFonts w:ascii="Garamond" w:hAnsi="Garamond"/>
        </w:rPr>
        <w:t xml:space="preserve"> pp. 45-71.</w:t>
      </w:r>
    </w:p>
  </w:footnote>
  <w:footnote w:id="343">
    <w:p w14:paraId="231554B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Hereafter referred to as ‘Meditation’. </w:t>
      </w:r>
    </w:p>
  </w:footnote>
  <w:footnote w:id="344">
    <w:p w14:paraId="045EFEB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Lock, p. lvi. </w:t>
      </w:r>
    </w:p>
  </w:footnote>
  <w:footnote w:id="345">
    <w:p w14:paraId="4B5F7CD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Lock, </w:t>
      </w:r>
      <w:r w:rsidRPr="003B1071">
        <w:rPr>
          <w:rFonts w:ascii="Garamond" w:hAnsi="Garamond" w:cs="Times New Roman"/>
          <w:i/>
        </w:rPr>
        <w:t xml:space="preserve">A Meditation of a Penitent Sinner: Anne Locke’s Sonnet Sequence with Locke’s Epistle, </w:t>
      </w:r>
      <w:r w:rsidRPr="003B1071">
        <w:rPr>
          <w:rFonts w:ascii="Garamond" w:hAnsi="Garamond" w:cs="Times New Roman"/>
        </w:rPr>
        <w:t xml:space="preserve">edited with an introduction by Kel Morin-Parsons (Waterloo, Ontario: North Waterloo Academic Press, 1997), p. 39. </w:t>
      </w:r>
      <w:r w:rsidRPr="003B1071">
        <w:rPr>
          <w:rFonts w:ascii="Garamond" w:hAnsi="Garamond"/>
        </w:rPr>
        <w:t xml:space="preserve">In his review of Morin Parsons edition of Lock, Michael Spiller also points out that this description of ‘psalmic glosses’ is technically incorrect. Michael Spiller, ‘A literary ‘first’: the sonnet sequence of Anne Locke (1560)’ in </w:t>
      </w:r>
      <w:r w:rsidRPr="003B1071">
        <w:rPr>
          <w:rFonts w:ascii="Garamond" w:hAnsi="Garamond"/>
          <w:i/>
        </w:rPr>
        <w:t xml:space="preserve">Renaissance Studies </w:t>
      </w:r>
      <w:r w:rsidRPr="003B1071">
        <w:rPr>
          <w:rFonts w:ascii="Garamond" w:hAnsi="Garamond"/>
        </w:rPr>
        <w:t xml:space="preserve">11/1 (1997), 41-55 (p. 41). </w:t>
      </w:r>
    </w:p>
  </w:footnote>
  <w:footnote w:id="346">
    <w:p w14:paraId="2945185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Lock, ll. </w:t>
      </w:r>
      <w:r w:rsidRPr="003B1071">
        <w:rPr>
          <w:rFonts w:ascii="Garamond" w:eastAsia="Times New Roman" w:hAnsi="Garamond" w:cs="Times New Roman"/>
        </w:rPr>
        <w:t xml:space="preserve">88-100. </w:t>
      </w:r>
    </w:p>
  </w:footnote>
  <w:footnote w:id="347">
    <w:p w14:paraId="5AC3084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Lock, ll. 22-3, ll. 17-18. </w:t>
      </w:r>
    </w:p>
  </w:footnote>
  <w:footnote w:id="348">
    <w:p w14:paraId="0721B41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Lock, ll. 25-8. </w:t>
      </w:r>
    </w:p>
  </w:footnote>
  <w:footnote w:id="349">
    <w:p w14:paraId="3306621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Lock, ll. 42-6. </w:t>
      </w:r>
    </w:p>
  </w:footnote>
  <w:footnote w:id="350">
    <w:p w14:paraId="16EF069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Lock, ll. 74-8.</w:t>
      </w:r>
    </w:p>
  </w:footnote>
  <w:footnote w:id="351">
    <w:p w14:paraId="6ADCCC0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Michael Spiller has discussed the evidence that Lock ‘may have had Wyatt’s psalm translations before her’ whilst writing her sonnets, see Spiller, p. 49. </w:t>
      </w:r>
    </w:p>
  </w:footnote>
  <w:footnote w:id="352">
    <w:p w14:paraId="338D494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Griffiths, online ed.</w:t>
      </w:r>
    </w:p>
  </w:footnote>
  <w:footnote w:id="353">
    <w:p w14:paraId="4E41A72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Lock, ll. 227-230. </w:t>
      </w:r>
    </w:p>
  </w:footnote>
  <w:footnote w:id="354">
    <w:p w14:paraId="47B7368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r w:rsidRPr="003B1071">
        <w:rPr>
          <w:rFonts w:ascii="Garamond" w:hAnsi="Garamond" w:cs="Times New Roman"/>
        </w:rPr>
        <w:t>Lock, ll. 105-14.</w:t>
      </w:r>
    </w:p>
  </w:footnote>
  <w:footnote w:id="355">
    <w:p w14:paraId="5AB38FF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Lock, ll. 119-123.</w:t>
      </w:r>
    </w:p>
  </w:footnote>
  <w:footnote w:id="356">
    <w:p w14:paraId="35A6D60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William Perkins, </w:t>
      </w:r>
      <w:r w:rsidRPr="003B1071">
        <w:rPr>
          <w:rFonts w:ascii="Garamond" w:hAnsi="Garamond"/>
          <w:i/>
        </w:rPr>
        <w:t xml:space="preserve">A Golden Chaine </w:t>
      </w:r>
      <w:r w:rsidRPr="003B1071">
        <w:rPr>
          <w:rFonts w:ascii="Garamond" w:hAnsi="Garamond"/>
        </w:rPr>
        <w:t xml:space="preserve">(London: 1600), p. 1. </w:t>
      </w:r>
    </w:p>
  </w:footnote>
  <w:footnote w:id="357">
    <w:p w14:paraId="5C6E1945" w14:textId="06FF7FAF"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Lori Anne Ferrell, ‘How-To Books, Protestant Kinetics, and the Art of Theology’ in </w:t>
      </w:r>
      <w:r w:rsidRPr="003B1071">
        <w:rPr>
          <w:rFonts w:ascii="Garamond" w:hAnsi="Garamond"/>
          <w:i/>
          <w:iCs/>
        </w:rPr>
        <w:t>Huntington Library Quarterly</w:t>
      </w:r>
      <w:r w:rsidRPr="003B1071">
        <w:rPr>
          <w:rFonts w:ascii="Garamond" w:hAnsi="Garamond"/>
        </w:rPr>
        <w:t xml:space="preserve">, 71.4 (December 2008), 591-606 (p. 602). </w:t>
      </w:r>
    </w:p>
  </w:footnote>
  <w:footnote w:id="358">
    <w:p w14:paraId="06CC4B87" w14:textId="12D21765" w:rsidR="00814479" w:rsidRPr="003B1071" w:rsidRDefault="00814479" w:rsidP="00162224">
      <w:pPr>
        <w:pStyle w:val="FootnoteText"/>
        <w:rPr>
          <w:rFonts w:ascii="Garamond" w:hAnsi="Garamond"/>
          <w:lang w:val="sv-SE"/>
        </w:rPr>
      </w:pPr>
      <w:r w:rsidRPr="003B1071">
        <w:rPr>
          <w:rStyle w:val="FootnoteReference"/>
          <w:rFonts w:ascii="Garamond" w:hAnsi="Garamond"/>
        </w:rPr>
        <w:footnoteRef/>
      </w:r>
      <w:r w:rsidRPr="003B1071">
        <w:rPr>
          <w:rFonts w:ascii="Garamond" w:hAnsi="Garamond"/>
          <w:lang w:val="sv-SE"/>
        </w:rPr>
        <w:t xml:space="preserve"> Ferell (2008), p. 597, p. 602. </w:t>
      </w:r>
    </w:p>
  </w:footnote>
  <w:footnote w:id="359">
    <w:p w14:paraId="667A3D40" w14:textId="77777777" w:rsidR="00814479" w:rsidRPr="003B1071" w:rsidRDefault="00814479" w:rsidP="00162224">
      <w:pPr>
        <w:pStyle w:val="FootnoteText"/>
        <w:rPr>
          <w:rFonts w:ascii="Garamond" w:hAnsi="Garamond"/>
          <w:lang w:val="sv-SE"/>
        </w:rPr>
      </w:pPr>
      <w:r w:rsidRPr="003B1071">
        <w:rPr>
          <w:rStyle w:val="FootnoteReference"/>
          <w:rFonts w:ascii="Garamond" w:hAnsi="Garamond"/>
        </w:rPr>
        <w:footnoteRef/>
      </w:r>
      <w:r w:rsidRPr="003B1071">
        <w:rPr>
          <w:rFonts w:ascii="Garamond" w:hAnsi="Garamond"/>
          <w:lang w:val="sv-SE"/>
        </w:rPr>
        <w:t xml:space="preserve"> </w:t>
      </w:r>
      <w:r w:rsidRPr="003B1071">
        <w:rPr>
          <w:rFonts w:ascii="Garamond" w:hAnsi="Garamond"/>
          <w:iCs/>
          <w:lang w:val="sv-SE"/>
        </w:rPr>
        <w:t>Sidney,</w:t>
      </w:r>
      <w:r w:rsidRPr="003B1071">
        <w:rPr>
          <w:rFonts w:ascii="Garamond" w:hAnsi="Garamond"/>
          <w:lang w:val="sv-SE"/>
        </w:rPr>
        <w:t xml:space="preserve"> pp. 120-121. </w:t>
      </w:r>
    </w:p>
  </w:footnote>
  <w:footnote w:id="360">
    <w:p w14:paraId="7A8CBDD4" w14:textId="77777777" w:rsidR="00814479" w:rsidRPr="003B1071" w:rsidRDefault="00814479" w:rsidP="00162224">
      <w:pPr>
        <w:pStyle w:val="FootnoteText"/>
        <w:rPr>
          <w:rFonts w:ascii="Garamond" w:hAnsi="Garamond"/>
          <w:lang w:val="sv-SE"/>
        </w:rPr>
      </w:pPr>
      <w:r w:rsidRPr="003B1071">
        <w:rPr>
          <w:rStyle w:val="FootnoteReference"/>
          <w:rFonts w:ascii="Garamond" w:hAnsi="Garamond"/>
        </w:rPr>
        <w:footnoteRef/>
      </w:r>
      <w:r w:rsidRPr="003B1071">
        <w:rPr>
          <w:rFonts w:ascii="Garamond" w:hAnsi="Garamond"/>
          <w:lang w:val="sv-SE"/>
        </w:rPr>
        <w:t xml:space="preserve"> Parker, </w:t>
      </w:r>
      <w:r w:rsidRPr="003B1071">
        <w:rPr>
          <w:rFonts w:ascii="Garamond" w:hAnsi="Garamond"/>
          <w:i/>
          <w:lang w:val="sv-SE"/>
        </w:rPr>
        <w:t xml:space="preserve">Psalter, </w:t>
      </w:r>
      <w:r w:rsidRPr="003B1071">
        <w:rPr>
          <w:rFonts w:ascii="Garamond" w:hAnsi="Garamond"/>
          <w:lang w:val="sv-SE"/>
        </w:rPr>
        <w:t xml:space="preserve">B2r. </w:t>
      </w:r>
    </w:p>
  </w:footnote>
  <w:footnote w:id="361">
    <w:p w14:paraId="045B585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Rhyme Royale is characterised by a </w:t>
      </w:r>
      <w:proofErr w:type="gramStart"/>
      <w:r w:rsidRPr="003B1071">
        <w:rPr>
          <w:rFonts w:ascii="Garamond" w:hAnsi="Garamond"/>
        </w:rPr>
        <w:t>seven line</w:t>
      </w:r>
      <w:proofErr w:type="gramEnd"/>
      <w:r w:rsidRPr="003B1071">
        <w:rPr>
          <w:rFonts w:ascii="Garamond" w:hAnsi="Garamond"/>
        </w:rPr>
        <w:t xml:space="preserve"> stanza, structured a-b-a-b-b-c-c. From the Middle Ages this had been a highly popular narrative verse form, introduced into English poetry by Chaucer, however it began to fall out of fashion during the Elizabethan period. On this see Alex </w:t>
      </w:r>
      <w:bookmarkStart w:id="36" w:name="_Hlk532657662"/>
      <w:r w:rsidRPr="003B1071">
        <w:rPr>
          <w:rFonts w:ascii="Garamond" w:hAnsi="Garamond"/>
        </w:rPr>
        <w:t xml:space="preserve">Preminger, </w:t>
      </w:r>
      <w:r w:rsidRPr="003B1071">
        <w:rPr>
          <w:rFonts w:ascii="Garamond" w:hAnsi="Garamond"/>
          <w:i/>
          <w:iCs/>
        </w:rPr>
        <w:t xml:space="preserve">The Princeton Handbook of Poetic Terms </w:t>
      </w:r>
      <w:r w:rsidRPr="003B1071">
        <w:rPr>
          <w:rFonts w:ascii="Garamond" w:hAnsi="Garamond"/>
          <w:iCs/>
        </w:rPr>
        <w:t xml:space="preserve">(Princeton: </w:t>
      </w:r>
      <w:r w:rsidRPr="003B1071">
        <w:rPr>
          <w:rFonts w:ascii="Garamond" w:hAnsi="Garamond"/>
        </w:rPr>
        <w:t xml:space="preserve">Princeton University Press, 1986) </w:t>
      </w:r>
      <w:bookmarkEnd w:id="36"/>
      <w:r w:rsidRPr="003B1071">
        <w:rPr>
          <w:rFonts w:ascii="Garamond" w:hAnsi="Garamond"/>
        </w:rPr>
        <w:t xml:space="preserve">pp. 237-8. </w:t>
      </w:r>
    </w:p>
  </w:footnote>
  <w:footnote w:id="362">
    <w:p w14:paraId="3F58D1D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Joanne Paul, ‘The use of </w:t>
      </w:r>
      <w:r w:rsidRPr="003B1071">
        <w:rPr>
          <w:rFonts w:ascii="Garamond" w:hAnsi="Garamond"/>
          <w:i/>
        </w:rPr>
        <w:t xml:space="preserve">Kairos </w:t>
      </w:r>
      <w:r w:rsidRPr="003B1071">
        <w:rPr>
          <w:rFonts w:ascii="Garamond" w:hAnsi="Garamond"/>
        </w:rPr>
        <w:t xml:space="preserve">in Renaissance Political Philosophy’ in </w:t>
      </w:r>
      <w:r w:rsidRPr="003B1071">
        <w:rPr>
          <w:rFonts w:ascii="Garamond" w:hAnsi="Garamond"/>
          <w:i/>
        </w:rPr>
        <w:t xml:space="preserve">Renaissance Quarterly, </w:t>
      </w:r>
      <w:r w:rsidRPr="003B1071">
        <w:rPr>
          <w:rFonts w:ascii="Garamond" w:hAnsi="Garamond"/>
        </w:rPr>
        <w:t xml:space="preserve">67 (2014), 43-78 for further discussion. </w:t>
      </w:r>
    </w:p>
  </w:footnote>
  <w:footnote w:id="363">
    <w:p w14:paraId="4D7786A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r w:rsidRPr="003B1071">
        <w:rPr>
          <w:rFonts w:ascii="Garamond" w:eastAsia="Calibri" w:hAnsi="Garamond" w:cs="Times New Roman"/>
        </w:rPr>
        <w:t>Paul, p. 45</w:t>
      </w:r>
    </w:p>
  </w:footnote>
  <w:footnote w:id="364">
    <w:p w14:paraId="7D75116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K. Meyers, p. 1. Emphasis my own. </w:t>
      </w:r>
    </w:p>
  </w:footnote>
  <w:footnote w:id="365">
    <w:p w14:paraId="0F287AE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Quoted in K. Meyers, p. 4. </w:t>
      </w:r>
    </w:p>
  </w:footnote>
  <w:footnote w:id="366">
    <w:p w14:paraId="1EFEA58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Pseudo-Dionysius wrote in the late fifth and early sixth century, but his works are in the voice of St. Dionysius the Areopagite (1</w:t>
      </w:r>
      <w:r w:rsidRPr="003B1071">
        <w:rPr>
          <w:rFonts w:ascii="Garamond" w:hAnsi="Garamond"/>
          <w:vertAlign w:val="superscript"/>
        </w:rPr>
        <w:t>st</w:t>
      </w:r>
      <w:r w:rsidRPr="003B1071">
        <w:rPr>
          <w:rFonts w:ascii="Garamond" w:hAnsi="Garamond"/>
        </w:rPr>
        <w:t xml:space="preserve"> century C.E.) which would have provided him ‘with impeccable Christian credentials that conveniently antedated Plotinus by close to two hundred years’. Pseudo-Dionysius gained ‘almost apostolic authority’ in the Middle Ages and Renaissance. Kevin Corrigan and Michael Harrington suggest that it is anachronistic to view this as a deliberate attempt at ‘forgery’, as the author was not claiming to be an innovator, rather communicating a </w:t>
      </w:r>
      <w:proofErr w:type="gramStart"/>
      <w:r w:rsidRPr="003B1071">
        <w:rPr>
          <w:rFonts w:ascii="Garamond" w:hAnsi="Garamond"/>
        </w:rPr>
        <w:t>long standing</w:t>
      </w:r>
      <w:proofErr w:type="gramEnd"/>
      <w:r w:rsidRPr="003B1071">
        <w:rPr>
          <w:rFonts w:ascii="Garamond" w:hAnsi="Garamond"/>
        </w:rPr>
        <w:t xml:space="preserve"> tradition. </w:t>
      </w:r>
      <w:bookmarkStart w:id="37" w:name="_Hlk532658084"/>
      <w:r w:rsidRPr="003B1071">
        <w:rPr>
          <w:rFonts w:ascii="Garamond" w:hAnsi="Garamond"/>
        </w:rPr>
        <w:t xml:space="preserve">Kevin Corrigan, and Michael L. Harrington, ‘Pseudo-Dionysius the Areopagite’, </w:t>
      </w:r>
      <w:r w:rsidRPr="003B1071">
        <w:rPr>
          <w:rFonts w:ascii="Garamond" w:hAnsi="Garamond"/>
          <w:i/>
        </w:rPr>
        <w:t>The Stanford Encyclopaedia of Philosophy</w:t>
      </w:r>
      <w:r w:rsidRPr="003B1071">
        <w:rPr>
          <w:rFonts w:ascii="Garamond" w:hAnsi="Garamond"/>
        </w:rPr>
        <w:t xml:space="preserve"> (Summer 2018 online edition). </w:t>
      </w:r>
      <w:bookmarkEnd w:id="37"/>
      <w:r w:rsidRPr="003B1071">
        <w:rPr>
          <w:rFonts w:ascii="Garamond" w:hAnsi="Garamond"/>
        </w:rPr>
        <w:t>The practice of adopting an ancient figure’s persona was a common rhetorical device (</w:t>
      </w:r>
      <w:r w:rsidRPr="003B1071">
        <w:rPr>
          <w:rFonts w:ascii="Garamond" w:hAnsi="Garamond"/>
          <w:i/>
        </w:rPr>
        <w:t xml:space="preserve">declamito) </w:t>
      </w:r>
      <w:r w:rsidRPr="003B1071">
        <w:rPr>
          <w:rFonts w:ascii="Garamond" w:hAnsi="Garamond"/>
        </w:rPr>
        <w:t xml:space="preserve">carried out by many in his circle. </w:t>
      </w:r>
      <w:bookmarkStart w:id="38" w:name="_Hlk532658173"/>
      <w:r w:rsidRPr="003B1071">
        <w:rPr>
          <w:rFonts w:ascii="Garamond" w:hAnsi="Garamond"/>
        </w:rPr>
        <w:t xml:space="preserve">Marsilio Ficino and Pseudo-Dionysius, </w:t>
      </w:r>
      <w:r w:rsidRPr="003B1071">
        <w:rPr>
          <w:rFonts w:ascii="Garamond" w:hAnsi="Garamond"/>
          <w:i/>
        </w:rPr>
        <w:t xml:space="preserve">On Dionysius the Areopagite, </w:t>
      </w:r>
      <w:r w:rsidRPr="003B1071">
        <w:rPr>
          <w:rFonts w:ascii="Garamond" w:hAnsi="Garamond"/>
        </w:rPr>
        <w:t xml:space="preserve">ed. and translated by Michael J.B. Allen (Cambridge, MA: Harvard University Press, 2015) </w:t>
      </w:r>
      <w:bookmarkEnd w:id="38"/>
      <w:r w:rsidRPr="003B1071">
        <w:rPr>
          <w:rFonts w:ascii="Garamond" w:hAnsi="Garamond"/>
        </w:rPr>
        <w:t xml:space="preserve">pp. 369-371. </w:t>
      </w:r>
    </w:p>
  </w:footnote>
  <w:footnote w:id="367">
    <w:p w14:paraId="2A216185" w14:textId="77777777" w:rsidR="00814479" w:rsidRPr="003B1071" w:rsidRDefault="00814479" w:rsidP="00162224">
      <w:pPr>
        <w:pStyle w:val="FootnoteText"/>
        <w:rPr>
          <w:rFonts w:ascii="Garamond" w:hAnsi="Garamond"/>
          <w:lang w:val="it-IT"/>
        </w:rPr>
      </w:pPr>
      <w:r w:rsidRPr="003B1071">
        <w:rPr>
          <w:rStyle w:val="FootnoteReference"/>
          <w:rFonts w:ascii="Garamond" w:hAnsi="Garamond"/>
        </w:rPr>
        <w:footnoteRef/>
      </w:r>
      <w:r w:rsidRPr="003B1071">
        <w:rPr>
          <w:rFonts w:ascii="Garamond" w:hAnsi="Garamond"/>
          <w:lang w:val="it-IT"/>
        </w:rPr>
        <w:t xml:space="preserve"> Ficino, p. 363. </w:t>
      </w:r>
    </w:p>
  </w:footnote>
  <w:footnote w:id="368">
    <w:p w14:paraId="5DA7029B" w14:textId="77777777" w:rsidR="00814479" w:rsidRPr="003B1071" w:rsidRDefault="00814479" w:rsidP="00162224">
      <w:pPr>
        <w:pStyle w:val="FootnoteText"/>
        <w:rPr>
          <w:rFonts w:ascii="Garamond" w:hAnsi="Garamond"/>
          <w:lang w:val="it-IT"/>
        </w:rPr>
      </w:pPr>
      <w:r w:rsidRPr="003B1071">
        <w:rPr>
          <w:rStyle w:val="FootnoteReference"/>
          <w:rFonts w:ascii="Garamond" w:hAnsi="Garamond"/>
        </w:rPr>
        <w:footnoteRef/>
      </w:r>
      <w:r w:rsidRPr="003B1071">
        <w:rPr>
          <w:rFonts w:ascii="Garamond" w:hAnsi="Garamond"/>
          <w:lang w:val="it-IT"/>
        </w:rPr>
        <w:t xml:space="preserve"> Ficino, p. 369. </w:t>
      </w:r>
    </w:p>
  </w:footnote>
  <w:footnote w:id="369">
    <w:p w14:paraId="6B1BE599" w14:textId="77777777" w:rsidR="00814479" w:rsidRPr="003B1071" w:rsidRDefault="00814479" w:rsidP="00162224">
      <w:pPr>
        <w:pStyle w:val="FootnoteText"/>
        <w:rPr>
          <w:rFonts w:ascii="Garamond" w:hAnsi="Garamond"/>
          <w:lang w:val="it-IT"/>
        </w:rPr>
      </w:pPr>
      <w:r w:rsidRPr="003B1071">
        <w:rPr>
          <w:rStyle w:val="FootnoteReference"/>
          <w:rFonts w:ascii="Garamond" w:hAnsi="Garamond"/>
        </w:rPr>
        <w:footnoteRef/>
      </w:r>
      <w:r w:rsidRPr="003B1071">
        <w:rPr>
          <w:rFonts w:ascii="Garamond" w:hAnsi="Garamond"/>
          <w:lang w:val="it-IT"/>
        </w:rPr>
        <w:t xml:space="preserve"> Ficino, p. 365. </w:t>
      </w:r>
    </w:p>
  </w:footnote>
  <w:footnote w:id="370">
    <w:p w14:paraId="2844110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Ficino, p. 365. </w:t>
      </w:r>
    </w:p>
  </w:footnote>
  <w:footnote w:id="371">
    <w:p w14:paraId="564CEE90" w14:textId="20D847B9"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Simpson (2007), p. 29. </w:t>
      </w:r>
    </w:p>
  </w:footnote>
  <w:footnote w:id="372">
    <w:p w14:paraId="6068E1A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Lock, ll. </w:t>
      </w:r>
      <w:r w:rsidRPr="003B1071">
        <w:rPr>
          <w:rFonts w:ascii="Garamond" w:hAnsi="Garamond" w:cs="Times New Roman"/>
        </w:rPr>
        <w:t>287-251.</w:t>
      </w:r>
    </w:p>
  </w:footnote>
  <w:footnote w:id="373">
    <w:p w14:paraId="32A6A21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Perkins, p. 1. </w:t>
      </w:r>
    </w:p>
  </w:footnote>
  <w:footnote w:id="374">
    <w:p w14:paraId="3DA5D41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Ferrell, “How to books”, p. 592. </w:t>
      </w:r>
    </w:p>
  </w:footnote>
  <w:footnote w:id="375">
    <w:p w14:paraId="1DC6D1A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Bakhtin, p. 24. </w:t>
      </w:r>
    </w:p>
  </w:footnote>
  <w:footnote w:id="376">
    <w:p w14:paraId="6F66805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Bakhtin, p. 30. </w:t>
      </w:r>
    </w:p>
  </w:footnote>
  <w:footnote w:id="377">
    <w:p w14:paraId="4A573132" w14:textId="4BFB1679"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Simpson</w:t>
      </w:r>
      <w:r w:rsidR="00276F4F">
        <w:rPr>
          <w:rFonts w:ascii="Garamond" w:hAnsi="Garamond"/>
        </w:rPr>
        <w:t xml:space="preserve"> </w:t>
      </w:r>
      <w:r w:rsidRPr="003B1071">
        <w:rPr>
          <w:rFonts w:ascii="Garamond" w:hAnsi="Garamond"/>
        </w:rPr>
        <w:t xml:space="preserve">(2007), p. 84. </w:t>
      </w:r>
    </w:p>
  </w:footnote>
  <w:footnote w:id="378">
    <w:p w14:paraId="0E073B0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Thomas </w:t>
      </w:r>
      <w:r w:rsidRPr="003B1071">
        <w:rPr>
          <w:rFonts w:ascii="Garamond" w:hAnsi="Garamond"/>
          <w:lang w:val="en"/>
        </w:rPr>
        <w:t xml:space="preserve">Cartwright, </w:t>
      </w:r>
      <w:r w:rsidRPr="003B1071">
        <w:rPr>
          <w:rFonts w:ascii="Garamond" w:hAnsi="Garamond"/>
          <w:i/>
          <w:iCs/>
          <w:lang w:val="en"/>
        </w:rPr>
        <w:t xml:space="preserve">A confutation of the Rhemists translation, glosses and annotations on the New Testament </w:t>
      </w:r>
      <w:r w:rsidRPr="003B1071">
        <w:rPr>
          <w:rFonts w:ascii="Garamond" w:hAnsi="Garamond"/>
          <w:lang w:val="en"/>
        </w:rPr>
        <w:t xml:space="preserve">(Leiden: 1618) p. 650. </w:t>
      </w:r>
    </w:p>
  </w:footnote>
  <w:footnote w:id="379">
    <w:p w14:paraId="4670830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Commentating on the Book of Ruth, Lewes Lavater praises her by quoting Cicero, ‘shamfastnes… is the keeper of al virtue’, and with the generic proverb ‘silence adorns women’, although the passage that he glossed does not refer Ruth as silent. I am indebted to Iona Hine for pointing me towards this passage in her doctoral thesis, ‘Englishing the Bible in early modern Europe: the case of Ruth’ [Unpublished Doctoral Thesis, University of Sheffield, 2014] pp. 146-7. </w:t>
      </w:r>
    </w:p>
  </w:footnote>
  <w:footnote w:id="380">
    <w:p w14:paraId="655EF38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Sidney, p. 293. </w:t>
      </w:r>
    </w:p>
  </w:footnote>
  <w:footnote w:id="381">
    <w:p w14:paraId="06B0D83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Quoted in Paul, p. 48. </w:t>
      </w:r>
    </w:p>
  </w:footnote>
  <w:footnote w:id="382">
    <w:p w14:paraId="49644200" w14:textId="77777777" w:rsidR="00814479" w:rsidRPr="003B1071" w:rsidRDefault="00814479" w:rsidP="00162224">
      <w:pPr>
        <w:pStyle w:val="FootnoteText"/>
        <w:rPr>
          <w:rFonts w:ascii="Garamond" w:hAnsi="Garamond"/>
          <w:lang w:val="sv-SE"/>
        </w:rPr>
      </w:pPr>
      <w:r w:rsidRPr="003B1071">
        <w:rPr>
          <w:rStyle w:val="FootnoteReference"/>
          <w:rFonts w:ascii="Garamond" w:hAnsi="Garamond"/>
        </w:rPr>
        <w:footnoteRef/>
      </w:r>
      <w:r w:rsidRPr="003B1071">
        <w:rPr>
          <w:rFonts w:ascii="Garamond" w:hAnsi="Garamond"/>
          <w:lang w:val="sv-SE"/>
        </w:rPr>
        <w:t xml:space="preserve"> Paul, pp. 49-51. </w:t>
      </w:r>
    </w:p>
  </w:footnote>
  <w:footnote w:id="383">
    <w:p w14:paraId="2644C96D" w14:textId="77777777" w:rsidR="00814479" w:rsidRPr="003B1071" w:rsidRDefault="00814479" w:rsidP="00162224">
      <w:pPr>
        <w:pStyle w:val="FootnoteText"/>
        <w:rPr>
          <w:rFonts w:ascii="Garamond" w:hAnsi="Garamond"/>
          <w:lang w:val="sv-SE"/>
        </w:rPr>
      </w:pPr>
      <w:r w:rsidRPr="003B1071">
        <w:rPr>
          <w:rStyle w:val="FootnoteReference"/>
          <w:rFonts w:ascii="Garamond" w:hAnsi="Garamond"/>
        </w:rPr>
        <w:footnoteRef/>
      </w:r>
      <w:r w:rsidRPr="003B1071">
        <w:rPr>
          <w:rFonts w:ascii="Garamond" w:hAnsi="Garamond"/>
          <w:lang w:val="sv-SE"/>
        </w:rPr>
        <w:t xml:space="preserve"> Lock, </w:t>
      </w:r>
      <w:r w:rsidRPr="003B1071">
        <w:rPr>
          <w:rFonts w:ascii="Garamond" w:hAnsi="Garamond" w:cs="Times New Roman"/>
          <w:lang w:val="sv-SE"/>
        </w:rPr>
        <w:t>ll. 282-5.</w:t>
      </w:r>
    </w:p>
  </w:footnote>
  <w:footnote w:id="384">
    <w:p w14:paraId="37F022C1" w14:textId="77777777" w:rsidR="00814479" w:rsidRPr="003B1071" w:rsidRDefault="00814479" w:rsidP="00162224">
      <w:pPr>
        <w:pStyle w:val="FootnoteText"/>
        <w:rPr>
          <w:rFonts w:ascii="Garamond" w:hAnsi="Garamond"/>
          <w:lang w:val="sv-SE"/>
        </w:rPr>
      </w:pPr>
      <w:r w:rsidRPr="003B1071">
        <w:rPr>
          <w:rStyle w:val="FootnoteReference"/>
          <w:rFonts w:ascii="Garamond" w:hAnsi="Garamond"/>
        </w:rPr>
        <w:footnoteRef/>
      </w:r>
      <w:r w:rsidRPr="003B1071">
        <w:rPr>
          <w:rFonts w:ascii="Garamond" w:hAnsi="Garamond"/>
          <w:lang w:val="sv-SE"/>
        </w:rPr>
        <w:t xml:space="preserve"> Spiller, p. 90. </w:t>
      </w:r>
    </w:p>
  </w:footnote>
  <w:footnote w:id="385">
    <w:p w14:paraId="12721CE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r w:rsidRPr="003B1071">
        <w:rPr>
          <w:rFonts w:ascii="Garamond" w:hAnsi="Garamond" w:cs="Times New Roman"/>
        </w:rPr>
        <w:t xml:space="preserve">See Deirdre Serjeantson, ‘The Book of Psalms and the early modern sonnet’ in </w:t>
      </w:r>
      <w:r w:rsidRPr="003B1071">
        <w:rPr>
          <w:rFonts w:ascii="Garamond" w:hAnsi="Garamond" w:cs="Times New Roman"/>
          <w:i/>
        </w:rPr>
        <w:t>Renaissance Studies</w:t>
      </w:r>
      <w:r w:rsidRPr="003B1071">
        <w:rPr>
          <w:rFonts w:ascii="Garamond" w:hAnsi="Garamond" w:cs="Times New Roman"/>
        </w:rPr>
        <w:t>, 29 (September 2015), 632–649 (p. 639).</w:t>
      </w:r>
    </w:p>
  </w:footnote>
  <w:footnote w:id="386">
    <w:p w14:paraId="3ECACA9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r w:rsidRPr="003B1071">
        <w:rPr>
          <w:rFonts w:ascii="Garamond" w:hAnsi="Garamond" w:cs="Times New Roman"/>
        </w:rPr>
        <w:t>Serjeantson, pp. 639-40</w:t>
      </w:r>
    </w:p>
  </w:footnote>
  <w:footnote w:id="387">
    <w:p w14:paraId="04CBD1F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bookmarkStart w:id="40" w:name="_Hlk532378400"/>
      <w:r w:rsidRPr="003B1071">
        <w:rPr>
          <w:rFonts w:ascii="Garamond" w:hAnsi="Garamond"/>
          <w:i/>
          <w:iCs/>
        </w:rPr>
        <w:t xml:space="preserve">The Boke of Psalms </w:t>
      </w:r>
      <w:r w:rsidRPr="003B1071">
        <w:rPr>
          <w:rFonts w:ascii="Garamond" w:hAnsi="Garamond"/>
          <w:iCs/>
        </w:rPr>
        <w:t>(Geneva: 1599),</w:t>
      </w:r>
      <w:r w:rsidRPr="003B1071">
        <w:rPr>
          <w:rFonts w:ascii="Garamond" w:hAnsi="Garamond"/>
          <w:i/>
          <w:iCs/>
        </w:rPr>
        <w:t xml:space="preserve"> </w:t>
      </w:r>
      <w:bookmarkEnd w:id="40"/>
      <w:r w:rsidRPr="003B1071">
        <w:rPr>
          <w:rFonts w:ascii="Garamond" w:hAnsi="Garamond" w:cs="Times New Roman"/>
        </w:rPr>
        <w:t>*viir.</w:t>
      </w:r>
    </w:p>
  </w:footnote>
  <w:footnote w:id="388">
    <w:p w14:paraId="1A41A30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Lock, ll. 35-41. </w:t>
      </w:r>
    </w:p>
  </w:footnote>
  <w:footnote w:id="389">
    <w:p w14:paraId="631912C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Lock, p. 62. </w:t>
      </w:r>
    </w:p>
  </w:footnote>
  <w:footnote w:id="390">
    <w:p w14:paraId="53F202B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Louise Schleiner, </w:t>
      </w:r>
      <w:r w:rsidRPr="003B1071">
        <w:rPr>
          <w:rFonts w:ascii="Garamond" w:hAnsi="Garamond"/>
          <w:i/>
          <w:iCs/>
        </w:rPr>
        <w:t>Tudor and Stuart Women Writers</w:t>
      </w:r>
      <w:r w:rsidRPr="003B1071">
        <w:rPr>
          <w:rFonts w:ascii="Garamond" w:hAnsi="Garamond"/>
        </w:rPr>
        <w:t xml:space="preserve"> (Bloomington: Indiana University Press, 1994) p. 70. </w:t>
      </w:r>
    </w:p>
  </w:footnote>
  <w:footnote w:id="391">
    <w:p w14:paraId="065FA0B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Michelle </w:t>
      </w:r>
      <w:bookmarkStart w:id="41" w:name="_Hlk532659609"/>
      <w:r w:rsidRPr="003B1071">
        <w:rPr>
          <w:rFonts w:ascii="Garamond" w:hAnsi="Garamond"/>
        </w:rPr>
        <w:t xml:space="preserve">Osherow, </w:t>
      </w:r>
      <w:r w:rsidRPr="003B1071">
        <w:rPr>
          <w:rFonts w:ascii="Garamond" w:hAnsi="Garamond"/>
          <w:i/>
          <w:iCs/>
        </w:rPr>
        <w:t>Biblical Women’s Voices in Early Modern England</w:t>
      </w:r>
      <w:r w:rsidRPr="003B1071">
        <w:rPr>
          <w:rFonts w:ascii="Garamond" w:hAnsi="Garamond"/>
        </w:rPr>
        <w:t xml:space="preserve"> (London: Ashgate, 2009)</w:t>
      </w:r>
      <w:bookmarkEnd w:id="41"/>
      <w:r w:rsidRPr="003B1071">
        <w:rPr>
          <w:rFonts w:ascii="Garamond" w:hAnsi="Garamond"/>
        </w:rPr>
        <w:t>, pp. 21-5, pp. 33-6.</w:t>
      </w:r>
    </w:p>
  </w:footnote>
  <w:footnote w:id="392">
    <w:p w14:paraId="1DA66694" w14:textId="7A99F9DE" w:rsidR="00814479" w:rsidRPr="003B1071" w:rsidRDefault="00814479" w:rsidP="00162224">
      <w:pPr>
        <w:pStyle w:val="FootnoteText"/>
        <w:rPr>
          <w:rFonts w:ascii="Garamond" w:hAnsi="Garamond"/>
          <w:lang w:val="sv-SE"/>
        </w:rPr>
      </w:pPr>
      <w:r w:rsidRPr="003B1071">
        <w:rPr>
          <w:rStyle w:val="FootnoteReference"/>
          <w:rFonts w:ascii="Garamond" w:hAnsi="Garamond"/>
        </w:rPr>
        <w:footnoteRef/>
      </w:r>
      <w:r w:rsidRPr="003B1071">
        <w:rPr>
          <w:rFonts w:ascii="Garamond" w:hAnsi="Garamond"/>
          <w:lang w:val="sv-SE"/>
        </w:rPr>
        <w:t xml:space="preserve"> Simpson (2007), p. 70.</w:t>
      </w:r>
    </w:p>
  </w:footnote>
  <w:footnote w:id="393">
    <w:p w14:paraId="13B9EF2B" w14:textId="77777777" w:rsidR="00814479" w:rsidRPr="003B1071" w:rsidRDefault="00814479" w:rsidP="00162224">
      <w:pPr>
        <w:pStyle w:val="FootnoteText"/>
        <w:rPr>
          <w:rFonts w:ascii="Garamond" w:hAnsi="Garamond"/>
          <w:lang w:val="sv-SE"/>
        </w:rPr>
      </w:pPr>
      <w:r w:rsidRPr="003B1071">
        <w:rPr>
          <w:rStyle w:val="FootnoteReference"/>
          <w:rFonts w:ascii="Garamond" w:hAnsi="Garamond"/>
        </w:rPr>
        <w:footnoteRef/>
      </w:r>
      <w:r w:rsidRPr="003B1071">
        <w:rPr>
          <w:rFonts w:ascii="Garamond" w:hAnsi="Garamond"/>
          <w:lang w:val="sv-SE"/>
        </w:rPr>
        <w:t xml:space="preserve"> Parker,</w:t>
      </w:r>
      <w:r w:rsidRPr="003B1071">
        <w:rPr>
          <w:rFonts w:ascii="Garamond" w:hAnsi="Garamond"/>
          <w:i/>
          <w:iCs/>
          <w:lang w:val="sv-SE"/>
        </w:rPr>
        <w:t xml:space="preserve"> </w:t>
      </w:r>
      <w:r w:rsidRPr="003B1071">
        <w:rPr>
          <w:rFonts w:ascii="Garamond" w:hAnsi="Garamond"/>
          <w:i/>
          <w:lang w:val="sv-SE"/>
        </w:rPr>
        <w:t xml:space="preserve">Psalter, </w:t>
      </w:r>
      <w:r w:rsidRPr="003B1071">
        <w:rPr>
          <w:rFonts w:ascii="Garamond" w:hAnsi="Garamond"/>
          <w:lang w:val="sv-SE"/>
        </w:rPr>
        <w:t xml:space="preserve">f. 9. </w:t>
      </w:r>
    </w:p>
  </w:footnote>
  <w:footnote w:id="394">
    <w:p w14:paraId="5F190F53"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iCs/>
          <w:lang w:val="fr-FR"/>
        </w:rPr>
        <w:t xml:space="preserve">Sermons, </w:t>
      </w:r>
      <w:r w:rsidRPr="003B1071">
        <w:rPr>
          <w:rFonts w:ascii="Garamond" w:hAnsi="Garamond"/>
          <w:lang w:val="fr-FR"/>
        </w:rPr>
        <w:t xml:space="preserve">II.1 p. 49. </w:t>
      </w:r>
    </w:p>
  </w:footnote>
  <w:footnote w:id="395">
    <w:p w14:paraId="5F6DC0A9"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Sermons, II.1 pp. 49-50.  </w:t>
      </w:r>
    </w:p>
  </w:footnote>
  <w:footnote w:id="396">
    <w:p w14:paraId="1085079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Donne, </w:t>
      </w:r>
      <w:r w:rsidRPr="003B1071">
        <w:rPr>
          <w:rFonts w:ascii="Garamond" w:hAnsi="Garamond"/>
          <w:i/>
          <w:iCs/>
        </w:rPr>
        <w:t xml:space="preserve">Sermons, </w:t>
      </w:r>
      <w:r w:rsidRPr="003B1071">
        <w:rPr>
          <w:rFonts w:ascii="Garamond" w:hAnsi="Garamond"/>
        </w:rPr>
        <w:t xml:space="preserve">II.1 pp. 57-8. </w:t>
      </w:r>
    </w:p>
  </w:footnote>
  <w:footnote w:id="397">
    <w:p w14:paraId="5A81BAF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I am indebted to Emma Rhatigan for allowing me access to her notes on this sermon for the forthcoming Oxford edition. </w:t>
      </w:r>
    </w:p>
  </w:footnote>
  <w:footnote w:id="398">
    <w:p w14:paraId="3DEDB67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Donne, </w:t>
      </w:r>
      <w:r w:rsidRPr="003B1071">
        <w:rPr>
          <w:rFonts w:ascii="Garamond" w:hAnsi="Garamond"/>
          <w:i/>
          <w:iCs/>
        </w:rPr>
        <w:t xml:space="preserve">Sermons, </w:t>
      </w:r>
      <w:r w:rsidRPr="003B1071">
        <w:rPr>
          <w:rFonts w:ascii="Garamond" w:hAnsi="Garamond"/>
        </w:rPr>
        <w:t xml:space="preserve">II.1 pp. 69-70. </w:t>
      </w:r>
    </w:p>
  </w:footnote>
  <w:footnote w:id="399">
    <w:p w14:paraId="637F052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John Tobin ed., </w:t>
      </w:r>
      <w:r w:rsidRPr="003B1071">
        <w:rPr>
          <w:rFonts w:ascii="Garamond" w:hAnsi="Garamond"/>
          <w:i/>
          <w:iCs/>
        </w:rPr>
        <w:t xml:space="preserve">George Herbert: The Complete English Poems </w:t>
      </w:r>
      <w:r w:rsidRPr="003B1071">
        <w:rPr>
          <w:rFonts w:ascii="Garamond" w:hAnsi="Garamond"/>
        </w:rPr>
        <w:t xml:space="preserve">(London: Penguin, 2004), p. xi. </w:t>
      </w:r>
    </w:p>
  </w:footnote>
  <w:footnote w:id="400">
    <w:p w14:paraId="1AF5429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Chapman, ‘Now and Then’, p. 108. </w:t>
      </w:r>
    </w:p>
  </w:footnote>
  <w:footnote w:id="401">
    <w:p w14:paraId="4E07A49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Chapman, ‘Now and Then’, p. 111. Chapman also points out that Cramner does retain periscopes on Holy Days allowing ‘the sacred past to come close to…the spiritual character of the present’, and hence, ‘mingles the two understandings of time’. </w:t>
      </w:r>
    </w:p>
  </w:footnote>
  <w:footnote w:id="402">
    <w:p w14:paraId="1643297A" w14:textId="4F91AE9E"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George Herbert, </w:t>
      </w:r>
      <w:r w:rsidRPr="003B1071">
        <w:rPr>
          <w:rFonts w:ascii="Garamond" w:hAnsi="Garamond"/>
          <w:i/>
          <w:iCs/>
        </w:rPr>
        <w:t>The English Poems of George Herbert</w:t>
      </w:r>
      <w:r w:rsidR="008F16FC">
        <w:rPr>
          <w:rFonts w:ascii="Garamond" w:hAnsi="Garamond"/>
          <w:i/>
          <w:iCs/>
        </w:rPr>
        <w:t>,</w:t>
      </w:r>
      <w:r w:rsidRPr="003B1071">
        <w:rPr>
          <w:rFonts w:ascii="Garamond" w:hAnsi="Garamond"/>
          <w:i/>
          <w:iCs/>
        </w:rPr>
        <w:t xml:space="preserve"> </w:t>
      </w:r>
      <w:r w:rsidRPr="003B1071">
        <w:rPr>
          <w:rFonts w:ascii="Garamond" w:hAnsi="Garamond"/>
        </w:rPr>
        <w:t xml:space="preserve">ed. by Helen Wilcox (Cambridge: Cambridge University Press, 2007), p. 178, all quotes from Herbert’s poetry taken from this edition. </w:t>
      </w:r>
    </w:p>
  </w:footnote>
  <w:footnote w:id="403">
    <w:p w14:paraId="299AEC43" w14:textId="0013B8A8"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E.B. Greenwood describes the end of the poem as ‘a conclusion where nothing is concluded’, ‘George Herbert’s sonnet ‘Prayer’: A stylistic Study’ in </w:t>
      </w:r>
      <w:r w:rsidRPr="003B1071">
        <w:rPr>
          <w:rFonts w:ascii="Garamond" w:hAnsi="Garamond"/>
          <w:i/>
          <w:iCs/>
        </w:rPr>
        <w:t xml:space="preserve">Essays in </w:t>
      </w:r>
      <w:proofErr w:type="spellStart"/>
      <w:r w:rsidRPr="003B1071">
        <w:rPr>
          <w:rFonts w:ascii="Garamond" w:hAnsi="Garamond"/>
          <w:i/>
          <w:iCs/>
        </w:rPr>
        <w:t>Criticsim</w:t>
      </w:r>
      <w:proofErr w:type="spellEnd"/>
      <w:r w:rsidRPr="003B1071">
        <w:rPr>
          <w:rFonts w:ascii="Garamond" w:hAnsi="Garamond"/>
          <w:i/>
          <w:iCs/>
        </w:rPr>
        <w:t xml:space="preserve">, </w:t>
      </w:r>
      <w:r w:rsidRPr="003B1071">
        <w:rPr>
          <w:rFonts w:ascii="Garamond" w:hAnsi="Garamond"/>
        </w:rPr>
        <w:t xml:space="preserve">15 (1965), 27-45 (p. 28).  </w:t>
      </w:r>
    </w:p>
  </w:footnote>
  <w:footnote w:id="404">
    <w:p w14:paraId="37668FF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Cited in Louis Martz, </w:t>
      </w:r>
      <w:r w:rsidRPr="003B1071">
        <w:rPr>
          <w:rFonts w:ascii="Garamond" w:hAnsi="Garamond"/>
          <w:i/>
          <w:iCs/>
        </w:rPr>
        <w:t xml:space="preserve">The Poetry of Meditation </w:t>
      </w:r>
      <w:r w:rsidRPr="003B1071">
        <w:rPr>
          <w:rFonts w:ascii="Garamond" w:hAnsi="Garamond"/>
        </w:rPr>
        <w:t xml:space="preserve">(New Haven: Yale University Press, 1969), p. 299. </w:t>
      </w:r>
    </w:p>
  </w:footnote>
  <w:footnote w:id="405">
    <w:p w14:paraId="74AEF250" w14:textId="11784F95"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bookmarkStart w:id="45" w:name="_Hlk532149924"/>
      <w:r w:rsidRPr="003B1071">
        <w:rPr>
          <w:rFonts w:ascii="Garamond" w:hAnsi="Garamond"/>
        </w:rPr>
        <w:t>Izaac Walton, ‘</w:t>
      </w:r>
      <w:r w:rsidRPr="003B1071">
        <w:rPr>
          <w:rFonts w:ascii="Garamond" w:hAnsi="Garamond"/>
          <w:iCs/>
        </w:rPr>
        <w:t>Life of Mr George Herbert’</w:t>
      </w:r>
      <w:r w:rsidRPr="003B1071">
        <w:rPr>
          <w:rFonts w:ascii="Garamond" w:hAnsi="Garamond"/>
          <w:i/>
        </w:rPr>
        <w:t xml:space="preserve"> </w:t>
      </w:r>
      <w:r w:rsidRPr="003B1071">
        <w:rPr>
          <w:rFonts w:ascii="Garamond" w:hAnsi="Garamond"/>
        </w:rPr>
        <w:t xml:space="preserve">in </w:t>
      </w:r>
      <w:r w:rsidRPr="003B1071">
        <w:rPr>
          <w:rFonts w:ascii="Garamond" w:hAnsi="Garamond"/>
          <w:i/>
          <w:iCs/>
        </w:rPr>
        <w:t>George Herbert: The Complete English Poems</w:t>
      </w:r>
      <w:r w:rsidR="008F16FC">
        <w:rPr>
          <w:rFonts w:ascii="Garamond" w:hAnsi="Garamond"/>
          <w:i/>
          <w:iCs/>
        </w:rPr>
        <w:t>,</w:t>
      </w:r>
      <w:r w:rsidRPr="003B1071">
        <w:rPr>
          <w:rFonts w:ascii="Garamond" w:hAnsi="Garamond"/>
          <w:i/>
          <w:iCs/>
        </w:rPr>
        <w:t xml:space="preserve"> </w:t>
      </w:r>
      <w:r w:rsidRPr="003B1071">
        <w:rPr>
          <w:rFonts w:ascii="Garamond" w:hAnsi="Garamond"/>
          <w:iCs/>
        </w:rPr>
        <w:t>ed. by John Tobin</w:t>
      </w:r>
      <w:r w:rsidRPr="003B1071">
        <w:rPr>
          <w:rFonts w:ascii="Garamond" w:hAnsi="Garamond"/>
          <w:i/>
          <w:iCs/>
        </w:rPr>
        <w:t xml:space="preserve"> </w:t>
      </w:r>
      <w:r w:rsidRPr="003B1071">
        <w:rPr>
          <w:rFonts w:ascii="Garamond" w:hAnsi="Garamond"/>
        </w:rPr>
        <w:t xml:space="preserve">(London: Penguin, 2004), pp. 265-314 </w:t>
      </w:r>
      <w:bookmarkEnd w:id="45"/>
      <w:r w:rsidRPr="003B1071">
        <w:rPr>
          <w:rFonts w:ascii="Garamond" w:hAnsi="Garamond"/>
        </w:rPr>
        <w:t xml:space="preserve">(p. 290). Hereafter referred to as </w:t>
      </w:r>
      <w:r w:rsidRPr="003B1071">
        <w:rPr>
          <w:rFonts w:ascii="Garamond" w:hAnsi="Garamond"/>
          <w:i/>
          <w:iCs/>
        </w:rPr>
        <w:t xml:space="preserve">Life. </w:t>
      </w:r>
      <w:r w:rsidRPr="003B1071">
        <w:rPr>
          <w:rFonts w:ascii="Garamond" w:hAnsi="Garamond"/>
        </w:rPr>
        <w:t xml:space="preserve"> </w:t>
      </w:r>
    </w:p>
  </w:footnote>
  <w:footnote w:id="406">
    <w:p w14:paraId="7692EE9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Lisa Dianne Needs, </w:t>
      </w:r>
      <w:r w:rsidRPr="003B1071">
        <w:rPr>
          <w:rFonts w:ascii="Garamond" w:hAnsi="Garamond"/>
          <w:i/>
          <w:iCs/>
        </w:rPr>
        <w:t>Proving one God, one Harmonie: The Persona of George Herbert’s ‘The Temple’ and its poetic legacy</w:t>
      </w:r>
      <w:r w:rsidRPr="003B1071">
        <w:rPr>
          <w:rFonts w:ascii="Garamond" w:hAnsi="Garamond"/>
        </w:rPr>
        <w:t xml:space="preserve"> (Unpublished Doctoral Thesis, University of York, 1983) for a more fulsome discussion of how Herbert was idealised over the progress of the seventeenth century, culminating in Walton’s quasi-hagiography, pp. 197-201. See also Sharon Achinstein, ‘Reading George Herbert in the Restoration’ in </w:t>
      </w:r>
      <w:r w:rsidRPr="003B1071">
        <w:rPr>
          <w:rFonts w:ascii="Garamond" w:hAnsi="Garamond"/>
          <w:i/>
          <w:iCs/>
        </w:rPr>
        <w:t>English Literary Renaissance</w:t>
      </w:r>
      <w:r w:rsidRPr="003B1071">
        <w:rPr>
          <w:rFonts w:ascii="Garamond" w:hAnsi="Garamond"/>
        </w:rPr>
        <w:t xml:space="preserve">, 36.3 (Autumn 2006), 430-465. Achinstein argues that for Walton, Herbert’s life was ‘a focal point for writing the history of Anglicanism across the turbulent seventeenth century’, p. 430. </w:t>
      </w:r>
    </w:p>
  </w:footnote>
  <w:footnote w:id="407">
    <w:p w14:paraId="7DD8A0C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Walton, p. 299 </w:t>
      </w:r>
    </w:p>
  </w:footnote>
  <w:footnote w:id="408">
    <w:p w14:paraId="7A9CBE7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r w:rsidRPr="003B1071">
        <w:rPr>
          <w:rFonts w:ascii="Garamond" w:hAnsi="Garamond"/>
          <w:i/>
          <w:iCs/>
        </w:rPr>
        <w:t>The arraignment, conviction, and imprisoning, of Christmas: on St. Thomas day last</w:t>
      </w:r>
      <w:r w:rsidRPr="003B1071">
        <w:rPr>
          <w:rFonts w:ascii="Garamond" w:hAnsi="Garamond"/>
        </w:rPr>
        <w:t xml:space="preserve"> (London: 1646), pp. 2-4.</w:t>
      </w:r>
    </w:p>
  </w:footnote>
  <w:footnote w:id="409">
    <w:p w14:paraId="6A44DDA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Chapman, ‘Now and Then’, p. 93. </w:t>
      </w:r>
    </w:p>
  </w:footnote>
  <w:footnote w:id="410">
    <w:p w14:paraId="6EF7856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Walton, p. 300. </w:t>
      </w:r>
    </w:p>
  </w:footnote>
  <w:footnote w:id="411">
    <w:p w14:paraId="28C60D20" w14:textId="0F9FB404"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Hilary Binda, ‘</w:t>
      </w:r>
      <w:r>
        <w:rPr>
          <w:rFonts w:ascii="Garamond" w:hAnsi="Garamond"/>
        </w:rPr>
        <w:t>“</w:t>
      </w:r>
      <w:r w:rsidRPr="003B1071">
        <w:rPr>
          <w:rFonts w:ascii="Garamond" w:hAnsi="Garamond"/>
        </w:rPr>
        <w:t>My Name Engrav'd Herein</w:t>
      </w:r>
      <w:r>
        <w:rPr>
          <w:rFonts w:ascii="Garamond" w:hAnsi="Garamond"/>
        </w:rPr>
        <w:t>”</w:t>
      </w:r>
      <w:r w:rsidRPr="003B1071">
        <w:rPr>
          <w:rFonts w:ascii="Garamond" w:hAnsi="Garamond"/>
        </w:rPr>
        <w:t xml:space="preserve">: John Donne's Sacramental Temporality’ in </w:t>
      </w:r>
      <w:proofErr w:type="spellStart"/>
      <w:r w:rsidRPr="003B1071">
        <w:rPr>
          <w:rFonts w:ascii="Garamond" w:hAnsi="Garamond"/>
          <w:i/>
        </w:rPr>
        <w:t>Exemplaria</w:t>
      </w:r>
      <w:proofErr w:type="spellEnd"/>
      <w:r w:rsidRPr="003B1071">
        <w:rPr>
          <w:rFonts w:ascii="Garamond" w:hAnsi="Garamond"/>
        </w:rPr>
        <w:t xml:space="preserve">, 23.4 (2011), 390-414 (p. 390).  </w:t>
      </w:r>
    </w:p>
  </w:footnote>
  <w:footnote w:id="412">
    <w:p w14:paraId="50F2416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Binda, p. 391. </w:t>
      </w:r>
    </w:p>
  </w:footnote>
  <w:footnote w:id="413">
    <w:p w14:paraId="78C37F1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For further discussion of Herbert’s later imitators, see Elsie Leach, ‘More seventeenth-century admirers of Herbert’ in </w:t>
      </w:r>
      <w:r w:rsidRPr="003B1071">
        <w:rPr>
          <w:rFonts w:ascii="Garamond" w:hAnsi="Garamond"/>
          <w:i/>
          <w:iCs/>
        </w:rPr>
        <w:t>Notes and Queries</w:t>
      </w:r>
      <w:r w:rsidRPr="003B1071">
        <w:rPr>
          <w:rFonts w:ascii="Garamond" w:hAnsi="Garamond"/>
        </w:rPr>
        <w:t xml:space="preserve">, 7/2 (February 1960), 62–63. </w:t>
      </w:r>
    </w:p>
  </w:footnote>
  <w:footnote w:id="414">
    <w:p w14:paraId="7EEF15B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John David Walker, ‘The Architectonics of George Herbert’s </w:t>
      </w:r>
      <w:r w:rsidRPr="003B1071">
        <w:rPr>
          <w:rFonts w:ascii="Garamond" w:hAnsi="Garamond"/>
          <w:i/>
        </w:rPr>
        <w:t xml:space="preserve">The Temple’ </w:t>
      </w:r>
      <w:r w:rsidRPr="003B1071">
        <w:rPr>
          <w:rFonts w:ascii="Garamond" w:hAnsi="Garamond"/>
        </w:rPr>
        <w:t xml:space="preserve">in </w:t>
      </w:r>
      <w:r w:rsidRPr="003B1071">
        <w:rPr>
          <w:rFonts w:ascii="Garamond" w:hAnsi="Garamond"/>
          <w:i/>
        </w:rPr>
        <w:t xml:space="preserve">ELH, </w:t>
      </w:r>
      <w:r w:rsidRPr="003B1071">
        <w:rPr>
          <w:rFonts w:ascii="Garamond" w:hAnsi="Garamond"/>
        </w:rPr>
        <w:t xml:space="preserve">29 (1962) 289-305. The third part is ‘The Church Militant’, slightly ruining the architectural theme. </w:t>
      </w:r>
    </w:p>
  </w:footnote>
  <w:footnote w:id="415">
    <w:p w14:paraId="35217D54" w14:textId="0DA34338"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Barbara Lewalski, </w:t>
      </w:r>
      <w:r w:rsidRPr="003B1071">
        <w:rPr>
          <w:rFonts w:ascii="Garamond" w:hAnsi="Garamond"/>
          <w:i/>
          <w:iCs/>
        </w:rPr>
        <w:t xml:space="preserve">Protestant Poetics and the Seventeenth-Century Lyric </w:t>
      </w:r>
      <w:r w:rsidRPr="003B1071">
        <w:rPr>
          <w:rFonts w:ascii="Garamond" w:hAnsi="Garamond"/>
        </w:rPr>
        <w:t>(Princeton: Princeton University Press, 1979)</w:t>
      </w:r>
      <w:r>
        <w:rPr>
          <w:rFonts w:ascii="Garamond" w:hAnsi="Garamond"/>
        </w:rPr>
        <w:t>,</w:t>
      </w:r>
      <w:r w:rsidRPr="003B1071">
        <w:rPr>
          <w:rFonts w:ascii="Garamond" w:hAnsi="Garamond"/>
        </w:rPr>
        <w:t xml:space="preserve"> p. 142</w:t>
      </w:r>
    </w:p>
  </w:footnote>
  <w:footnote w:id="416">
    <w:p w14:paraId="60D1C3A0" w14:textId="4B567B68"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James White, </w:t>
      </w:r>
      <w:r w:rsidRPr="003B1071">
        <w:rPr>
          <w:rFonts w:ascii="Garamond" w:hAnsi="Garamond"/>
          <w:i/>
        </w:rPr>
        <w:t xml:space="preserve">Protestant Worship and Church Architecture: Theological and Historical considerations </w:t>
      </w:r>
      <w:r w:rsidRPr="003B1071">
        <w:rPr>
          <w:rFonts w:ascii="Garamond" w:hAnsi="Garamond"/>
        </w:rPr>
        <w:t>(New York: Oxford University Press, 1964)</w:t>
      </w:r>
      <w:r>
        <w:rPr>
          <w:rFonts w:ascii="Garamond" w:hAnsi="Garamond"/>
        </w:rPr>
        <w:t>,</w:t>
      </w:r>
      <w:r w:rsidRPr="003B1071">
        <w:rPr>
          <w:rFonts w:ascii="Garamond" w:hAnsi="Garamond"/>
        </w:rPr>
        <w:t xml:space="preserve"> p. 83. </w:t>
      </w:r>
    </w:p>
  </w:footnote>
  <w:footnote w:id="417">
    <w:p w14:paraId="6A4AAF3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White, pp. 82-85. </w:t>
      </w:r>
    </w:p>
  </w:footnote>
  <w:footnote w:id="418">
    <w:p w14:paraId="4E317008" w14:textId="53C07A89"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Anne Meyers, ‘Restoring ‘The Church-porch’: George Herbert's Architectural Style’ in </w:t>
      </w:r>
      <w:r w:rsidRPr="0038415A">
        <w:rPr>
          <w:rFonts w:ascii="Garamond" w:hAnsi="Garamond"/>
          <w:i/>
        </w:rPr>
        <w:t>English Literary Renaissance</w:t>
      </w:r>
      <w:r w:rsidRPr="003B1071">
        <w:rPr>
          <w:rFonts w:ascii="Garamond" w:hAnsi="Garamond"/>
        </w:rPr>
        <w:t>, 40.3 (2010), 427-457</w:t>
      </w:r>
      <w:r w:rsidR="00276F4F">
        <w:rPr>
          <w:rFonts w:ascii="Garamond" w:hAnsi="Garamond"/>
        </w:rPr>
        <w:t xml:space="preserve"> </w:t>
      </w:r>
      <w:r w:rsidRPr="003B1071">
        <w:rPr>
          <w:rFonts w:ascii="Garamond" w:hAnsi="Garamond"/>
        </w:rPr>
        <w:t xml:space="preserve">(p. 437). </w:t>
      </w:r>
    </w:p>
  </w:footnote>
  <w:footnote w:id="419">
    <w:p w14:paraId="59A3B793" w14:textId="4FC92A3C"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Edward Herbert, </w:t>
      </w:r>
      <w:proofErr w:type="gramStart"/>
      <w:r w:rsidRPr="003B1071">
        <w:rPr>
          <w:rStyle w:val="Emphasis"/>
          <w:rFonts w:ascii="Garamond" w:hAnsi="Garamond"/>
          <w:color w:val="2A2A2A"/>
          <w:bdr w:val="none" w:sz="0" w:space="0" w:color="auto" w:frame="1"/>
        </w:rPr>
        <w:t>The</w:t>
      </w:r>
      <w:proofErr w:type="gramEnd"/>
      <w:r w:rsidRPr="003B1071">
        <w:rPr>
          <w:rStyle w:val="Emphasis"/>
          <w:rFonts w:ascii="Garamond" w:hAnsi="Garamond"/>
          <w:color w:val="2A2A2A"/>
          <w:bdr w:val="none" w:sz="0" w:space="0" w:color="auto" w:frame="1"/>
        </w:rPr>
        <w:t xml:space="preserve"> life of Edward, first Lord Herbert of Cherbury written by himself, </w:t>
      </w:r>
      <w:r w:rsidRPr="003B1071">
        <w:rPr>
          <w:rStyle w:val="Emphasis"/>
          <w:rFonts w:ascii="Garamond" w:hAnsi="Garamond"/>
          <w:i w:val="0"/>
          <w:iCs w:val="0"/>
          <w:color w:val="2A2A2A"/>
          <w:bdr w:val="none" w:sz="0" w:space="0" w:color="auto" w:frame="1"/>
        </w:rPr>
        <w:t>ed. by</w:t>
      </w:r>
      <w:r w:rsidRPr="003B1071">
        <w:rPr>
          <w:rFonts w:ascii="Garamond" w:hAnsi="Garamond" w:cs="Arial"/>
          <w:i/>
          <w:iCs/>
          <w:color w:val="2A2A2A"/>
        </w:rPr>
        <w:t xml:space="preserve"> </w:t>
      </w:r>
      <w:r w:rsidRPr="003B1071">
        <w:rPr>
          <w:rFonts w:ascii="Garamond" w:hAnsi="Garamond"/>
          <w:i/>
          <w:iCs/>
        </w:rPr>
        <w:t>J</w:t>
      </w:r>
      <w:r w:rsidRPr="003B1071">
        <w:rPr>
          <w:rFonts w:ascii="Garamond" w:hAnsi="Garamond"/>
        </w:rPr>
        <w:t>. M. Shuttleworth (Oxford: Oxford University Press, 1976)</w:t>
      </w:r>
      <w:r>
        <w:rPr>
          <w:rFonts w:ascii="Garamond" w:hAnsi="Garamond"/>
        </w:rPr>
        <w:t>,</w:t>
      </w:r>
      <w:r w:rsidRPr="003B1071">
        <w:rPr>
          <w:rFonts w:ascii="Garamond" w:hAnsi="Garamond"/>
        </w:rPr>
        <w:t xml:space="preserve"> p. 36. </w:t>
      </w:r>
    </w:p>
  </w:footnote>
  <w:footnote w:id="420">
    <w:p w14:paraId="78C665F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Helen Wilcox, ‘Herbert, George (1593–1633)’, in </w:t>
      </w:r>
      <w:r w:rsidRPr="003B1071">
        <w:rPr>
          <w:rFonts w:ascii="Garamond" w:hAnsi="Garamond"/>
          <w:i/>
          <w:iCs/>
        </w:rPr>
        <w:t xml:space="preserve">ODNB. </w:t>
      </w:r>
    </w:p>
  </w:footnote>
  <w:footnote w:id="421">
    <w:p w14:paraId="6E43376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George Herbert, ‘A Priest to the Temple’ in </w:t>
      </w:r>
      <w:r w:rsidRPr="003B1071">
        <w:rPr>
          <w:rFonts w:ascii="Garamond" w:hAnsi="Garamond"/>
          <w:i/>
          <w:iCs/>
        </w:rPr>
        <w:t xml:space="preserve">The Complete English Poems, </w:t>
      </w:r>
      <w:r w:rsidRPr="003B1071">
        <w:rPr>
          <w:rFonts w:ascii="Garamond" w:hAnsi="Garamond"/>
        </w:rPr>
        <w:t>ed. by John Tobin (London: Penguin, 2004), pp. 199-263.</w:t>
      </w:r>
    </w:p>
  </w:footnote>
  <w:footnote w:id="422">
    <w:p w14:paraId="23B08557" w14:textId="1A29AF0A"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Cristina Malcolmson, ‘George Herbert’s ‘Country Parson’ and the character of Social Identity’ in </w:t>
      </w:r>
      <w:r w:rsidRPr="003B1071">
        <w:rPr>
          <w:rFonts w:ascii="Garamond" w:hAnsi="Garamond"/>
          <w:i/>
          <w:iCs/>
        </w:rPr>
        <w:t xml:space="preserve">Studies in Philology, </w:t>
      </w:r>
      <w:r w:rsidRPr="003B1071">
        <w:rPr>
          <w:rFonts w:ascii="Garamond" w:hAnsi="Garamond"/>
        </w:rPr>
        <w:t xml:space="preserve">85.2 (Spring 1988), 245-66 (p. 248). </w:t>
      </w:r>
    </w:p>
  </w:footnote>
  <w:footnote w:id="423">
    <w:p w14:paraId="45F8333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iCs/>
        </w:rPr>
        <w:t xml:space="preserve">The Country Parson, </w:t>
      </w:r>
      <w:r w:rsidRPr="003B1071">
        <w:rPr>
          <w:rFonts w:ascii="Garamond" w:hAnsi="Garamond"/>
        </w:rPr>
        <w:t>p. 223.</w:t>
      </w:r>
    </w:p>
  </w:footnote>
  <w:footnote w:id="424">
    <w:p w14:paraId="5DD2CD27" w14:textId="4C2CE13B"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Brewester S. Ford, ‘George Herbert and the Liturgies of Time and Space’ in </w:t>
      </w:r>
      <w:r w:rsidRPr="003B1071">
        <w:rPr>
          <w:rFonts w:ascii="Garamond" w:hAnsi="Garamond"/>
          <w:i/>
          <w:iCs/>
        </w:rPr>
        <w:t>South Atlantic Review</w:t>
      </w:r>
      <w:r w:rsidRPr="003B1071">
        <w:rPr>
          <w:rFonts w:ascii="Garamond" w:hAnsi="Garamond"/>
        </w:rPr>
        <w:t xml:space="preserve">, 49/4 (November 1984), 19-29 (p. 20). </w:t>
      </w:r>
    </w:p>
  </w:footnote>
  <w:footnote w:id="425">
    <w:p w14:paraId="7B154621" w14:textId="5637D2D2" w:rsidR="00814479" w:rsidRPr="003B1071" w:rsidRDefault="00814479" w:rsidP="002F1250">
      <w:pPr>
        <w:pStyle w:val="NoSpacing"/>
        <w:rPr>
          <w:rFonts w:ascii="Garamond" w:hAnsi="Garamond"/>
          <w:sz w:val="20"/>
          <w:szCs w:val="20"/>
        </w:rPr>
      </w:pPr>
      <w:r w:rsidRPr="003B1071">
        <w:rPr>
          <w:rFonts w:ascii="Garamond" w:hAnsi="Garamond"/>
          <w:sz w:val="20"/>
          <w:szCs w:val="20"/>
        </w:rPr>
        <w:t>‘</w:t>
      </w:r>
      <w:r w:rsidRPr="003B1071">
        <w:rPr>
          <w:rStyle w:val="FootnoteReference"/>
          <w:rFonts w:ascii="Garamond" w:hAnsi="Garamond"/>
          <w:sz w:val="20"/>
          <w:szCs w:val="20"/>
        </w:rPr>
        <w:footnoteRef/>
      </w:r>
      <w:r w:rsidRPr="003B1071">
        <w:rPr>
          <w:rFonts w:ascii="Garamond" w:hAnsi="Garamond"/>
          <w:sz w:val="20"/>
          <w:szCs w:val="20"/>
        </w:rPr>
        <w:t xml:space="preserve"> Curtis Whitaker, ‘Baptisms and Burials: The Presence of </w:t>
      </w:r>
      <w:r>
        <w:rPr>
          <w:rFonts w:ascii="Garamond" w:hAnsi="Garamond"/>
          <w:i/>
          <w:iCs/>
          <w:sz w:val="20"/>
          <w:szCs w:val="20"/>
        </w:rPr>
        <w:t>T</w:t>
      </w:r>
      <w:r w:rsidRPr="002F1250">
        <w:rPr>
          <w:rFonts w:ascii="Garamond" w:hAnsi="Garamond"/>
          <w:i/>
          <w:iCs/>
          <w:sz w:val="20"/>
          <w:szCs w:val="20"/>
        </w:rPr>
        <w:t>he Book of Common Prayer</w:t>
      </w:r>
      <w:r w:rsidRPr="003B1071">
        <w:rPr>
          <w:rFonts w:ascii="Garamond" w:hAnsi="Garamond"/>
          <w:sz w:val="20"/>
          <w:szCs w:val="20"/>
        </w:rPr>
        <w:t xml:space="preserve"> in Herbert’s Nature Poetry’ in </w:t>
      </w:r>
      <w:r w:rsidRPr="003B1071">
        <w:rPr>
          <w:rFonts w:ascii="Garamond" w:hAnsi="Garamond"/>
          <w:i/>
          <w:sz w:val="20"/>
          <w:szCs w:val="20"/>
        </w:rPr>
        <w:t>GHJ</w:t>
      </w:r>
      <w:r w:rsidRPr="003B1071">
        <w:rPr>
          <w:rFonts w:ascii="Garamond" w:hAnsi="Garamond"/>
          <w:sz w:val="20"/>
          <w:szCs w:val="20"/>
        </w:rPr>
        <w:t xml:space="preserve">, 27.1-2 (2004 Spring), 82-104 (p. 84). </w:t>
      </w:r>
    </w:p>
  </w:footnote>
  <w:footnote w:id="426">
    <w:p w14:paraId="7A304E94" w14:textId="369F92FD" w:rsidR="00814479" w:rsidRPr="003B1071" w:rsidRDefault="00814479" w:rsidP="00162224">
      <w:pPr>
        <w:pStyle w:val="NoSpacing"/>
        <w:rPr>
          <w:rFonts w:ascii="Garamond" w:hAnsi="Garamond"/>
          <w:sz w:val="20"/>
          <w:szCs w:val="20"/>
        </w:rPr>
      </w:pPr>
      <w:r w:rsidRPr="003B1071">
        <w:rPr>
          <w:rStyle w:val="FootnoteReference"/>
          <w:rFonts w:ascii="Garamond" w:hAnsi="Garamond"/>
          <w:sz w:val="20"/>
          <w:szCs w:val="20"/>
        </w:rPr>
        <w:footnoteRef/>
      </w:r>
      <w:r w:rsidRPr="003B1071">
        <w:rPr>
          <w:rFonts w:ascii="Garamond" w:hAnsi="Garamond"/>
          <w:sz w:val="20"/>
          <w:szCs w:val="20"/>
        </w:rPr>
        <w:t xml:space="preserve"> See Ramie Targoff, ‘The Poetics of Common Prayer: George Herbert and the Seventeenth–Century Devotional Lyric’ in </w:t>
      </w:r>
      <w:r w:rsidRPr="003B1071">
        <w:rPr>
          <w:rFonts w:ascii="Garamond" w:hAnsi="Garamond"/>
          <w:i/>
          <w:iCs/>
          <w:sz w:val="20"/>
          <w:szCs w:val="20"/>
        </w:rPr>
        <w:t>English Literary Renaissance</w:t>
      </w:r>
      <w:r w:rsidRPr="003B1071">
        <w:rPr>
          <w:rFonts w:ascii="Garamond" w:hAnsi="Garamond"/>
          <w:sz w:val="20"/>
          <w:szCs w:val="20"/>
        </w:rPr>
        <w:t xml:space="preserve">, 29.3 (1999), 468-490 (pp. 468-70). Targoff positions her argument in direct opposition to those of Martz and Lewalski, who suggested that the interior lyric voice of protestant poetry was entirely separate to communal liturgy. </w:t>
      </w:r>
    </w:p>
  </w:footnote>
  <w:footnote w:id="427">
    <w:p w14:paraId="2A4387D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iCs/>
        </w:rPr>
        <w:t xml:space="preserve">Poems, </w:t>
      </w:r>
      <w:r w:rsidRPr="003B1071">
        <w:rPr>
          <w:rFonts w:ascii="Garamond" w:hAnsi="Garamond"/>
        </w:rPr>
        <w:t xml:space="preserve">pp. 271-273. </w:t>
      </w:r>
    </w:p>
  </w:footnote>
  <w:footnote w:id="428">
    <w:p w14:paraId="7BC00C1D" w14:textId="22D6BF71"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Helen Vendler, </w:t>
      </w:r>
      <w:r w:rsidRPr="003B1071">
        <w:rPr>
          <w:rFonts w:ascii="Garamond" w:hAnsi="Garamond"/>
          <w:i/>
        </w:rPr>
        <w:t xml:space="preserve">The Poetry of George Herbert </w:t>
      </w:r>
      <w:r w:rsidRPr="003B1071">
        <w:rPr>
          <w:rFonts w:ascii="Garamond" w:hAnsi="Garamond"/>
        </w:rPr>
        <w:t>(Cambridge, MA: Harvard University Press, 1975),</w:t>
      </w:r>
      <w:r w:rsidRPr="003B1071">
        <w:rPr>
          <w:rFonts w:ascii="Garamond" w:hAnsi="Garamond"/>
          <w:i/>
        </w:rPr>
        <w:t xml:space="preserve"> </w:t>
      </w:r>
      <w:r w:rsidRPr="003B1071">
        <w:rPr>
          <w:rFonts w:ascii="Garamond" w:hAnsi="Garamond"/>
        </w:rPr>
        <w:t xml:space="preserve">p. 164, p. 166. </w:t>
      </w:r>
    </w:p>
  </w:footnote>
  <w:footnote w:id="429">
    <w:p w14:paraId="119DA4C8" w14:textId="237B0920"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Janis Lull, </w:t>
      </w:r>
      <w:r w:rsidRPr="003B1071">
        <w:rPr>
          <w:rFonts w:ascii="Garamond" w:hAnsi="Garamond"/>
          <w:i/>
        </w:rPr>
        <w:t>The Poem in Time: Reading George Herbert’s revisions of ‘The Church’</w:t>
      </w:r>
      <w:r w:rsidRPr="003B1071">
        <w:rPr>
          <w:rFonts w:ascii="Garamond" w:hAnsi="Garamond"/>
        </w:rPr>
        <w:t xml:space="preserve"> (Newark: University of Delaware Press, 1990), p. 63. </w:t>
      </w:r>
    </w:p>
  </w:footnote>
  <w:footnote w:id="430">
    <w:p w14:paraId="67C7440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Helen Vendler, </w:t>
      </w:r>
      <w:r w:rsidRPr="003B1071">
        <w:rPr>
          <w:rFonts w:ascii="Garamond" w:hAnsi="Garamond"/>
          <w:i/>
        </w:rPr>
        <w:t xml:space="preserve">Invisible Listeners: Lyric Intimacy in Herbert, Whitman, and Ashbery </w:t>
      </w:r>
      <w:r w:rsidRPr="003B1071">
        <w:rPr>
          <w:rFonts w:ascii="Garamond" w:hAnsi="Garamond"/>
        </w:rPr>
        <w:t xml:space="preserve">(Princeton, NJ: Princeton University Press, 2005), pp. 165-6. </w:t>
      </w:r>
    </w:p>
  </w:footnote>
  <w:footnote w:id="431">
    <w:p w14:paraId="6289A34C" w14:textId="4219D782"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London, British Library, 1852.a.1[160], George Herbert, </w:t>
      </w:r>
      <w:r w:rsidRPr="003B1071">
        <w:rPr>
          <w:rFonts w:ascii="Garamond" w:hAnsi="Garamond"/>
          <w:i/>
          <w:iCs/>
        </w:rPr>
        <w:t>Sunday</w:t>
      </w:r>
      <w:r w:rsidRPr="003B1071">
        <w:rPr>
          <w:rFonts w:ascii="Garamond" w:hAnsi="Garamond"/>
        </w:rPr>
        <w:t xml:space="preserve"> (Religious Tract Society: London, 1856)</w:t>
      </w:r>
    </w:p>
  </w:footnote>
  <w:footnote w:id="432">
    <w:p w14:paraId="554A83E2" w14:textId="77777777" w:rsidR="00814479" w:rsidRPr="003B1071" w:rsidRDefault="00814479" w:rsidP="00162224">
      <w:pPr>
        <w:pStyle w:val="FootnoteText"/>
        <w:rPr>
          <w:rFonts w:ascii="Garamond" w:hAnsi="Garamond"/>
          <w:i/>
          <w:iCs/>
        </w:rPr>
      </w:pPr>
      <w:r w:rsidRPr="003B1071">
        <w:rPr>
          <w:rStyle w:val="FootnoteReference"/>
          <w:rFonts w:ascii="Garamond" w:hAnsi="Garamond"/>
        </w:rPr>
        <w:footnoteRef/>
      </w:r>
      <w:r w:rsidRPr="003B1071">
        <w:rPr>
          <w:rFonts w:ascii="Garamond" w:hAnsi="Garamond"/>
        </w:rPr>
        <w:t xml:space="preserve"> See Aileen Fyfe, </w:t>
      </w:r>
      <w:r w:rsidRPr="003B1071">
        <w:rPr>
          <w:rFonts w:ascii="Garamond" w:hAnsi="Garamond"/>
          <w:i/>
        </w:rPr>
        <w:t>Science and Salvation: evangelical popular science publishing in Victorian Britain</w:t>
      </w:r>
      <w:r w:rsidRPr="003B1071">
        <w:rPr>
          <w:rFonts w:ascii="Garamond" w:hAnsi="Garamond"/>
        </w:rPr>
        <w:t xml:space="preserve"> (Chicago: University of Chicago Press, 2004), see pp. 5-14. Since the early modern period, Protestantism had placed an emphasis on literacy as a route to God, a necessity to access the Bible. Victorian Evangelists saw the low levels of literacy in the working classes as a damage to their spirits, removing them from the Word. They understood that reading needed to be taught by more than just religious texts, and so although the Religious Tract Society initially published only on religious topics when founded in May 1799, by the 1840s and 50s their remit covered a wealth of different topics. Fyfe, pp. 21-39. The Religious Tract Society’s annexation of Herbert’s poetry had a precedent; his connection to a missionary spirit was longstanding. Pearson comments that his prophecy in ‘The Church Militant’ that ‘Religion stands on tip-toe in our land,/ Readie to passe to the American strand’ would have held promise to both radical nonconformists ‘who left England in search of freedom’ from the established church, as well as the Ferrars and their community and Little Gidding who wished to preserve the Church. See Kathleen Lynch, ‘Devotion Bound: A Social History of </w:t>
      </w:r>
      <w:r w:rsidRPr="003B1071">
        <w:rPr>
          <w:rFonts w:ascii="Garamond" w:hAnsi="Garamond"/>
          <w:i/>
          <w:iCs/>
        </w:rPr>
        <w:t>The Temple</w:t>
      </w:r>
      <w:r w:rsidRPr="003B1071">
        <w:rPr>
          <w:rFonts w:ascii="Garamond" w:hAnsi="Garamond"/>
        </w:rPr>
        <w:t xml:space="preserve">’ in </w:t>
      </w:r>
      <w:r w:rsidRPr="003B1071">
        <w:rPr>
          <w:rFonts w:ascii="Garamond" w:hAnsi="Garamond"/>
          <w:i/>
        </w:rPr>
        <w:t>Books and Readers in Early Modern England</w:t>
      </w:r>
      <w:r w:rsidRPr="003B1071">
        <w:rPr>
          <w:rFonts w:ascii="Garamond" w:hAnsi="Garamond"/>
        </w:rPr>
        <w:t xml:space="preserve"> (University of Pennsylvania Press: Philadelphia, 2002), pp. 177-97. Indeed, the Ferrars sent copies of Herbert’s works to Virginia, making ‘pointed interventions in the politics of religion at a time of constitutional crisis’ by ‘seeding Virginia soil with these </w:t>
      </w:r>
      <w:proofErr w:type="gramStart"/>
      <w:r w:rsidRPr="003B1071">
        <w:rPr>
          <w:rFonts w:ascii="Garamond" w:hAnsi="Garamond"/>
        </w:rPr>
        <w:t>volumes’</w:t>
      </w:r>
      <w:proofErr w:type="gramEnd"/>
      <w:r w:rsidRPr="003B1071">
        <w:rPr>
          <w:rFonts w:ascii="Garamond" w:hAnsi="Garamond"/>
        </w:rPr>
        <w:t xml:space="preserve">. (Lynch, p. 185) Herbert would have had an intimate knowledge of the workings of the Virginia Company, as his stepfather Sir John Danvers was closely involved in the affairs of the Company. See Sean Kelsey, ‘Danvers, Sir John (1584/5–1655)’ in </w:t>
      </w:r>
      <w:r w:rsidRPr="003B1071">
        <w:rPr>
          <w:rFonts w:ascii="Garamond" w:hAnsi="Garamond"/>
          <w:i/>
          <w:iCs/>
        </w:rPr>
        <w:t xml:space="preserve">ODNB. </w:t>
      </w:r>
    </w:p>
  </w:footnote>
  <w:footnote w:id="433">
    <w:p w14:paraId="26B256C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Fyfe, p. 22. </w:t>
      </w:r>
    </w:p>
  </w:footnote>
  <w:footnote w:id="434">
    <w:p w14:paraId="22B917A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Walton, </w:t>
      </w:r>
      <w:r w:rsidRPr="003B1071">
        <w:rPr>
          <w:rFonts w:ascii="Garamond" w:hAnsi="Garamond"/>
          <w:i/>
        </w:rPr>
        <w:t xml:space="preserve">Life, </w:t>
      </w:r>
      <w:r w:rsidRPr="003B1071">
        <w:rPr>
          <w:rFonts w:ascii="Garamond" w:hAnsi="Garamond"/>
        </w:rPr>
        <w:t xml:space="preserve">pp. 312-3. </w:t>
      </w:r>
    </w:p>
  </w:footnote>
  <w:footnote w:id="435">
    <w:p w14:paraId="31CCE39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Lull, p. 12</w:t>
      </w:r>
    </w:p>
  </w:footnote>
  <w:footnote w:id="436">
    <w:p w14:paraId="1C44F39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Lull offers a rational for this: ‘Perhaps some of the vehemence on both sides of this modern debate derives from the fact that literary criticism originated in biblical criticism, whose practitioners, including George Herbert, equated authorial intention with the will of God’, p. 12.</w:t>
      </w:r>
    </w:p>
  </w:footnote>
  <w:footnote w:id="437">
    <w:p w14:paraId="1C420E33" w14:textId="558F7981"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Simon Jackson, ‘</w:t>
      </w:r>
      <w:r>
        <w:rPr>
          <w:rFonts w:ascii="Garamond" w:hAnsi="Garamond"/>
        </w:rPr>
        <w:t>“</w:t>
      </w:r>
      <w:r w:rsidRPr="003B1071">
        <w:rPr>
          <w:rFonts w:ascii="Garamond" w:hAnsi="Garamond"/>
        </w:rPr>
        <w:t>Double Motion</w:t>
      </w:r>
      <w:r>
        <w:rPr>
          <w:rFonts w:ascii="Garamond" w:hAnsi="Garamond"/>
        </w:rPr>
        <w:t>”</w:t>
      </w:r>
      <w:r w:rsidRPr="003B1071">
        <w:rPr>
          <w:rFonts w:ascii="Garamond" w:hAnsi="Garamond"/>
        </w:rPr>
        <w:t xml:space="preserve">: Herbert and Seventeenth-Century Polyphonic Practice’ in </w:t>
      </w:r>
      <w:r w:rsidRPr="003B1071">
        <w:rPr>
          <w:rFonts w:ascii="Garamond" w:hAnsi="Garamond"/>
          <w:i/>
          <w:iCs/>
        </w:rPr>
        <w:t xml:space="preserve">GHJ, </w:t>
      </w:r>
      <w:r w:rsidRPr="003B1071">
        <w:rPr>
          <w:rFonts w:ascii="Garamond" w:hAnsi="Garamond"/>
        </w:rPr>
        <w:t xml:space="preserve">37 (Fall 2013), 146-161. </w:t>
      </w:r>
    </w:p>
  </w:footnote>
  <w:footnote w:id="438">
    <w:p w14:paraId="2D27774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Martz, p. 195. Martz sees this as evidence of Herbert developing Robert Southwell’s poetic technique. </w:t>
      </w:r>
    </w:p>
  </w:footnote>
  <w:footnote w:id="439">
    <w:p w14:paraId="5E185DF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Lull, p. 17. Lull suggests that ‘perhaps some of the vehemence on both sides of this modern debate derices from the fact that literary criticism originated in biblical criticism, whose practitioners, including George Herbert, equated authorial intention with the will of God’.</w:t>
      </w:r>
    </w:p>
  </w:footnote>
  <w:footnote w:id="440">
    <w:p w14:paraId="67DAF31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Lull, p. 64. </w:t>
      </w:r>
    </w:p>
  </w:footnote>
  <w:footnote w:id="441">
    <w:p w14:paraId="55AD02C3" w14:textId="77777777" w:rsidR="00814479" w:rsidRPr="003B1071" w:rsidRDefault="00814479" w:rsidP="00162224">
      <w:pPr>
        <w:pStyle w:val="FootnoteText"/>
        <w:tabs>
          <w:tab w:val="left" w:pos="960"/>
        </w:tabs>
        <w:rPr>
          <w:rFonts w:ascii="Garamond" w:hAnsi="Garamond"/>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rPr>
        <w:t xml:space="preserve">A Country Parson, </w:t>
      </w:r>
      <w:r w:rsidRPr="003B1071">
        <w:rPr>
          <w:rFonts w:ascii="Garamond" w:hAnsi="Garamond"/>
        </w:rPr>
        <w:t>p. 204</w:t>
      </w:r>
    </w:p>
  </w:footnote>
  <w:footnote w:id="442">
    <w:p w14:paraId="694FD64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iCs/>
        </w:rPr>
        <w:t xml:space="preserve">Poems, </w:t>
      </w:r>
      <w:r w:rsidRPr="003B1071">
        <w:rPr>
          <w:rFonts w:ascii="Garamond" w:hAnsi="Garamond"/>
        </w:rPr>
        <w:t xml:space="preserve">p. 303. </w:t>
      </w:r>
    </w:p>
  </w:footnote>
  <w:footnote w:id="443">
    <w:p w14:paraId="36DBF05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For a fuller discussion of this in Herbert’s works, see Daniel Doerksen, </w:t>
      </w:r>
      <w:r w:rsidRPr="003B1071">
        <w:rPr>
          <w:rFonts w:ascii="Garamond" w:hAnsi="Garamond"/>
          <w:i/>
          <w:iCs/>
        </w:rPr>
        <w:t xml:space="preserve">Picturing Religious Experience: George Herbert, Calvin, and the Scriptures </w:t>
      </w:r>
      <w:r w:rsidRPr="003B1071">
        <w:rPr>
          <w:rFonts w:ascii="Garamond" w:hAnsi="Garamond"/>
        </w:rPr>
        <w:t xml:space="preserve">(Delaware: University of Delaware Press, 2011), pp. 85-92. </w:t>
      </w:r>
    </w:p>
  </w:footnote>
  <w:footnote w:id="444">
    <w:p w14:paraId="2E9FA97F" w14:textId="6B2B1F24"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Anne Ferry, ‘Titles in George Herbert’s</w:t>
      </w:r>
      <w:r>
        <w:rPr>
          <w:rFonts w:ascii="Garamond" w:hAnsi="Garamond"/>
        </w:rPr>
        <w:t xml:space="preserve"> “</w:t>
      </w:r>
      <w:r w:rsidRPr="003B1071">
        <w:rPr>
          <w:rFonts w:ascii="Garamond" w:hAnsi="Garamond"/>
        </w:rPr>
        <w:t>Little Book</w:t>
      </w:r>
      <w:r>
        <w:rPr>
          <w:rFonts w:ascii="Garamond" w:hAnsi="Garamond"/>
        </w:rPr>
        <w:t>”</w:t>
      </w:r>
      <w:r w:rsidRPr="003B1071">
        <w:rPr>
          <w:rFonts w:ascii="Garamond" w:hAnsi="Garamond"/>
        </w:rPr>
        <w:t xml:space="preserve">’ in </w:t>
      </w:r>
      <w:r w:rsidRPr="003B1071">
        <w:rPr>
          <w:rFonts w:ascii="Garamond" w:hAnsi="Garamond"/>
          <w:i/>
          <w:iCs/>
        </w:rPr>
        <w:t>English Literary Renaissance</w:t>
      </w:r>
      <w:r w:rsidRPr="003B1071">
        <w:rPr>
          <w:rFonts w:ascii="Garamond" w:hAnsi="Garamond"/>
        </w:rPr>
        <w:t xml:space="preserve">, 23.2 (1993), 314-344 (pp. 313-4). </w:t>
      </w:r>
    </w:p>
  </w:footnote>
  <w:footnote w:id="445">
    <w:p w14:paraId="3E3644F4" w14:textId="746D699E"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Martin Elsky, ‘George Herbert’s Pattern Poems and the Materiality of Language:  a new approach to Renaissance Hieroglyphics’ in </w:t>
      </w:r>
      <w:r w:rsidRPr="003B1071">
        <w:rPr>
          <w:rFonts w:ascii="Garamond" w:hAnsi="Garamond"/>
          <w:i/>
        </w:rPr>
        <w:t xml:space="preserve">English Literary History, </w:t>
      </w:r>
      <w:r w:rsidRPr="003B1071">
        <w:rPr>
          <w:rFonts w:ascii="Garamond" w:hAnsi="Garamond"/>
        </w:rPr>
        <w:t xml:space="preserve">50.2 (Summer 1983), 245-60 (p. 255). </w:t>
      </w:r>
    </w:p>
  </w:footnote>
  <w:footnote w:id="446">
    <w:p w14:paraId="430019FC" w14:textId="77777777" w:rsidR="00814479" w:rsidRPr="003B1071" w:rsidRDefault="00814479" w:rsidP="00162224">
      <w:pPr>
        <w:pStyle w:val="FootnoteText"/>
        <w:rPr>
          <w:rFonts w:ascii="Garamond" w:hAnsi="Garamond"/>
          <w:b/>
        </w:rPr>
      </w:pPr>
      <w:r w:rsidRPr="003B1071">
        <w:rPr>
          <w:rStyle w:val="FootnoteReference"/>
          <w:rFonts w:ascii="Garamond" w:hAnsi="Garamond"/>
        </w:rPr>
        <w:footnoteRef/>
      </w:r>
      <w:r w:rsidRPr="003B1071">
        <w:rPr>
          <w:rFonts w:ascii="Garamond" w:hAnsi="Garamond"/>
        </w:rPr>
        <w:t xml:space="preserve"> Lull, p. 85. </w:t>
      </w:r>
    </w:p>
  </w:footnote>
  <w:footnote w:id="447">
    <w:p w14:paraId="75F1AE1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London, Dr. Williams’s Library, MS. Jones B 62, ff. 51v-52v and Oxford, Bodleian Library, MS Tanner </w:t>
      </w:r>
      <w:proofErr w:type="gramStart"/>
      <w:r w:rsidRPr="003B1071">
        <w:rPr>
          <w:rFonts w:ascii="Garamond" w:hAnsi="Garamond"/>
        </w:rPr>
        <w:t>307,  pp.</w:t>
      </w:r>
      <w:proofErr w:type="gramEnd"/>
      <w:r w:rsidRPr="003B1071">
        <w:rPr>
          <w:rFonts w:ascii="Garamond" w:hAnsi="Garamond"/>
        </w:rPr>
        <w:t xml:space="preserve"> 112-3. </w:t>
      </w:r>
    </w:p>
  </w:footnote>
  <w:footnote w:id="448">
    <w:p w14:paraId="53B1790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Michael Clifton, ‘Staking his Heart: Herbert’s use of Gambling Imagery in </w:t>
      </w:r>
      <w:r w:rsidRPr="003B1071">
        <w:rPr>
          <w:rFonts w:ascii="Garamond" w:hAnsi="Garamond"/>
          <w:i/>
        </w:rPr>
        <w:t>The Temple</w:t>
      </w:r>
      <w:r w:rsidRPr="003B1071">
        <w:rPr>
          <w:rFonts w:ascii="Garamond" w:hAnsi="Garamond"/>
        </w:rPr>
        <w:t xml:space="preserve">’ in </w:t>
      </w:r>
      <w:r w:rsidRPr="003B1071">
        <w:rPr>
          <w:rFonts w:ascii="Garamond" w:hAnsi="Garamond"/>
          <w:i/>
        </w:rPr>
        <w:t xml:space="preserve">GHJ, </w:t>
      </w:r>
      <w:r w:rsidRPr="003B1071">
        <w:rPr>
          <w:rFonts w:ascii="Garamond" w:hAnsi="Garamond"/>
        </w:rPr>
        <w:t>8/1 (1984), 43-55 (p. 52).</w:t>
      </w:r>
    </w:p>
  </w:footnote>
  <w:footnote w:id="449">
    <w:p w14:paraId="5A7C1FE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r w:rsidRPr="003B1071">
        <w:rPr>
          <w:rFonts w:ascii="Garamond" w:hAnsi="Garamond"/>
          <w:i/>
          <w:iCs/>
        </w:rPr>
        <w:t>Divers Crab-Tree Lectures</w:t>
      </w:r>
      <w:r w:rsidRPr="003B1071">
        <w:rPr>
          <w:rFonts w:ascii="Garamond" w:hAnsi="Garamond"/>
        </w:rPr>
        <w:t xml:space="preserve">, cited in Thompson, p. 72. </w:t>
      </w:r>
    </w:p>
  </w:footnote>
  <w:footnote w:id="450">
    <w:p w14:paraId="66E113D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Thompson, p. 72. </w:t>
      </w:r>
    </w:p>
  </w:footnote>
  <w:footnote w:id="451">
    <w:p w14:paraId="63C33C6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Amy Charles, </w:t>
      </w:r>
      <w:r w:rsidRPr="003B1071">
        <w:rPr>
          <w:rFonts w:ascii="Garamond" w:hAnsi="Garamond"/>
          <w:i/>
          <w:iCs/>
        </w:rPr>
        <w:t xml:space="preserve">A Life of George Herbert </w:t>
      </w:r>
      <w:r w:rsidRPr="003B1071">
        <w:rPr>
          <w:rFonts w:ascii="Garamond" w:hAnsi="Garamond"/>
        </w:rPr>
        <w:t xml:space="preserve">(Ithaca: Cornell University Press, 1977), pp. 86-9. </w:t>
      </w:r>
    </w:p>
  </w:footnote>
  <w:footnote w:id="452">
    <w:p w14:paraId="53F03931" w14:textId="2479D8F9"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Sheridan Blau, ‘The Poet as Casuist’ in </w:t>
      </w:r>
      <w:r w:rsidRPr="003B1071">
        <w:rPr>
          <w:rFonts w:ascii="Garamond" w:hAnsi="Garamond"/>
          <w:i/>
          <w:iCs/>
        </w:rPr>
        <w:t xml:space="preserve">Genre </w:t>
      </w:r>
      <w:r w:rsidRPr="003B1071">
        <w:rPr>
          <w:rFonts w:ascii="Garamond" w:hAnsi="Garamond"/>
        </w:rPr>
        <w:t xml:space="preserve">4 (1971), 142-52 (p. 150). </w:t>
      </w:r>
    </w:p>
  </w:footnote>
  <w:footnote w:id="453">
    <w:p w14:paraId="41CEF27B" w14:textId="7185849F"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William FitzGerald, </w:t>
      </w:r>
      <w:r w:rsidRPr="003B1071">
        <w:rPr>
          <w:rFonts w:ascii="Garamond" w:hAnsi="Garamond"/>
          <w:i/>
        </w:rPr>
        <w:t>Spiritual Modalities: Prayer as rhetoric and performance</w:t>
      </w:r>
      <w:r w:rsidRPr="003B1071">
        <w:rPr>
          <w:rFonts w:ascii="Garamond" w:hAnsi="Garamond"/>
        </w:rPr>
        <w:t xml:space="preserve"> (Pennsylvania State University Press: Pennsylvania, 2012) pp. 13-14. </w:t>
      </w:r>
    </w:p>
  </w:footnote>
  <w:footnote w:id="454">
    <w:p w14:paraId="3B391ED1" w14:textId="2A3DC27F"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Ceri Sullivan, </w:t>
      </w:r>
      <w:r w:rsidRPr="003B1071">
        <w:rPr>
          <w:rFonts w:ascii="Garamond" w:hAnsi="Garamond"/>
          <w:i/>
          <w:iCs/>
        </w:rPr>
        <w:t xml:space="preserve">The Rhetoric of Credit: Merchants in early modern writing </w:t>
      </w:r>
      <w:r w:rsidRPr="003B1071">
        <w:rPr>
          <w:rFonts w:ascii="Garamond" w:hAnsi="Garamond"/>
        </w:rPr>
        <w:t xml:space="preserve">(Madison: Fairleigh Dickinson University Press, 2002) pp. 23, 37. </w:t>
      </w:r>
    </w:p>
  </w:footnote>
  <w:footnote w:id="455">
    <w:p w14:paraId="1960125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Cited in Sullivan, p. 40.</w:t>
      </w:r>
    </w:p>
  </w:footnote>
  <w:footnote w:id="456">
    <w:p w14:paraId="15AD5CD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rPr>
        <w:t xml:space="preserve">The Country Parson, </w:t>
      </w:r>
      <w:r w:rsidRPr="003B1071">
        <w:rPr>
          <w:rFonts w:ascii="Garamond" w:hAnsi="Garamond"/>
        </w:rPr>
        <w:t xml:space="preserve">p. 211. </w:t>
      </w:r>
    </w:p>
  </w:footnote>
  <w:footnote w:id="457">
    <w:p w14:paraId="36CF82E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John Hacket, </w:t>
      </w:r>
      <w:r w:rsidRPr="003B1071">
        <w:rPr>
          <w:rFonts w:ascii="Garamond" w:hAnsi="Garamond"/>
          <w:i/>
        </w:rPr>
        <w:t xml:space="preserve">Scrinia Reserata </w:t>
      </w:r>
      <w:r w:rsidRPr="003B1071">
        <w:rPr>
          <w:rFonts w:ascii="Garamond" w:hAnsi="Garamond"/>
        </w:rPr>
        <w:t xml:space="preserve">(London: 1693), p. 44. </w:t>
      </w:r>
    </w:p>
  </w:footnote>
  <w:footnote w:id="458">
    <w:p w14:paraId="51DD360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John Hacket, </w:t>
      </w:r>
      <w:r w:rsidRPr="003B1071">
        <w:rPr>
          <w:rFonts w:ascii="Garamond" w:hAnsi="Garamond"/>
          <w:i/>
        </w:rPr>
        <w:t xml:space="preserve">A Century of Sermons </w:t>
      </w:r>
      <w:r w:rsidRPr="003B1071">
        <w:rPr>
          <w:rFonts w:ascii="Garamond" w:hAnsi="Garamond"/>
        </w:rPr>
        <w:t>(London: 1675),</w:t>
      </w:r>
      <w:r w:rsidRPr="003B1071">
        <w:rPr>
          <w:rFonts w:ascii="Garamond" w:hAnsi="Garamond"/>
          <w:i/>
        </w:rPr>
        <w:t xml:space="preserve"> </w:t>
      </w:r>
      <w:r w:rsidRPr="003B1071">
        <w:rPr>
          <w:rFonts w:ascii="Garamond" w:hAnsi="Garamond"/>
        </w:rPr>
        <w:t xml:space="preserve">p. v. </w:t>
      </w:r>
    </w:p>
  </w:footnote>
  <w:footnote w:id="459">
    <w:p w14:paraId="2E6F66A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i/>
        </w:rPr>
        <w:t xml:space="preserve"> </w:t>
      </w:r>
      <w:r w:rsidRPr="003B1071">
        <w:rPr>
          <w:rFonts w:ascii="Garamond" w:hAnsi="Garamond"/>
        </w:rPr>
        <w:t xml:space="preserve">Herbert, </w:t>
      </w:r>
      <w:r w:rsidRPr="003B1071">
        <w:rPr>
          <w:rFonts w:ascii="Garamond" w:hAnsi="Garamond"/>
          <w:i/>
        </w:rPr>
        <w:t xml:space="preserve">Poems, </w:t>
      </w:r>
      <w:r w:rsidRPr="003B1071">
        <w:rPr>
          <w:rFonts w:ascii="Garamond" w:hAnsi="Garamond"/>
        </w:rPr>
        <w:t xml:space="preserve">pp. 432-3. </w:t>
      </w:r>
    </w:p>
  </w:footnote>
  <w:footnote w:id="460">
    <w:p w14:paraId="02C26EB7" w14:textId="3DFA1067" w:rsidR="00814479" w:rsidRPr="003B1071" w:rsidRDefault="00814479" w:rsidP="00162224">
      <w:pPr>
        <w:pStyle w:val="FootnoteText"/>
        <w:rPr>
          <w:rFonts w:ascii="Garamond" w:hAnsi="Garamond"/>
          <w:bCs/>
        </w:rPr>
      </w:pPr>
      <w:r w:rsidRPr="003B1071">
        <w:rPr>
          <w:rStyle w:val="FootnoteReference"/>
          <w:rFonts w:ascii="Garamond" w:hAnsi="Garamond"/>
        </w:rPr>
        <w:footnoteRef/>
      </w:r>
      <w:r w:rsidRPr="003B1071">
        <w:rPr>
          <w:rFonts w:ascii="Garamond" w:hAnsi="Garamond"/>
        </w:rPr>
        <w:t xml:space="preserve"> Adam Smyth has discussed at length Herbert’s use of images of cutting and an act of poetic making, see </w:t>
      </w:r>
      <w:r w:rsidRPr="003B1071">
        <w:rPr>
          <w:rFonts w:ascii="Garamond" w:hAnsi="Garamond"/>
          <w:bCs/>
        </w:rPr>
        <w:t>‘</w:t>
      </w:r>
      <w:r>
        <w:rPr>
          <w:rFonts w:ascii="Garamond" w:hAnsi="Garamond"/>
          <w:bCs/>
        </w:rPr>
        <w:t>“</w:t>
      </w:r>
      <w:r w:rsidRPr="003B1071">
        <w:rPr>
          <w:rFonts w:ascii="Garamond" w:hAnsi="Garamond"/>
          <w:bCs/>
        </w:rPr>
        <w:t>Shreds of Holiness</w:t>
      </w:r>
      <w:r>
        <w:rPr>
          <w:rFonts w:ascii="Garamond" w:hAnsi="Garamond"/>
          <w:bCs/>
        </w:rPr>
        <w:t>”</w:t>
      </w:r>
      <w:r w:rsidRPr="003B1071">
        <w:rPr>
          <w:rFonts w:ascii="Garamond" w:hAnsi="Garamond"/>
          <w:bCs/>
        </w:rPr>
        <w:t xml:space="preserve">: George Herbert, Little Gidding, and Cutting Up Texts in early modern England’ in </w:t>
      </w:r>
      <w:r w:rsidRPr="003B1071">
        <w:rPr>
          <w:rFonts w:ascii="Garamond" w:hAnsi="Garamond"/>
          <w:bCs/>
          <w:i/>
          <w:iCs/>
        </w:rPr>
        <w:t xml:space="preserve">English Literary Renaissance, </w:t>
      </w:r>
      <w:r w:rsidRPr="003B1071">
        <w:rPr>
          <w:rFonts w:ascii="Garamond" w:hAnsi="Garamond"/>
          <w:bCs/>
        </w:rPr>
        <w:t>42.3</w:t>
      </w:r>
      <w:r w:rsidR="00276F4F">
        <w:rPr>
          <w:rFonts w:ascii="Garamond" w:hAnsi="Garamond"/>
          <w:bCs/>
        </w:rPr>
        <w:t xml:space="preserve"> </w:t>
      </w:r>
      <w:r w:rsidRPr="003B1071">
        <w:rPr>
          <w:rFonts w:ascii="Garamond" w:hAnsi="Garamond"/>
          <w:bCs/>
        </w:rPr>
        <w:t xml:space="preserve">(2012), 52-481. </w:t>
      </w:r>
    </w:p>
    <w:p w14:paraId="781E059E" w14:textId="77777777" w:rsidR="00814479" w:rsidRPr="003B1071" w:rsidRDefault="00814479" w:rsidP="00162224">
      <w:pPr>
        <w:pStyle w:val="FootnoteText"/>
        <w:rPr>
          <w:rFonts w:ascii="Garamond" w:hAnsi="Garamond"/>
        </w:rPr>
      </w:pPr>
    </w:p>
  </w:footnote>
  <w:footnote w:id="461">
    <w:p w14:paraId="32CA85D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iCs/>
        </w:rPr>
        <w:t>Country Parson,</w:t>
      </w:r>
      <w:r w:rsidRPr="003B1071">
        <w:rPr>
          <w:rFonts w:ascii="Garamond" w:hAnsi="Garamond"/>
        </w:rPr>
        <w:t xml:space="preserve"> p. 204. </w:t>
      </w:r>
    </w:p>
  </w:footnote>
  <w:footnote w:id="462">
    <w:p w14:paraId="1E7E962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Cited in Moss, p. 12. </w:t>
      </w:r>
    </w:p>
  </w:footnote>
  <w:footnote w:id="463">
    <w:p w14:paraId="79531D5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iCs/>
        </w:rPr>
        <w:t xml:space="preserve">Country Parson, </w:t>
      </w:r>
      <w:r w:rsidRPr="003B1071">
        <w:rPr>
          <w:rFonts w:ascii="Garamond" w:hAnsi="Garamond"/>
        </w:rPr>
        <w:t xml:space="preserve">p. 206. </w:t>
      </w:r>
    </w:p>
  </w:footnote>
  <w:footnote w:id="464">
    <w:p w14:paraId="0499CE9B" w14:textId="77777777" w:rsidR="00814479" w:rsidRPr="00667CD5" w:rsidRDefault="00814479" w:rsidP="00162224">
      <w:pPr>
        <w:pStyle w:val="FootnoteText"/>
        <w:rPr>
          <w:rFonts w:ascii="Garamond" w:hAnsi="Garamond"/>
          <w:lang w:val="sv-SE"/>
        </w:rPr>
      </w:pPr>
      <w:r w:rsidRPr="003B1071">
        <w:rPr>
          <w:rStyle w:val="FootnoteReference"/>
          <w:rFonts w:ascii="Garamond" w:hAnsi="Garamond"/>
        </w:rPr>
        <w:footnoteRef/>
      </w:r>
      <w:r w:rsidRPr="00667CD5">
        <w:rPr>
          <w:rFonts w:ascii="Garamond" w:hAnsi="Garamond"/>
          <w:lang w:val="sv-SE"/>
        </w:rPr>
        <w:t xml:space="preserve"> Parker,</w:t>
      </w:r>
      <w:r w:rsidRPr="00667CD5">
        <w:rPr>
          <w:rFonts w:ascii="Garamond" w:hAnsi="Garamond"/>
          <w:i/>
          <w:iCs/>
          <w:lang w:val="sv-SE"/>
        </w:rPr>
        <w:t xml:space="preserve"> Psalter,</w:t>
      </w:r>
      <w:r w:rsidRPr="00667CD5">
        <w:rPr>
          <w:rFonts w:ascii="Garamond" w:hAnsi="Garamond"/>
          <w:lang w:val="sv-SE"/>
        </w:rPr>
        <w:t xml:space="preserve"> f. 9. </w:t>
      </w:r>
    </w:p>
  </w:footnote>
  <w:footnote w:id="465">
    <w:p w14:paraId="1B97B9BF" w14:textId="77777777" w:rsidR="00814479" w:rsidRPr="003B1071" w:rsidRDefault="00814479" w:rsidP="00162224">
      <w:pPr>
        <w:pStyle w:val="FootnoteText"/>
        <w:rPr>
          <w:rFonts w:ascii="Garamond" w:hAnsi="Garamond"/>
          <w:lang w:val="sv-SE"/>
        </w:rPr>
      </w:pPr>
      <w:r w:rsidRPr="003B1071">
        <w:rPr>
          <w:rStyle w:val="FootnoteReference"/>
          <w:rFonts w:ascii="Garamond" w:hAnsi="Garamond"/>
        </w:rPr>
        <w:footnoteRef/>
      </w:r>
      <w:r w:rsidRPr="003B1071">
        <w:rPr>
          <w:rFonts w:ascii="Garamond" w:hAnsi="Garamond"/>
          <w:lang w:val="sv-SE"/>
        </w:rPr>
        <w:t xml:space="preserve"> Fitzgerald, p. 107. </w:t>
      </w:r>
    </w:p>
  </w:footnote>
  <w:footnote w:id="466">
    <w:p w14:paraId="26BD9906" w14:textId="77777777" w:rsidR="00814479" w:rsidRPr="003B1071" w:rsidRDefault="00814479" w:rsidP="00162224">
      <w:pPr>
        <w:pStyle w:val="FootnoteText"/>
        <w:rPr>
          <w:rFonts w:ascii="Garamond" w:hAnsi="Garamond"/>
          <w:lang w:val="sv-SE"/>
        </w:rPr>
      </w:pPr>
      <w:r w:rsidRPr="003B1071">
        <w:rPr>
          <w:rStyle w:val="FootnoteReference"/>
          <w:rFonts w:ascii="Garamond" w:hAnsi="Garamond"/>
        </w:rPr>
        <w:footnoteRef/>
      </w:r>
      <w:r w:rsidRPr="003B1071">
        <w:rPr>
          <w:rFonts w:ascii="Garamond" w:hAnsi="Garamond"/>
          <w:lang w:val="sv-SE"/>
        </w:rPr>
        <w:t xml:space="preserve"> Moss, p. vi. </w:t>
      </w:r>
    </w:p>
  </w:footnote>
  <w:footnote w:id="467">
    <w:p w14:paraId="52A43D57" w14:textId="77777777" w:rsidR="00814479" w:rsidRPr="003B1071" w:rsidRDefault="00814479" w:rsidP="00162224">
      <w:pPr>
        <w:pStyle w:val="FootnoteText"/>
        <w:rPr>
          <w:rFonts w:ascii="Garamond" w:hAnsi="Garamond"/>
          <w:lang w:val="sv-SE"/>
        </w:rPr>
      </w:pPr>
      <w:r w:rsidRPr="003B1071">
        <w:rPr>
          <w:rStyle w:val="FootnoteReference"/>
          <w:rFonts w:ascii="Garamond" w:hAnsi="Garamond"/>
        </w:rPr>
        <w:footnoteRef/>
      </w:r>
      <w:r w:rsidRPr="003B1071">
        <w:rPr>
          <w:rFonts w:ascii="Garamond" w:hAnsi="Garamond"/>
          <w:lang w:val="sv-SE"/>
        </w:rPr>
        <w:t xml:space="preserve"> Moss, pp. 5-6. </w:t>
      </w:r>
    </w:p>
  </w:footnote>
  <w:footnote w:id="468">
    <w:p w14:paraId="01D21B5C" w14:textId="77777777" w:rsidR="00814479" w:rsidRPr="003B1071" w:rsidRDefault="00814479" w:rsidP="00162224">
      <w:pPr>
        <w:pStyle w:val="FootnoteText"/>
        <w:rPr>
          <w:rFonts w:ascii="Garamond" w:hAnsi="Garamond"/>
          <w:lang w:val="sv-SE"/>
        </w:rPr>
      </w:pPr>
      <w:r w:rsidRPr="003B1071">
        <w:rPr>
          <w:rStyle w:val="FootnoteReference"/>
          <w:rFonts w:ascii="Garamond" w:hAnsi="Garamond"/>
        </w:rPr>
        <w:footnoteRef/>
      </w:r>
      <w:r w:rsidRPr="003B1071">
        <w:rPr>
          <w:rFonts w:ascii="Garamond" w:hAnsi="Garamond"/>
          <w:lang w:val="sv-SE"/>
        </w:rPr>
        <w:t xml:space="preserve"> Moss, pp. 10-11. </w:t>
      </w:r>
    </w:p>
  </w:footnote>
  <w:footnote w:id="469">
    <w:p w14:paraId="74704959" w14:textId="77777777" w:rsidR="00814479" w:rsidRPr="003B1071" w:rsidRDefault="00814479" w:rsidP="00162224">
      <w:pPr>
        <w:pStyle w:val="FootnoteText"/>
        <w:rPr>
          <w:rFonts w:ascii="Garamond" w:hAnsi="Garamond"/>
          <w:lang w:val="sv-SE"/>
        </w:rPr>
      </w:pPr>
      <w:r w:rsidRPr="003B1071">
        <w:rPr>
          <w:rStyle w:val="FootnoteReference"/>
          <w:rFonts w:ascii="Garamond" w:hAnsi="Garamond"/>
        </w:rPr>
        <w:footnoteRef/>
      </w:r>
      <w:r w:rsidRPr="003B1071">
        <w:rPr>
          <w:rFonts w:ascii="Garamond" w:hAnsi="Garamond"/>
          <w:lang w:val="sv-SE"/>
        </w:rPr>
        <w:t xml:space="preserve"> Moss, pp. 16. </w:t>
      </w:r>
    </w:p>
  </w:footnote>
  <w:footnote w:id="470">
    <w:p w14:paraId="12BACCA1" w14:textId="77777777" w:rsidR="00814479" w:rsidRPr="00667CD5" w:rsidRDefault="00814479" w:rsidP="00162224">
      <w:pPr>
        <w:pStyle w:val="FootnoteText"/>
        <w:rPr>
          <w:rFonts w:ascii="Garamond" w:hAnsi="Garamond"/>
          <w:lang w:val="sv-SE"/>
        </w:rPr>
      </w:pPr>
      <w:r w:rsidRPr="003B1071">
        <w:rPr>
          <w:rStyle w:val="FootnoteReference"/>
          <w:rFonts w:ascii="Garamond" w:hAnsi="Garamond"/>
        </w:rPr>
        <w:footnoteRef/>
      </w:r>
      <w:r w:rsidRPr="00667CD5">
        <w:rPr>
          <w:rFonts w:ascii="Garamond" w:hAnsi="Garamond"/>
          <w:lang w:val="sv-SE"/>
        </w:rPr>
        <w:t xml:space="preserve"> Moss, pp. 24-5. </w:t>
      </w:r>
    </w:p>
  </w:footnote>
  <w:footnote w:id="471">
    <w:p w14:paraId="2348F94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Cited in Moss, p. 18. </w:t>
      </w:r>
    </w:p>
  </w:footnote>
  <w:footnote w:id="472">
    <w:p w14:paraId="418F185E" w14:textId="7AE7FE96"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Rudolph Agricola, ‘Rudolph Agricola’s </w:t>
      </w:r>
      <w:r w:rsidRPr="003B1071">
        <w:rPr>
          <w:rFonts w:ascii="Garamond" w:hAnsi="Garamond"/>
          <w:i/>
          <w:iCs/>
        </w:rPr>
        <w:t>De Inventione Dialectica Libri tres</w:t>
      </w:r>
      <w:r w:rsidRPr="003B1071">
        <w:rPr>
          <w:rFonts w:ascii="Garamond" w:hAnsi="Garamond"/>
        </w:rPr>
        <w:t xml:space="preserve">; A Translation of Selected Chapters’ translated by J. R. McNally in </w:t>
      </w:r>
      <w:r w:rsidRPr="003B1071">
        <w:rPr>
          <w:rFonts w:ascii="Garamond" w:hAnsi="Garamond"/>
          <w:i/>
          <w:iCs/>
        </w:rPr>
        <w:t>Speech Monographs</w:t>
      </w:r>
      <w:r w:rsidRPr="003B1071">
        <w:rPr>
          <w:rFonts w:ascii="Garamond" w:hAnsi="Garamond"/>
        </w:rPr>
        <w:t>, 34.4 (November 1967), 393-421</w:t>
      </w:r>
      <w:r w:rsidR="00276F4F">
        <w:rPr>
          <w:rFonts w:ascii="Garamond" w:hAnsi="Garamond"/>
        </w:rPr>
        <w:t xml:space="preserve"> </w:t>
      </w:r>
      <w:r w:rsidRPr="003B1071">
        <w:rPr>
          <w:rFonts w:ascii="Garamond" w:hAnsi="Garamond"/>
        </w:rPr>
        <w:t xml:space="preserve">(p. 396). </w:t>
      </w:r>
    </w:p>
  </w:footnote>
  <w:footnote w:id="473">
    <w:p w14:paraId="29A69B4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Agricola, p. 462. </w:t>
      </w:r>
    </w:p>
  </w:footnote>
  <w:footnote w:id="474">
    <w:p w14:paraId="779EBC90" w14:textId="3D5426D2"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Fred Schurink, ‘Manuscript Commonplace Books, Literature, and Reading in Early Modern England’ in </w:t>
      </w:r>
      <w:r w:rsidRPr="003B1071">
        <w:rPr>
          <w:rFonts w:ascii="Garamond" w:hAnsi="Garamond"/>
          <w:i/>
        </w:rPr>
        <w:t>Huntington Library Quarterly</w:t>
      </w:r>
      <w:r w:rsidRPr="003B1071">
        <w:rPr>
          <w:rFonts w:ascii="Garamond" w:hAnsi="Garamond"/>
        </w:rPr>
        <w:t xml:space="preserve">, 73/3 (2010) 453-469 (p. 455). </w:t>
      </w:r>
    </w:p>
  </w:footnote>
  <w:footnote w:id="475">
    <w:p w14:paraId="1FB4EA1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Earl Havens cited in Schurink, p. 453. </w:t>
      </w:r>
    </w:p>
  </w:footnote>
  <w:footnote w:id="476">
    <w:p w14:paraId="7A85E92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Moss, p. vi. </w:t>
      </w:r>
    </w:p>
  </w:footnote>
  <w:footnote w:id="477">
    <w:p w14:paraId="7E4E1A63" w14:textId="2322A57F"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Mary </w:t>
      </w:r>
      <w:r>
        <w:rPr>
          <w:rFonts w:ascii="Garamond" w:hAnsi="Garamond"/>
        </w:rPr>
        <w:t xml:space="preserve">Thomas </w:t>
      </w:r>
      <w:r w:rsidRPr="003B1071">
        <w:rPr>
          <w:rFonts w:ascii="Garamond" w:hAnsi="Garamond"/>
        </w:rPr>
        <w:t>Cran</w:t>
      </w:r>
      <w:r>
        <w:rPr>
          <w:rFonts w:ascii="Garamond" w:hAnsi="Garamond"/>
        </w:rPr>
        <w:t>e</w:t>
      </w:r>
      <w:r w:rsidRPr="003B1071">
        <w:rPr>
          <w:rFonts w:ascii="Garamond" w:hAnsi="Garamond"/>
        </w:rPr>
        <w:t xml:space="preserve">, </w:t>
      </w:r>
      <w:r w:rsidRPr="003B1071">
        <w:rPr>
          <w:rFonts w:ascii="Garamond" w:hAnsi="Garamond"/>
          <w:i/>
        </w:rPr>
        <w:t xml:space="preserve">Framing Authority: Sayings, Self, and Society in Sixteenth-Century England </w:t>
      </w:r>
      <w:r w:rsidRPr="003B1071">
        <w:rPr>
          <w:rFonts w:ascii="Garamond" w:hAnsi="Garamond"/>
        </w:rPr>
        <w:t>(Princeton: Princeton University Press, 1993)</w:t>
      </w:r>
      <w:r>
        <w:rPr>
          <w:rFonts w:ascii="Garamond" w:hAnsi="Garamond"/>
        </w:rPr>
        <w:t>,</w:t>
      </w:r>
      <w:r w:rsidRPr="003B1071">
        <w:rPr>
          <w:rFonts w:ascii="Garamond" w:hAnsi="Garamond"/>
        </w:rPr>
        <w:t xml:space="preserve"> p. 4. Peter Beal makes a similar argument in ‘Notions in Garrison: The Seventeenth-Century Commonplace Book’ in </w:t>
      </w:r>
      <w:r w:rsidRPr="003B1071">
        <w:rPr>
          <w:rFonts w:ascii="Garamond" w:hAnsi="Garamond"/>
          <w:i/>
        </w:rPr>
        <w:t>New Ways of Looking at Old Texts</w:t>
      </w:r>
      <w:r w:rsidRPr="003B1071">
        <w:rPr>
          <w:rFonts w:ascii="Garamond" w:hAnsi="Garamond"/>
        </w:rPr>
        <w:t xml:space="preserve"> (Binghamton, NY: Renaissance English Text Society, 1993), pp. 131-47. For a complete survey of recent studies relating to commonplace books in English Renaissance culture, see Victoria E. Burke, ‘Recent Studies in Commonplace Books’ in </w:t>
      </w:r>
      <w:r w:rsidRPr="003B1071">
        <w:rPr>
          <w:rFonts w:ascii="Garamond" w:hAnsi="Garamond"/>
          <w:i/>
        </w:rPr>
        <w:t xml:space="preserve">English Literary Renaissance, </w:t>
      </w:r>
      <w:r w:rsidRPr="003B1071">
        <w:rPr>
          <w:rFonts w:ascii="Garamond" w:hAnsi="Garamond"/>
          <w:iCs/>
        </w:rPr>
        <w:t>43</w:t>
      </w:r>
      <w:r w:rsidRPr="003B1071">
        <w:rPr>
          <w:rFonts w:ascii="Garamond" w:hAnsi="Garamond"/>
          <w:i/>
        </w:rPr>
        <w:t xml:space="preserve"> </w:t>
      </w:r>
      <w:r w:rsidRPr="003B1071">
        <w:rPr>
          <w:rFonts w:ascii="Garamond" w:hAnsi="Garamond"/>
        </w:rPr>
        <w:t xml:space="preserve">(2013), 153-77. </w:t>
      </w:r>
    </w:p>
  </w:footnote>
  <w:footnote w:id="478">
    <w:p w14:paraId="1557422D" w14:textId="1B338930"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Schurink</w:t>
      </w:r>
      <w:r>
        <w:rPr>
          <w:rFonts w:ascii="Garamond" w:hAnsi="Garamond"/>
        </w:rPr>
        <w:t>,</w:t>
      </w:r>
      <w:r w:rsidRPr="003B1071">
        <w:rPr>
          <w:rFonts w:ascii="Garamond" w:hAnsi="Garamond"/>
        </w:rPr>
        <w:t xml:space="preserve"> and Heidi Brayman Hackel ‘Noting Readers of the </w:t>
      </w:r>
      <w:r w:rsidRPr="003B1071">
        <w:rPr>
          <w:rFonts w:ascii="Garamond" w:hAnsi="Garamond"/>
          <w:i/>
        </w:rPr>
        <w:t xml:space="preserve">Arcadia </w:t>
      </w:r>
      <w:r w:rsidRPr="003B1071">
        <w:rPr>
          <w:rFonts w:ascii="Garamond" w:hAnsi="Garamond"/>
        </w:rPr>
        <w:t>in Margina</w:t>
      </w:r>
      <w:r>
        <w:rPr>
          <w:rFonts w:ascii="Garamond" w:hAnsi="Garamond"/>
        </w:rPr>
        <w:t>l</w:t>
      </w:r>
      <w:r w:rsidRPr="003B1071">
        <w:rPr>
          <w:rFonts w:ascii="Garamond" w:hAnsi="Garamond"/>
        </w:rPr>
        <w:t xml:space="preserve">ia and Commonplace Books’ in </w:t>
      </w:r>
      <w:r w:rsidRPr="003B1071">
        <w:rPr>
          <w:rFonts w:ascii="Garamond" w:hAnsi="Garamond"/>
          <w:i/>
        </w:rPr>
        <w:t xml:space="preserve">Reading Material in Early Modern England </w:t>
      </w:r>
      <w:r w:rsidRPr="003B1071">
        <w:rPr>
          <w:rFonts w:ascii="Garamond" w:hAnsi="Garamond"/>
        </w:rPr>
        <w:t xml:space="preserve">(Cambridge: Cambridge University Press, 2005), pp. 137-95. Brayman Hackel’s study focuses specifically on a range of Sidney’s readers in order to assemble this evidence. </w:t>
      </w:r>
    </w:p>
  </w:footnote>
  <w:footnote w:id="479">
    <w:p w14:paraId="4F9275B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Ferry, p. 330. </w:t>
      </w:r>
    </w:p>
  </w:footnote>
  <w:footnote w:id="480">
    <w:p w14:paraId="40BABE4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Ferry, p. 314. </w:t>
      </w:r>
    </w:p>
  </w:footnote>
  <w:footnote w:id="481">
    <w:p w14:paraId="5721961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iCs/>
        </w:rPr>
        <w:t xml:space="preserve">Poems, </w:t>
      </w:r>
      <w:r w:rsidRPr="003B1071">
        <w:rPr>
          <w:rFonts w:ascii="Garamond" w:hAnsi="Garamond"/>
        </w:rPr>
        <w:t xml:space="preserve">p. xxxvii. </w:t>
      </w:r>
    </w:p>
  </w:footnote>
  <w:footnote w:id="482">
    <w:p w14:paraId="3E88897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Charles, pp. 210-16. </w:t>
      </w:r>
    </w:p>
  </w:footnote>
  <w:footnote w:id="483">
    <w:p w14:paraId="170F47A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Greg Miller, ‘Scribal and Print Publication: The Case of George Herbert’s English Poems’, </w:t>
      </w:r>
      <w:r w:rsidRPr="003B1071">
        <w:rPr>
          <w:rFonts w:ascii="Garamond" w:hAnsi="Garamond"/>
          <w:i/>
          <w:iCs/>
        </w:rPr>
        <w:t xml:space="preserve">GHJ </w:t>
      </w:r>
      <w:r w:rsidRPr="003B1071">
        <w:rPr>
          <w:rFonts w:ascii="Garamond" w:hAnsi="Garamond"/>
        </w:rPr>
        <w:t xml:space="preserve">23 (2000), 14-34. </w:t>
      </w:r>
    </w:p>
  </w:footnote>
  <w:footnote w:id="484">
    <w:p w14:paraId="403D3AF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Ferry, p. 322. </w:t>
      </w:r>
    </w:p>
  </w:footnote>
  <w:footnote w:id="485">
    <w:p w14:paraId="080D143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Walton, </w:t>
      </w:r>
      <w:r w:rsidRPr="003B1071">
        <w:rPr>
          <w:rFonts w:ascii="Garamond" w:hAnsi="Garamond"/>
          <w:i/>
          <w:iCs/>
        </w:rPr>
        <w:t xml:space="preserve">Life, </w:t>
      </w:r>
      <w:r w:rsidRPr="003B1071">
        <w:rPr>
          <w:rFonts w:ascii="Garamond" w:hAnsi="Garamond"/>
        </w:rPr>
        <w:t xml:space="preserve">p. 311.  </w:t>
      </w:r>
    </w:p>
  </w:footnote>
  <w:footnote w:id="486">
    <w:p w14:paraId="78CE4C9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The relationship between MS Tanner 307 and the 1633 edition of </w:t>
      </w:r>
      <w:r w:rsidRPr="003B1071">
        <w:rPr>
          <w:rFonts w:ascii="Garamond" w:hAnsi="Garamond"/>
          <w:i/>
          <w:iCs/>
        </w:rPr>
        <w:t xml:space="preserve">The Temple </w:t>
      </w:r>
      <w:r w:rsidRPr="003B1071">
        <w:rPr>
          <w:rFonts w:ascii="Garamond" w:hAnsi="Garamond"/>
        </w:rPr>
        <w:t xml:space="preserve">has been a subject of discussion. Mario di Cesare argued that the Bodelian MS was the copy text for the printed edition, ‘The Bodleian Manuscript and the Text of Herbert’s Poems’, </w:t>
      </w:r>
      <w:r w:rsidRPr="003B1071">
        <w:rPr>
          <w:rFonts w:ascii="Garamond" w:hAnsi="Garamond"/>
          <w:i/>
          <w:iCs/>
        </w:rPr>
        <w:t xml:space="preserve">GHJ </w:t>
      </w:r>
      <w:r w:rsidRPr="003B1071">
        <w:rPr>
          <w:rFonts w:ascii="Garamond" w:hAnsi="Garamond"/>
        </w:rPr>
        <w:t xml:space="preserve">6.2 (1983), 15-35. However, this has been widely discredited. Greg Miller has argued that 1633 printed edition is more authoritative, see ‘Scribal and Print Publication: The Case of George Herbert’s English Poems’ in </w:t>
      </w:r>
      <w:r w:rsidRPr="003B1071">
        <w:rPr>
          <w:rFonts w:ascii="Garamond" w:hAnsi="Garamond"/>
          <w:i/>
          <w:iCs/>
        </w:rPr>
        <w:t xml:space="preserve">GHJ, </w:t>
      </w:r>
      <w:r w:rsidRPr="003B1071">
        <w:rPr>
          <w:rFonts w:ascii="Garamond" w:hAnsi="Garamond"/>
        </w:rPr>
        <w:t>23</w:t>
      </w:r>
      <w:r w:rsidRPr="003B1071">
        <w:rPr>
          <w:rFonts w:ascii="Garamond" w:hAnsi="Garamond"/>
          <w:i/>
          <w:iCs/>
        </w:rPr>
        <w:t xml:space="preserve"> </w:t>
      </w:r>
      <w:r w:rsidRPr="003B1071">
        <w:rPr>
          <w:rFonts w:ascii="Garamond" w:hAnsi="Garamond"/>
        </w:rPr>
        <w:t xml:space="preserve">(2000), 14-34. </w:t>
      </w:r>
    </w:p>
  </w:footnote>
  <w:footnote w:id="487">
    <w:p w14:paraId="1D5C1970" w14:textId="5202C2A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Ramie Targoff, ‘Poets in Print: The Case of Herbert’s </w:t>
      </w:r>
      <w:r w:rsidRPr="003B1071">
        <w:rPr>
          <w:rFonts w:ascii="Garamond" w:hAnsi="Garamond"/>
          <w:i/>
        </w:rPr>
        <w:t xml:space="preserve">Temple’ </w:t>
      </w:r>
      <w:r w:rsidRPr="003B1071">
        <w:rPr>
          <w:rFonts w:ascii="Garamond" w:hAnsi="Garamond"/>
        </w:rPr>
        <w:t xml:space="preserve">in </w:t>
      </w:r>
      <w:r w:rsidRPr="003B1071">
        <w:rPr>
          <w:rFonts w:ascii="Garamond" w:hAnsi="Garamond"/>
          <w:i/>
          <w:iCs/>
        </w:rPr>
        <w:t>Word &amp; Image</w:t>
      </w:r>
      <w:r w:rsidRPr="003B1071">
        <w:rPr>
          <w:rFonts w:ascii="Garamond" w:hAnsi="Garamond"/>
        </w:rPr>
        <w:t xml:space="preserve">, 17.1-2 (2001), 140-52 (p. 145). </w:t>
      </w:r>
    </w:p>
  </w:footnote>
  <w:footnote w:id="488">
    <w:p w14:paraId="7148B188" w14:textId="4EF27076"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proofErr w:type="spellStart"/>
      <w:r w:rsidRPr="003B1071">
        <w:rPr>
          <w:rFonts w:ascii="Garamond" w:hAnsi="Garamond"/>
        </w:rPr>
        <w:t>Targoff</w:t>
      </w:r>
      <w:proofErr w:type="spellEnd"/>
      <w:r w:rsidRPr="003B1071">
        <w:rPr>
          <w:rFonts w:ascii="Garamond" w:hAnsi="Garamond"/>
        </w:rPr>
        <w:t xml:space="preserve"> (2001), p. 145. </w:t>
      </w:r>
    </w:p>
  </w:footnote>
  <w:footnote w:id="489">
    <w:p w14:paraId="0CCF9210" w14:textId="2F1C5B8D"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proofErr w:type="spellStart"/>
      <w:r w:rsidRPr="003B1071">
        <w:rPr>
          <w:rFonts w:ascii="Garamond" w:hAnsi="Garamond"/>
        </w:rPr>
        <w:t>Targoff</w:t>
      </w:r>
      <w:proofErr w:type="spellEnd"/>
      <w:r w:rsidRPr="003B1071">
        <w:rPr>
          <w:rFonts w:ascii="Garamond" w:hAnsi="Garamond"/>
        </w:rPr>
        <w:t xml:space="preserve"> (</w:t>
      </w:r>
      <w:r w:rsidR="00475FC6">
        <w:rPr>
          <w:rFonts w:ascii="Garamond" w:hAnsi="Garamond"/>
        </w:rPr>
        <w:t>2</w:t>
      </w:r>
      <w:r w:rsidRPr="003B1071">
        <w:rPr>
          <w:rFonts w:ascii="Garamond" w:hAnsi="Garamond"/>
        </w:rPr>
        <w:t xml:space="preserve">001), pp. 146-7. </w:t>
      </w:r>
    </w:p>
  </w:footnote>
  <w:footnote w:id="490">
    <w:p w14:paraId="122339C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Mattew Brown, </w:t>
      </w:r>
      <w:r w:rsidRPr="003B1071">
        <w:rPr>
          <w:rFonts w:ascii="Garamond" w:hAnsi="Garamond"/>
          <w:i/>
        </w:rPr>
        <w:t xml:space="preserve">The Pilgrim and the Bee: Reading Rituals and Book Culture in Early New England </w:t>
      </w:r>
      <w:r w:rsidRPr="003B1071">
        <w:rPr>
          <w:rFonts w:ascii="Garamond" w:hAnsi="Garamond"/>
        </w:rPr>
        <w:t xml:space="preserve">(Philadelphia: University of Pennsylvania Press, 2007) see pp. 21ff.  </w:t>
      </w:r>
    </w:p>
  </w:footnote>
  <w:footnote w:id="491">
    <w:p w14:paraId="6C6BF8C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Lynch, pp. 177-97.</w:t>
      </w:r>
    </w:p>
  </w:footnote>
  <w:footnote w:id="492">
    <w:p w14:paraId="0532FB2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rPr>
        <w:t xml:space="preserve">Country Parson, </w:t>
      </w:r>
      <w:r w:rsidRPr="003B1071">
        <w:rPr>
          <w:rFonts w:ascii="Garamond" w:hAnsi="Garamond"/>
        </w:rPr>
        <w:t xml:space="preserve">p. 205. </w:t>
      </w:r>
    </w:p>
  </w:footnote>
  <w:footnote w:id="493">
    <w:p w14:paraId="0FDAB8F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rPr>
        <w:t>Country Parson,</w:t>
      </w:r>
      <w:r w:rsidRPr="003B1071">
        <w:rPr>
          <w:rFonts w:ascii="Garamond" w:hAnsi="Garamond"/>
        </w:rPr>
        <w:t xml:space="preserve"> p. 52.</w:t>
      </w:r>
    </w:p>
  </w:footnote>
  <w:footnote w:id="494">
    <w:p w14:paraId="54F626A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rPr>
        <w:t>Country Parson,</w:t>
      </w:r>
      <w:r w:rsidRPr="003B1071">
        <w:rPr>
          <w:rFonts w:ascii="Garamond" w:hAnsi="Garamond"/>
        </w:rPr>
        <w:t xml:space="preserve"> p. 52.</w:t>
      </w:r>
    </w:p>
  </w:footnote>
  <w:footnote w:id="495">
    <w:p w14:paraId="0236CA5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Ferry, p. 331. </w:t>
      </w:r>
    </w:p>
  </w:footnote>
  <w:footnote w:id="496">
    <w:p w14:paraId="0AFD190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Chapman, ‘Now and Then’, p. 101. </w:t>
      </w:r>
    </w:p>
  </w:footnote>
  <w:footnote w:id="497">
    <w:p w14:paraId="2AB564C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Chapman, ‘Now and Then’, p. 111. </w:t>
      </w:r>
    </w:p>
  </w:footnote>
  <w:footnote w:id="498">
    <w:p w14:paraId="0BE80B37" w14:textId="2A793DCF" w:rsidR="00814479" w:rsidRPr="003B1071" w:rsidRDefault="00814479" w:rsidP="002F1250">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For a further discussion of how Herbert draws upon </w:t>
      </w:r>
      <w:r>
        <w:rPr>
          <w:rFonts w:ascii="Garamond" w:hAnsi="Garamond"/>
          <w:i/>
          <w:iCs/>
        </w:rPr>
        <w:t xml:space="preserve">The </w:t>
      </w:r>
      <w:r w:rsidRPr="002F1250">
        <w:rPr>
          <w:rFonts w:ascii="Garamond" w:hAnsi="Garamond"/>
          <w:i/>
          <w:iCs/>
        </w:rPr>
        <w:t>Book</w:t>
      </w:r>
      <w:r w:rsidRPr="003B1071">
        <w:rPr>
          <w:rFonts w:ascii="Garamond" w:hAnsi="Garamond"/>
          <w:i/>
        </w:rPr>
        <w:t xml:space="preserve"> of Common Prayer </w:t>
      </w:r>
      <w:r w:rsidRPr="003B1071">
        <w:rPr>
          <w:rFonts w:ascii="Garamond" w:hAnsi="Garamond"/>
        </w:rPr>
        <w:t xml:space="preserve">see Whitaker. </w:t>
      </w:r>
    </w:p>
  </w:footnote>
  <w:footnote w:id="499">
    <w:p w14:paraId="6002FAE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Lynch, p. 193. </w:t>
      </w:r>
    </w:p>
  </w:footnote>
  <w:footnote w:id="500">
    <w:p w14:paraId="6D60882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Ferry, p. 315, see pp. 316-8. </w:t>
      </w:r>
    </w:p>
  </w:footnote>
  <w:footnote w:id="501">
    <w:p w14:paraId="2B536D7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Ferry, pp. 323-5. </w:t>
      </w:r>
    </w:p>
  </w:footnote>
  <w:footnote w:id="502">
    <w:p w14:paraId="3A9A9A3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Ferry, p. 325. Ferry notes that so unusual was this style of titling that Herbert’s transcribers and printers often changed them to more familiar models. For example, Walton changes Herbert’s simple ‘Providence’ to the more wordy ‘Divine Contemplation on God’s Providence’, and ‘Constancie’ to ‘The description of a Constant Man’, p. 326. </w:t>
      </w:r>
    </w:p>
  </w:footnote>
  <w:footnote w:id="503">
    <w:p w14:paraId="581BD83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Ferry, pp. 327-8. </w:t>
      </w:r>
    </w:p>
  </w:footnote>
  <w:footnote w:id="504">
    <w:p w14:paraId="3F43CAA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Ferry, p. 329. </w:t>
      </w:r>
    </w:p>
  </w:footnote>
  <w:footnote w:id="505">
    <w:p w14:paraId="26C2DD8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Ferry, p. 331-2. </w:t>
      </w:r>
    </w:p>
  </w:footnote>
  <w:footnote w:id="506">
    <w:p w14:paraId="1CB99B5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bookmarkStart w:id="52" w:name="_Hlk532767516"/>
      <w:r w:rsidRPr="003B1071">
        <w:rPr>
          <w:rFonts w:ascii="Garamond" w:hAnsi="Garamond"/>
        </w:rPr>
        <w:t xml:space="preserve">Arnold </w:t>
      </w:r>
      <w:bookmarkStart w:id="53" w:name="_Hlk532767120"/>
      <w:r w:rsidRPr="003B1071">
        <w:rPr>
          <w:rFonts w:ascii="Garamond" w:hAnsi="Garamond"/>
        </w:rPr>
        <w:t xml:space="preserve">Stein, </w:t>
      </w:r>
      <w:r w:rsidRPr="003B1071">
        <w:rPr>
          <w:rFonts w:ascii="Garamond" w:hAnsi="Garamond"/>
          <w:i/>
          <w:iCs/>
        </w:rPr>
        <w:t xml:space="preserve">George Herbert’s Lyrics </w:t>
      </w:r>
      <w:r w:rsidRPr="003B1071">
        <w:rPr>
          <w:rFonts w:ascii="Garamond" w:hAnsi="Garamond"/>
        </w:rPr>
        <w:t>(Baltimore: John Hopkins University Press, 1968)</w:t>
      </w:r>
      <w:bookmarkEnd w:id="53"/>
      <w:r w:rsidRPr="003B1071">
        <w:rPr>
          <w:rFonts w:ascii="Garamond" w:hAnsi="Garamond"/>
        </w:rPr>
        <w:t xml:space="preserve">, </w:t>
      </w:r>
      <w:bookmarkEnd w:id="52"/>
      <w:r w:rsidRPr="003B1071">
        <w:rPr>
          <w:rFonts w:ascii="Garamond" w:hAnsi="Garamond"/>
        </w:rPr>
        <w:t xml:space="preserve">p. 14. </w:t>
      </w:r>
    </w:p>
  </w:footnote>
  <w:footnote w:id="507">
    <w:p w14:paraId="17888EBB" w14:textId="4A32A030"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Diana Benet, </w:t>
      </w:r>
      <w:r w:rsidRPr="003B1071">
        <w:rPr>
          <w:rFonts w:ascii="Garamond" w:hAnsi="Garamond"/>
          <w:i/>
          <w:iCs/>
        </w:rPr>
        <w:t>Secretary of Praise: The Poetic Vocation of George He</w:t>
      </w:r>
      <w:r>
        <w:rPr>
          <w:rFonts w:ascii="Garamond" w:hAnsi="Garamond"/>
          <w:i/>
          <w:iCs/>
        </w:rPr>
        <w:t>r</w:t>
      </w:r>
      <w:r w:rsidRPr="003B1071">
        <w:rPr>
          <w:rFonts w:ascii="Garamond" w:hAnsi="Garamond"/>
          <w:i/>
          <w:iCs/>
        </w:rPr>
        <w:t xml:space="preserve">bert </w:t>
      </w:r>
      <w:r w:rsidRPr="003B1071">
        <w:rPr>
          <w:rFonts w:ascii="Garamond" w:hAnsi="Garamond"/>
        </w:rPr>
        <w:t xml:space="preserve">(Columbia: University of Missouri Press, 1984), p. 35.  </w:t>
      </w:r>
    </w:p>
  </w:footnote>
  <w:footnote w:id="508">
    <w:p w14:paraId="6CD84BA9" w14:textId="7239AE88"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Adam Fox, ‘Proverbial Wisdom’ in </w:t>
      </w:r>
      <w:r w:rsidRPr="003B1071">
        <w:rPr>
          <w:rFonts w:ascii="Garamond" w:hAnsi="Garamond"/>
          <w:i/>
        </w:rPr>
        <w:t xml:space="preserve">Oral and Literate Culture in England: 1500-1700 </w:t>
      </w:r>
      <w:r w:rsidRPr="003B1071">
        <w:rPr>
          <w:rFonts w:ascii="Garamond" w:hAnsi="Garamond"/>
        </w:rPr>
        <w:t>(Oxford: Oxford University Press, 2002),</w:t>
      </w:r>
      <w:r w:rsidRPr="003B1071">
        <w:rPr>
          <w:rFonts w:ascii="Garamond" w:hAnsi="Garamond"/>
          <w:i/>
        </w:rPr>
        <w:t xml:space="preserve"> </w:t>
      </w:r>
      <w:r w:rsidRPr="003B1071">
        <w:rPr>
          <w:rFonts w:ascii="Garamond" w:hAnsi="Garamond"/>
        </w:rPr>
        <w:t xml:space="preserve">pp. 112-170. </w:t>
      </w:r>
    </w:p>
  </w:footnote>
  <w:footnote w:id="509">
    <w:p w14:paraId="40DB874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George Herbert, </w:t>
      </w:r>
      <w:r w:rsidRPr="003B1071">
        <w:rPr>
          <w:rFonts w:ascii="Garamond" w:hAnsi="Garamond"/>
          <w:i/>
        </w:rPr>
        <w:t xml:space="preserve">Outlandish Proverbs, selected by Mr. G.H. </w:t>
      </w:r>
      <w:r w:rsidRPr="003B1071">
        <w:rPr>
          <w:rFonts w:ascii="Garamond" w:hAnsi="Garamond"/>
        </w:rPr>
        <w:t xml:space="preserve">(London: 1640), p. 74, p. 67. </w:t>
      </w:r>
    </w:p>
  </w:footnote>
  <w:footnote w:id="510">
    <w:p w14:paraId="40E1BCC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rPr>
        <w:t xml:space="preserve">Outlandish Proverbs, </w:t>
      </w:r>
      <w:r w:rsidRPr="003B1071">
        <w:rPr>
          <w:rFonts w:ascii="Garamond" w:hAnsi="Garamond"/>
        </w:rPr>
        <w:t xml:space="preserve">p. 28, p. 68. </w:t>
      </w:r>
    </w:p>
  </w:footnote>
  <w:footnote w:id="511">
    <w:p w14:paraId="2F14268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the annotated version of </w:t>
      </w:r>
      <w:r w:rsidRPr="003B1071">
        <w:rPr>
          <w:rFonts w:ascii="Garamond" w:hAnsi="Garamond"/>
          <w:i/>
        </w:rPr>
        <w:t xml:space="preserve">Netherlandish Proverbs, </w:t>
      </w:r>
      <w:r w:rsidRPr="003B1071">
        <w:rPr>
          <w:rFonts w:ascii="Garamond" w:hAnsi="Garamond"/>
        </w:rPr>
        <w:t xml:space="preserve">accessible and searchable at </w:t>
      </w:r>
      <w:hyperlink r:id="rId2" w:history="1">
        <w:r w:rsidRPr="003B1071">
          <w:rPr>
            <w:rStyle w:val="Hyperlink"/>
            <w:rFonts w:ascii="Garamond" w:hAnsi="Garamond"/>
          </w:rPr>
          <w:t>http://s3.imagediver.org/topic/album/4294b0e/the_dutch_proverbs/1/index.html</w:t>
        </w:r>
      </w:hyperlink>
      <w:r w:rsidRPr="003B1071">
        <w:rPr>
          <w:rFonts w:ascii="Garamond" w:hAnsi="Garamond"/>
        </w:rPr>
        <w:t xml:space="preserve"> [accessed 16/02/2018] </w:t>
      </w:r>
    </w:p>
  </w:footnote>
  <w:footnote w:id="512">
    <w:p w14:paraId="331651F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rPr>
        <w:t xml:space="preserve">Outlandish Proverbs, </w:t>
      </w:r>
      <w:r w:rsidRPr="003B1071">
        <w:rPr>
          <w:rFonts w:ascii="Garamond" w:hAnsi="Garamond"/>
        </w:rPr>
        <w:t xml:space="preserve">p. 6. </w:t>
      </w:r>
    </w:p>
  </w:footnote>
  <w:footnote w:id="513">
    <w:p w14:paraId="7A5383E3" w14:textId="5A3DD745"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w:t>
      </w:r>
      <w:r w:rsidRPr="003B1071">
        <w:rPr>
          <w:rFonts w:ascii="Garamond" w:hAnsi="Garamond"/>
          <w:i/>
        </w:rPr>
        <w:t>Cultural Memory and the Construction of Identity</w:t>
      </w:r>
      <w:r w:rsidR="008F16FC">
        <w:rPr>
          <w:rFonts w:ascii="Garamond" w:hAnsi="Garamond"/>
          <w:i/>
        </w:rPr>
        <w:t>,</w:t>
      </w:r>
      <w:r w:rsidRPr="003B1071">
        <w:rPr>
          <w:rFonts w:ascii="Garamond" w:hAnsi="Garamond"/>
        </w:rPr>
        <w:t xml:space="preserve"> ed. </w:t>
      </w:r>
      <w:r>
        <w:rPr>
          <w:rFonts w:ascii="Garamond" w:hAnsi="Garamond"/>
        </w:rPr>
        <w:t>b</w:t>
      </w:r>
      <w:r w:rsidRPr="003B1071">
        <w:rPr>
          <w:rFonts w:ascii="Garamond" w:hAnsi="Garamond"/>
        </w:rPr>
        <w:t>y Dan Ben-Amos and Liliane Weisberg (</w:t>
      </w:r>
      <w:r>
        <w:rPr>
          <w:rFonts w:ascii="Garamond" w:hAnsi="Garamond"/>
        </w:rPr>
        <w:t xml:space="preserve">Detroit: </w:t>
      </w:r>
      <w:r w:rsidRPr="003B1071">
        <w:rPr>
          <w:rFonts w:ascii="Garamond" w:hAnsi="Garamond"/>
        </w:rPr>
        <w:t xml:space="preserve">Wayne State University Press, 1999) pp. 10-15. </w:t>
      </w:r>
    </w:p>
  </w:footnote>
  <w:footnote w:id="514">
    <w:p w14:paraId="70F791C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John Idol, ‘George Herbert and John Ruskin’ in </w:t>
      </w:r>
      <w:r w:rsidRPr="003B1071">
        <w:rPr>
          <w:rFonts w:ascii="Garamond" w:hAnsi="Garamond"/>
          <w:i/>
        </w:rPr>
        <w:t xml:space="preserve">GHJ, </w:t>
      </w:r>
      <w:r w:rsidRPr="003B1071">
        <w:rPr>
          <w:rFonts w:ascii="Garamond" w:hAnsi="Garamond"/>
        </w:rPr>
        <w:t>4/1 (1980), 11-28.</w:t>
      </w:r>
    </w:p>
  </w:footnote>
  <w:footnote w:id="515">
    <w:p w14:paraId="64A051F0" w14:textId="6DF0FFF2"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Helen Wilcox, ‘In the </w:t>
      </w:r>
      <w:r w:rsidRPr="003B1071">
        <w:rPr>
          <w:rFonts w:ascii="Garamond" w:hAnsi="Garamond"/>
          <w:i/>
        </w:rPr>
        <w:t>Temple</w:t>
      </w:r>
      <w:r w:rsidRPr="003B1071">
        <w:rPr>
          <w:rFonts w:ascii="Garamond" w:hAnsi="Garamond"/>
        </w:rPr>
        <w:t xml:space="preserve"> Precincts: George Herbert and Seventeenth-Century Community-Making’ in </w:t>
      </w:r>
      <w:r w:rsidRPr="003B1071">
        <w:rPr>
          <w:rFonts w:ascii="Garamond" w:hAnsi="Garamond"/>
          <w:i/>
        </w:rPr>
        <w:t>Writing and Religion in England, 1558-1689,</w:t>
      </w:r>
      <w:r w:rsidRPr="003B1071">
        <w:rPr>
          <w:rFonts w:ascii="Garamond" w:hAnsi="Garamond"/>
        </w:rPr>
        <w:t xml:space="preserve"> pp. 253-272 (p. 259). </w:t>
      </w:r>
    </w:p>
  </w:footnote>
  <w:footnote w:id="516">
    <w:p w14:paraId="75744B8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BL Add MS 45965, ff. 71-77. The other Herbert poems included are ‘Anagram’, ‘Redemption’, ‘Easter’, ‘Prayer’, ‘The H. Communion’, ‘Antiphon’, ‘The Temper’, ‘Grace’, ‘The Church-Floore’, ‘The Quiddity’, ‘Humility’, ‘The World’, ‘Justice’, ‘Charmes and Knotts’, ‘Home’, ‘Jesu’, ‘Love-Joy’, ‘Providence’. </w:t>
      </w:r>
    </w:p>
  </w:footnote>
  <w:footnote w:id="517">
    <w:p w14:paraId="0981CCF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bookmarkStart w:id="54" w:name="_Hlk532768129"/>
      <w:r w:rsidRPr="003B1071">
        <w:rPr>
          <w:rFonts w:ascii="Garamond" w:hAnsi="Garamond"/>
        </w:rPr>
        <w:t>BL Add MS 45964</w:t>
      </w:r>
      <w:bookmarkEnd w:id="54"/>
      <w:r w:rsidRPr="003B1071">
        <w:rPr>
          <w:rFonts w:ascii="Garamond" w:hAnsi="Garamond"/>
        </w:rPr>
        <w:t xml:space="preserve">, f. 78. </w:t>
      </w:r>
    </w:p>
  </w:footnote>
  <w:footnote w:id="518">
    <w:p w14:paraId="539FDFD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iCs/>
        </w:rPr>
        <w:t xml:space="preserve">Poems, </w:t>
      </w:r>
      <w:r w:rsidRPr="003B1071">
        <w:rPr>
          <w:rFonts w:ascii="Garamond" w:hAnsi="Garamond"/>
        </w:rPr>
        <w:t xml:space="preserve">p. 207. </w:t>
      </w:r>
    </w:p>
  </w:footnote>
  <w:footnote w:id="519">
    <w:p w14:paraId="375B0DF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iCs/>
        </w:rPr>
        <w:t xml:space="preserve">Poems, </w:t>
      </w:r>
      <w:r w:rsidRPr="003B1071">
        <w:rPr>
          <w:rFonts w:ascii="Garamond" w:hAnsi="Garamond"/>
        </w:rPr>
        <w:t xml:space="preserve">p. 277. </w:t>
      </w:r>
    </w:p>
  </w:footnote>
  <w:footnote w:id="520">
    <w:p w14:paraId="3B34059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 notable exception to this is Adam Smyth’s discussion of cutting as creation in ‘Paradise’, see Smyth ‘Shreds’. </w:t>
      </w:r>
    </w:p>
  </w:footnote>
  <w:footnote w:id="521">
    <w:p w14:paraId="55C8310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Heather Asals</w:t>
      </w:r>
      <w:r w:rsidRPr="003B1071">
        <w:rPr>
          <w:rFonts w:ascii="Garamond" w:hAnsi="Garamond"/>
          <w:i/>
          <w:iCs/>
        </w:rPr>
        <w:t>, Equivocal Predication: George Herbert’s Way to God</w:t>
      </w:r>
      <w:r w:rsidRPr="003B1071">
        <w:rPr>
          <w:rFonts w:ascii="Garamond" w:hAnsi="Garamond"/>
        </w:rPr>
        <w:t xml:space="preserve"> (Toronto: University of Toronto Press, 1981), p. 29. </w:t>
      </w:r>
    </w:p>
  </w:footnote>
  <w:footnote w:id="522">
    <w:p w14:paraId="7C0E917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Wilcox ed., </w:t>
      </w:r>
      <w:r w:rsidRPr="003B1071">
        <w:rPr>
          <w:rFonts w:ascii="Garamond" w:hAnsi="Garamond"/>
          <w:i/>
        </w:rPr>
        <w:t>Poems</w:t>
      </w:r>
      <w:r w:rsidRPr="003B1071">
        <w:rPr>
          <w:rFonts w:ascii="Garamond" w:hAnsi="Garamond"/>
        </w:rPr>
        <w:t xml:space="preserve">, p. xliv. </w:t>
      </w:r>
    </w:p>
  </w:footnote>
  <w:footnote w:id="523">
    <w:p w14:paraId="55EF88F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Wilcox ed., </w:t>
      </w:r>
      <w:r w:rsidRPr="003B1071">
        <w:rPr>
          <w:rFonts w:ascii="Garamond" w:hAnsi="Garamond"/>
          <w:i/>
        </w:rPr>
        <w:t xml:space="preserve">Poems, </w:t>
      </w:r>
      <w:r w:rsidRPr="003B1071">
        <w:rPr>
          <w:rFonts w:ascii="Garamond" w:hAnsi="Garamond"/>
        </w:rPr>
        <w:t xml:space="preserve">p. xliv. </w:t>
      </w:r>
    </w:p>
  </w:footnote>
  <w:footnote w:id="524">
    <w:p w14:paraId="6165C2E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Herebert, </w:t>
      </w:r>
      <w:r w:rsidRPr="003B1071">
        <w:rPr>
          <w:rFonts w:ascii="Garamond" w:hAnsi="Garamond"/>
          <w:i/>
        </w:rPr>
        <w:t>Country Parson,</w:t>
      </w:r>
      <w:r w:rsidRPr="003B1071">
        <w:rPr>
          <w:rFonts w:ascii="Garamond" w:hAnsi="Garamond"/>
        </w:rPr>
        <w:t xml:space="preserve"> pp. 204-5. </w:t>
      </w:r>
    </w:p>
  </w:footnote>
  <w:footnote w:id="525">
    <w:p w14:paraId="17F2A54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Elsky, p. 245. </w:t>
      </w:r>
    </w:p>
  </w:footnote>
  <w:footnote w:id="526">
    <w:p w14:paraId="52BA9530" w14:textId="76A84968"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Elsky gives the examples of John Hart’s </w:t>
      </w:r>
      <w:proofErr w:type="gramStart"/>
      <w:r w:rsidRPr="003B1071">
        <w:rPr>
          <w:rFonts w:ascii="Garamond" w:hAnsi="Garamond"/>
          <w:i/>
        </w:rPr>
        <w:t>An</w:t>
      </w:r>
      <w:proofErr w:type="gramEnd"/>
      <w:r w:rsidRPr="003B1071">
        <w:rPr>
          <w:rFonts w:ascii="Garamond" w:hAnsi="Garamond"/>
          <w:i/>
        </w:rPr>
        <w:t xml:space="preserve"> Orthographie </w:t>
      </w:r>
      <w:r w:rsidRPr="003B1071">
        <w:rPr>
          <w:rFonts w:ascii="Garamond" w:hAnsi="Garamond"/>
        </w:rPr>
        <w:t xml:space="preserve">(1569), Wiliam Bullokar’s </w:t>
      </w:r>
      <w:r w:rsidRPr="003B1071">
        <w:rPr>
          <w:rFonts w:ascii="Garamond" w:hAnsi="Garamond"/>
          <w:i/>
        </w:rPr>
        <w:t xml:space="preserve">Book at large, for the Amendment of Orthographie for English Speech </w:t>
      </w:r>
      <w:r w:rsidRPr="003B1071">
        <w:rPr>
          <w:rFonts w:ascii="Garamond" w:hAnsi="Garamond"/>
        </w:rPr>
        <w:t xml:space="preserve">(1580) and Richard Mulcaster’s </w:t>
      </w:r>
      <w:r w:rsidRPr="003B1071">
        <w:rPr>
          <w:rFonts w:ascii="Garamond" w:hAnsi="Garamond"/>
          <w:i/>
        </w:rPr>
        <w:t xml:space="preserve">The First Part of the Elementarie </w:t>
      </w:r>
      <w:r w:rsidRPr="003B1071">
        <w:rPr>
          <w:rFonts w:ascii="Garamond" w:hAnsi="Garamond"/>
        </w:rPr>
        <w:t>(15</w:t>
      </w:r>
      <w:r>
        <w:rPr>
          <w:rFonts w:ascii="Garamond" w:hAnsi="Garamond"/>
        </w:rPr>
        <w:t>8</w:t>
      </w:r>
      <w:r w:rsidRPr="003B1071">
        <w:rPr>
          <w:rFonts w:ascii="Garamond" w:hAnsi="Garamond"/>
        </w:rPr>
        <w:t xml:space="preserve">2) amongst others, p. 246. </w:t>
      </w:r>
    </w:p>
  </w:footnote>
  <w:footnote w:id="527">
    <w:p w14:paraId="5AFA45D3" w14:textId="731EC70E" w:rsidR="00814479" w:rsidRPr="00667CD5" w:rsidRDefault="00814479" w:rsidP="00162224">
      <w:pPr>
        <w:pStyle w:val="FootnoteText"/>
        <w:rPr>
          <w:rFonts w:ascii="Garamond" w:hAnsi="Garamond"/>
          <w:lang w:val="fr-FR"/>
        </w:rPr>
      </w:pPr>
      <w:r w:rsidRPr="003B1071">
        <w:rPr>
          <w:rStyle w:val="FootnoteReference"/>
          <w:rFonts w:ascii="Garamond" w:hAnsi="Garamond"/>
        </w:rPr>
        <w:footnoteRef/>
      </w:r>
      <w:r w:rsidRPr="00667CD5">
        <w:rPr>
          <w:rFonts w:ascii="Garamond" w:hAnsi="Garamond"/>
          <w:lang w:val="fr-FR"/>
        </w:rPr>
        <w:t xml:space="preserve"> Thomas Smith, </w:t>
      </w:r>
      <w:r w:rsidRPr="00667CD5">
        <w:rPr>
          <w:rFonts w:ascii="Garamond" w:hAnsi="Garamond"/>
          <w:i/>
          <w:lang w:val="fr-FR"/>
        </w:rPr>
        <w:t xml:space="preserve">De </w:t>
      </w:r>
      <w:r w:rsidR="008F16FC">
        <w:rPr>
          <w:rFonts w:ascii="Garamond" w:hAnsi="Garamond"/>
          <w:i/>
          <w:lang w:val="fr-FR"/>
        </w:rPr>
        <w:t>R</w:t>
      </w:r>
      <w:r w:rsidRPr="00667CD5">
        <w:rPr>
          <w:rFonts w:ascii="Garamond" w:hAnsi="Garamond"/>
          <w:i/>
          <w:lang w:val="fr-FR"/>
        </w:rPr>
        <w:t xml:space="preserve">ecta et </w:t>
      </w:r>
      <w:proofErr w:type="spellStart"/>
      <w:r w:rsidR="008F16FC">
        <w:rPr>
          <w:rFonts w:ascii="Garamond" w:hAnsi="Garamond"/>
          <w:i/>
          <w:lang w:val="fr-FR"/>
        </w:rPr>
        <w:t>E</w:t>
      </w:r>
      <w:r w:rsidRPr="00667CD5">
        <w:rPr>
          <w:rFonts w:ascii="Garamond" w:hAnsi="Garamond"/>
          <w:i/>
          <w:lang w:val="fr-FR"/>
        </w:rPr>
        <w:t>mendat</w:t>
      </w:r>
      <w:r w:rsidR="008F16FC">
        <w:rPr>
          <w:rFonts w:ascii="Garamond" w:hAnsi="Garamond"/>
          <w:i/>
          <w:lang w:val="fr-FR"/>
        </w:rPr>
        <w:t>a</w:t>
      </w:r>
      <w:proofErr w:type="spellEnd"/>
      <w:r w:rsidRPr="00667CD5">
        <w:rPr>
          <w:rFonts w:ascii="Garamond" w:hAnsi="Garamond"/>
          <w:i/>
          <w:lang w:val="fr-FR"/>
        </w:rPr>
        <w:t xml:space="preserve"> </w:t>
      </w:r>
      <w:r w:rsidR="008F16FC">
        <w:rPr>
          <w:rFonts w:ascii="Garamond" w:hAnsi="Garamond"/>
          <w:i/>
          <w:lang w:val="fr-FR"/>
        </w:rPr>
        <w:t>L</w:t>
      </w:r>
      <w:r w:rsidRPr="00667CD5">
        <w:rPr>
          <w:rFonts w:ascii="Garamond" w:hAnsi="Garamond"/>
          <w:i/>
          <w:lang w:val="fr-FR"/>
        </w:rPr>
        <w:t xml:space="preserve">inguae </w:t>
      </w:r>
      <w:proofErr w:type="spellStart"/>
      <w:r w:rsidRPr="00667CD5">
        <w:rPr>
          <w:rFonts w:ascii="Garamond" w:hAnsi="Garamond"/>
          <w:i/>
          <w:lang w:val="fr-FR"/>
        </w:rPr>
        <w:t>Anglicae</w:t>
      </w:r>
      <w:proofErr w:type="spellEnd"/>
      <w:r w:rsidRPr="00667CD5">
        <w:rPr>
          <w:rFonts w:ascii="Garamond" w:hAnsi="Garamond"/>
          <w:i/>
          <w:lang w:val="fr-FR"/>
        </w:rPr>
        <w:t xml:space="preserve"> </w:t>
      </w:r>
      <w:proofErr w:type="spellStart"/>
      <w:r w:rsidRPr="00667CD5">
        <w:rPr>
          <w:rFonts w:ascii="Garamond" w:hAnsi="Garamond"/>
          <w:i/>
          <w:lang w:val="fr-FR"/>
        </w:rPr>
        <w:t>scriptione</w:t>
      </w:r>
      <w:proofErr w:type="spellEnd"/>
      <w:r w:rsidRPr="00667CD5">
        <w:rPr>
          <w:rFonts w:ascii="Garamond" w:hAnsi="Garamond"/>
          <w:lang w:val="fr-FR"/>
        </w:rPr>
        <w:t xml:space="preserve"> (</w:t>
      </w:r>
      <w:proofErr w:type="gramStart"/>
      <w:r w:rsidRPr="00667CD5">
        <w:rPr>
          <w:rFonts w:ascii="Garamond" w:hAnsi="Garamond"/>
          <w:lang w:val="fr-FR"/>
        </w:rPr>
        <w:t>Paris:</w:t>
      </w:r>
      <w:proofErr w:type="gramEnd"/>
      <w:r w:rsidRPr="00667CD5">
        <w:rPr>
          <w:rFonts w:ascii="Garamond" w:hAnsi="Garamond"/>
          <w:lang w:val="fr-FR"/>
        </w:rPr>
        <w:t xml:space="preserve"> 1568) B1v. </w:t>
      </w:r>
    </w:p>
  </w:footnote>
  <w:footnote w:id="528">
    <w:p w14:paraId="4E55A55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Elsky, p. 246. </w:t>
      </w:r>
    </w:p>
  </w:footnote>
  <w:footnote w:id="529">
    <w:p w14:paraId="46B5C85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Smith, C1v.</w:t>
      </w:r>
    </w:p>
  </w:footnote>
  <w:footnote w:id="530">
    <w:p w14:paraId="46D3662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iCs/>
        </w:rPr>
        <w:t xml:space="preserve">Poems, </w:t>
      </w:r>
      <w:r w:rsidRPr="003B1071">
        <w:rPr>
          <w:rFonts w:ascii="Garamond" w:hAnsi="Garamond"/>
        </w:rPr>
        <w:t xml:space="preserve">p. 243. </w:t>
      </w:r>
    </w:p>
  </w:footnote>
  <w:footnote w:id="531">
    <w:p w14:paraId="3701E67E" w14:textId="5197CAF1"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bookmarkStart w:id="56" w:name="_Hlk532769067"/>
      <w:r w:rsidRPr="003B1071">
        <w:rPr>
          <w:rFonts w:ascii="Garamond" w:hAnsi="Garamond"/>
        </w:rPr>
        <w:t xml:space="preserve">Guillaume Salluste, Du Bartas, </w:t>
      </w:r>
      <w:r w:rsidRPr="003B1071">
        <w:rPr>
          <w:rFonts w:ascii="Garamond" w:hAnsi="Garamond"/>
          <w:i/>
        </w:rPr>
        <w:t>Divine Weekes and Works,</w:t>
      </w:r>
      <w:r w:rsidRPr="003B1071">
        <w:rPr>
          <w:rFonts w:ascii="Garamond" w:hAnsi="Garamond"/>
        </w:rPr>
        <w:t xml:space="preserve"> translated by William Lisle (London: 1625)</w:t>
      </w:r>
      <w:bookmarkEnd w:id="56"/>
      <w:r w:rsidRPr="003B1071">
        <w:rPr>
          <w:rFonts w:ascii="Garamond" w:hAnsi="Garamond"/>
        </w:rPr>
        <w:t>, S3.</w:t>
      </w:r>
    </w:p>
  </w:footnote>
  <w:footnote w:id="532">
    <w:p w14:paraId="5EF435D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Elsky, p. 252. </w:t>
      </w:r>
    </w:p>
  </w:footnote>
  <w:footnote w:id="533">
    <w:p w14:paraId="59C1FFD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Herbert,</w:t>
      </w:r>
      <w:r w:rsidRPr="003B1071">
        <w:rPr>
          <w:rFonts w:ascii="Garamond" w:hAnsi="Garamond"/>
          <w:i/>
          <w:iCs/>
        </w:rPr>
        <w:t xml:space="preserve"> </w:t>
      </w:r>
      <w:proofErr w:type="gramStart"/>
      <w:r w:rsidRPr="003B1071">
        <w:rPr>
          <w:rFonts w:ascii="Garamond" w:hAnsi="Garamond"/>
          <w:i/>
          <w:iCs/>
        </w:rPr>
        <w:t xml:space="preserve">Poems, </w:t>
      </w:r>
      <w:r w:rsidRPr="003B1071">
        <w:rPr>
          <w:rFonts w:ascii="Garamond" w:hAnsi="Garamond"/>
        </w:rPr>
        <w:t xml:space="preserve"> p.</w:t>
      </w:r>
      <w:proofErr w:type="gramEnd"/>
      <w:r w:rsidRPr="003B1071">
        <w:rPr>
          <w:rFonts w:ascii="Garamond" w:hAnsi="Garamond"/>
        </w:rPr>
        <w:t xml:space="preserve"> 446. </w:t>
      </w:r>
    </w:p>
  </w:footnote>
  <w:footnote w:id="534">
    <w:p w14:paraId="02810F0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Smyth, ‘Shreds’, p. 453. </w:t>
      </w:r>
    </w:p>
  </w:footnote>
  <w:footnote w:id="535">
    <w:p w14:paraId="2C299E23" w14:textId="77777777" w:rsidR="00814479" w:rsidRPr="003B1071" w:rsidRDefault="00814479" w:rsidP="00162224">
      <w:pPr>
        <w:pStyle w:val="FootnoteText"/>
        <w:rPr>
          <w:rFonts w:ascii="Garamond" w:hAnsi="Garamond"/>
          <w:i/>
        </w:rPr>
      </w:pPr>
      <w:r w:rsidRPr="003B1071">
        <w:rPr>
          <w:rStyle w:val="FootnoteReference"/>
          <w:rFonts w:ascii="Garamond" w:hAnsi="Garamond"/>
        </w:rPr>
        <w:footnoteRef/>
      </w:r>
      <w:r w:rsidRPr="003B1071">
        <w:rPr>
          <w:rFonts w:ascii="Garamond" w:hAnsi="Garamond"/>
        </w:rPr>
        <w:t xml:space="preserve"> Fifteen remain, either complete or in identifiable form, each of which is unique. Eight are gospels, three cover the Laws of Moses, two Kings and Chronicles, one of acts and the Apocalypse, and there is one polyglot gospel. See Joyce Ransome, ‘Monotessaron: The Harmonies of Little Gidding’, </w:t>
      </w:r>
      <w:r w:rsidRPr="003B1071">
        <w:rPr>
          <w:rFonts w:ascii="Garamond" w:hAnsi="Garamond"/>
          <w:i/>
        </w:rPr>
        <w:t>The Seventeenth-century</w:t>
      </w:r>
      <w:r w:rsidRPr="003B1071">
        <w:rPr>
          <w:rFonts w:ascii="Garamond" w:hAnsi="Garamond"/>
        </w:rPr>
        <w:t xml:space="preserve">, 20 (2005), 22–52 for the most complete discussion of the different Harmonies. </w:t>
      </w:r>
    </w:p>
  </w:footnote>
  <w:footnote w:id="536">
    <w:p w14:paraId="53A4797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Smyth, ‘Shreds’, p. 462. </w:t>
      </w:r>
    </w:p>
  </w:footnote>
  <w:footnote w:id="537">
    <w:p w14:paraId="67D47F0E" w14:textId="603B33C4"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John Ferrar, </w:t>
      </w:r>
      <w:r w:rsidRPr="003B1071">
        <w:rPr>
          <w:rFonts w:ascii="Garamond" w:hAnsi="Garamond"/>
          <w:i/>
        </w:rPr>
        <w:t xml:space="preserve">Materials for the Life of Nicholas Ferrar, </w:t>
      </w:r>
      <w:r w:rsidRPr="003B1071">
        <w:rPr>
          <w:rFonts w:ascii="Garamond" w:hAnsi="Garamond"/>
        </w:rPr>
        <w:t xml:space="preserve">ed. </w:t>
      </w:r>
      <w:r w:rsidR="008F16FC">
        <w:rPr>
          <w:rFonts w:ascii="Garamond" w:hAnsi="Garamond"/>
        </w:rPr>
        <w:t xml:space="preserve">by </w:t>
      </w:r>
      <w:r w:rsidRPr="003B1071">
        <w:rPr>
          <w:rFonts w:ascii="Garamond" w:hAnsi="Garamond"/>
        </w:rPr>
        <w:t>Lynette R. Muir and John A. White</w:t>
      </w:r>
      <w:r w:rsidRPr="003B1071">
        <w:rPr>
          <w:rFonts w:ascii="Garamond" w:hAnsi="Garamond"/>
          <w:i/>
        </w:rPr>
        <w:t xml:space="preserve"> </w:t>
      </w:r>
      <w:r w:rsidRPr="003B1071">
        <w:rPr>
          <w:rFonts w:ascii="Garamond" w:hAnsi="Garamond"/>
        </w:rPr>
        <w:t>(Leeds: Leeds Philosophical and Literary Society, 1996</w:t>
      </w:r>
      <w:r w:rsidRPr="003B1071">
        <w:rPr>
          <w:rFonts w:ascii="Garamond" w:hAnsi="Garamond"/>
          <w:i/>
        </w:rPr>
        <w:t xml:space="preserve">) </w:t>
      </w:r>
      <w:r w:rsidRPr="003B1071">
        <w:rPr>
          <w:rFonts w:ascii="Garamond" w:hAnsi="Garamond"/>
        </w:rPr>
        <w:t xml:space="preserve">p. 76.  </w:t>
      </w:r>
    </w:p>
  </w:footnote>
  <w:footnote w:id="538">
    <w:p w14:paraId="5E1B181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Ferrell, “How to books”, p. 596. </w:t>
      </w:r>
    </w:p>
  </w:footnote>
  <w:footnote w:id="539">
    <w:p w14:paraId="5078530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BL Add MS 18044, f. 1v. </w:t>
      </w:r>
    </w:p>
  </w:footnote>
  <w:footnote w:id="540">
    <w:p w14:paraId="3315BBC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BL Add MS 18044, ff. 101v-105r. The epitaphs are often attributed, which is </w:t>
      </w:r>
      <w:proofErr w:type="gramStart"/>
      <w:r w:rsidRPr="003B1071">
        <w:rPr>
          <w:rFonts w:ascii="Garamond" w:hAnsi="Garamond"/>
        </w:rPr>
        <w:t>fairly unusual</w:t>
      </w:r>
      <w:proofErr w:type="gramEnd"/>
      <w:r w:rsidRPr="003B1071">
        <w:rPr>
          <w:rFonts w:ascii="Garamond" w:hAnsi="Garamond"/>
        </w:rPr>
        <w:t xml:space="preserve"> in the volume as a whole. Authors include W. Wood and Thomas Hassall, Vicar of Amwell. Page references to ‘Guillims Heraldry fol: 336’ are given, making the commonplace book a form of historical document with cross references, akin to Joseph Bufton’s almanac discussed in Chapter 1. </w:t>
      </w:r>
    </w:p>
  </w:footnote>
  <w:footnote w:id="541">
    <w:p w14:paraId="63D1E71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BL Add MS 18044, f. 2-3r. </w:t>
      </w:r>
    </w:p>
  </w:footnote>
  <w:footnote w:id="542">
    <w:p w14:paraId="069BF5E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BL Add MS 18044, f. 105v-106r. </w:t>
      </w:r>
    </w:p>
  </w:footnote>
  <w:footnote w:id="543">
    <w:p w14:paraId="2834E1B4" w14:textId="77777777" w:rsidR="00814479" w:rsidRPr="003B1071" w:rsidRDefault="00814479" w:rsidP="00162224">
      <w:pPr>
        <w:pStyle w:val="FootnoteText"/>
        <w:rPr>
          <w:rFonts w:ascii="Garamond" w:hAnsi="Garamond"/>
          <w:i/>
        </w:rPr>
      </w:pPr>
      <w:r w:rsidRPr="003B1071">
        <w:rPr>
          <w:rStyle w:val="FootnoteReference"/>
          <w:rFonts w:ascii="Garamond" w:hAnsi="Garamond"/>
        </w:rPr>
        <w:footnoteRef/>
      </w:r>
      <w:r w:rsidRPr="003B1071">
        <w:rPr>
          <w:rFonts w:ascii="Garamond" w:hAnsi="Garamond"/>
        </w:rPr>
        <w:t xml:space="preserve"> Natasha Glaisyer, ‘Rawdon, Marmaduke (bap. 1610, d. 1669)’, in </w:t>
      </w:r>
      <w:r w:rsidRPr="003B1071">
        <w:rPr>
          <w:rFonts w:ascii="Garamond" w:hAnsi="Garamond"/>
          <w:i/>
        </w:rPr>
        <w:t xml:space="preserve">ODNB. </w:t>
      </w:r>
    </w:p>
  </w:footnote>
  <w:footnote w:id="544">
    <w:p w14:paraId="0FC380D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BL Add MS 18044, f. 130v-34r. </w:t>
      </w:r>
    </w:p>
  </w:footnote>
  <w:footnote w:id="545">
    <w:p w14:paraId="5A33B39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BL Add MS 18044, f. 134v-56v. </w:t>
      </w:r>
    </w:p>
  </w:footnote>
  <w:footnote w:id="546">
    <w:p w14:paraId="0C7E8E9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Ferry.  </w:t>
      </w:r>
    </w:p>
  </w:footnote>
  <w:footnote w:id="547">
    <w:p w14:paraId="6E31EB2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BL Add MS 18044, f.182r-v. </w:t>
      </w:r>
    </w:p>
  </w:footnote>
  <w:footnote w:id="548">
    <w:p w14:paraId="0C18553A" w14:textId="3FB3331C"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Earle Havens, ‘</w:t>
      </w:r>
      <w:r>
        <w:rPr>
          <w:rFonts w:ascii="Garamond" w:hAnsi="Garamond"/>
        </w:rPr>
        <w:t>“</w:t>
      </w:r>
      <w:r w:rsidRPr="003B1071">
        <w:rPr>
          <w:rFonts w:ascii="Garamond" w:hAnsi="Garamond"/>
        </w:rPr>
        <w:t>Of Common places, or Memorial Books</w:t>
      </w:r>
      <w:r>
        <w:rPr>
          <w:rFonts w:ascii="Garamond" w:hAnsi="Garamond"/>
        </w:rPr>
        <w:t>”</w:t>
      </w:r>
      <w:r w:rsidRPr="003B1071">
        <w:rPr>
          <w:rFonts w:ascii="Garamond" w:hAnsi="Garamond"/>
        </w:rPr>
        <w:t xml:space="preserve">: An anonymous manuscript on commonplace books and the Art of Memory in Seventeenth-Century England’ in </w:t>
      </w:r>
      <w:r w:rsidRPr="003B1071">
        <w:rPr>
          <w:rFonts w:ascii="Garamond" w:hAnsi="Garamond"/>
          <w:i/>
          <w:iCs/>
        </w:rPr>
        <w:t xml:space="preserve">Yale University Library Gazette, </w:t>
      </w:r>
      <w:r w:rsidRPr="003B1071">
        <w:rPr>
          <w:rFonts w:ascii="Garamond" w:hAnsi="Garamond"/>
        </w:rPr>
        <w:t>76.3-4 (2002), 136-153 (p. 142).</w:t>
      </w:r>
    </w:p>
  </w:footnote>
  <w:footnote w:id="549">
    <w:p w14:paraId="1C8A3BF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BL Add MS 18044, f. 180v.</w:t>
      </w:r>
    </w:p>
  </w:footnote>
  <w:footnote w:id="550">
    <w:p w14:paraId="7E2AEE1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w:t>
      </w:r>
      <w:proofErr w:type="gramStart"/>
      <w:r w:rsidRPr="003B1071">
        <w:rPr>
          <w:rFonts w:ascii="Garamond" w:hAnsi="Garamond"/>
          <w:i/>
        </w:rPr>
        <w:t>The</w:t>
      </w:r>
      <w:proofErr w:type="gramEnd"/>
      <w:r w:rsidRPr="003B1071">
        <w:rPr>
          <w:rFonts w:ascii="Garamond" w:hAnsi="Garamond"/>
          <w:i/>
        </w:rPr>
        <w:t xml:space="preserve"> Temple </w:t>
      </w:r>
      <w:r w:rsidRPr="003B1071">
        <w:rPr>
          <w:rFonts w:ascii="Garamond" w:hAnsi="Garamond"/>
        </w:rPr>
        <w:t xml:space="preserve">(1633), p. 105. </w:t>
      </w:r>
    </w:p>
  </w:footnote>
  <w:footnote w:id="551">
    <w:p w14:paraId="4FFC91C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r w:rsidRPr="003B1071">
        <w:rPr>
          <w:rFonts w:ascii="Garamond" w:hAnsi="Garamond"/>
          <w:i/>
        </w:rPr>
        <w:t xml:space="preserve">The Temple </w:t>
      </w:r>
      <w:r w:rsidRPr="003B1071">
        <w:rPr>
          <w:rFonts w:ascii="Garamond" w:hAnsi="Garamond"/>
        </w:rPr>
        <w:t xml:space="preserve">(1633), p. 109. </w:t>
      </w:r>
    </w:p>
  </w:footnote>
  <w:footnote w:id="552">
    <w:p w14:paraId="2771DD7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Osborn b 182, transcribed in Havens, pp. 146-7. </w:t>
      </w:r>
    </w:p>
  </w:footnote>
  <w:footnote w:id="553">
    <w:p w14:paraId="56499AA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Freer, p. 119; Mary Ellen Rickey suggests that the rhyme scheme intensifies this effect, </w:t>
      </w:r>
      <w:r w:rsidRPr="003B1071">
        <w:rPr>
          <w:rFonts w:ascii="Garamond" w:hAnsi="Garamond"/>
          <w:i/>
          <w:iCs/>
        </w:rPr>
        <w:t xml:space="preserve">Utmost Art: Complexity in the Verse of George Herbert </w:t>
      </w:r>
      <w:r w:rsidRPr="003B1071">
        <w:rPr>
          <w:rFonts w:ascii="Garamond" w:hAnsi="Garamond"/>
        </w:rPr>
        <w:t xml:space="preserve">(lexcington: Kentucky University Press, 1966), p. 140. </w:t>
      </w:r>
    </w:p>
  </w:footnote>
  <w:footnote w:id="554">
    <w:p w14:paraId="60BE1D7B" w14:textId="47516C46"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Frances Cruikshank, ‘Broken Altars: The Work of Form in George Herbert’s Temple’ in </w:t>
      </w:r>
      <w:r w:rsidRPr="003B1071">
        <w:rPr>
          <w:rFonts w:ascii="Garamond" w:hAnsi="Garamond"/>
          <w:i/>
        </w:rPr>
        <w:t>Christianity &amp; Literature</w:t>
      </w:r>
      <w:r w:rsidRPr="003B1071">
        <w:rPr>
          <w:rFonts w:ascii="Garamond" w:hAnsi="Garamond"/>
        </w:rPr>
        <w:t xml:space="preserve"> 66.1 (2016), 24–38 (p. 25). </w:t>
      </w:r>
    </w:p>
  </w:footnote>
  <w:footnote w:id="555">
    <w:p w14:paraId="787DCF5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T.S. Eliot, </w:t>
      </w:r>
      <w:r w:rsidRPr="003B1071">
        <w:rPr>
          <w:rFonts w:ascii="Garamond" w:hAnsi="Garamond"/>
          <w:i/>
        </w:rPr>
        <w:t xml:space="preserve">George Herbert </w:t>
      </w:r>
      <w:r w:rsidRPr="003B1071">
        <w:rPr>
          <w:rFonts w:ascii="Garamond" w:hAnsi="Garamond"/>
        </w:rPr>
        <w:t xml:space="preserve">(London: Green &amp; Co, 1962), p. 31.  </w:t>
      </w:r>
    </w:p>
  </w:footnote>
  <w:footnote w:id="556">
    <w:p w14:paraId="0D88771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Doerksen, p. 6. </w:t>
      </w:r>
    </w:p>
  </w:footnote>
  <w:footnote w:id="557">
    <w:p w14:paraId="474DFE55" w14:textId="1A4AB190"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Sabine Gross</w:t>
      </w:r>
      <w:r>
        <w:rPr>
          <w:rFonts w:ascii="Garamond" w:hAnsi="Garamond"/>
        </w:rPr>
        <w:t>,</w:t>
      </w:r>
      <w:r w:rsidRPr="003B1071">
        <w:rPr>
          <w:rFonts w:ascii="Garamond" w:hAnsi="Garamond"/>
        </w:rPr>
        <w:t xml:space="preserve"> ‘The Word turned image: Reading Pattern Poems’, in </w:t>
      </w:r>
      <w:r w:rsidRPr="003B1071">
        <w:rPr>
          <w:rFonts w:ascii="Garamond" w:hAnsi="Garamond"/>
          <w:i/>
        </w:rPr>
        <w:t xml:space="preserve">Poetics Today, </w:t>
      </w:r>
      <w:r w:rsidRPr="003B1071">
        <w:rPr>
          <w:rFonts w:ascii="Garamond" w:hAnsi="Garamond"/>
        </w:rPr>
        <w:t xml:space="preserve">18.1 (Spring 1997) pp.15-32, p. 15. </w:t>
      </w:r>
    </w:p>
  </w:footnote>
  <w:footnote w:id="558">
    <w:p w14:paraId="1622CD3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Gross, p. 15. </w:t>
      </w:r>
    </w:p>
  </w:footnote>
  <w:footnote w:id="559">
    <w:p w14:paraId="50274B4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John Hollander also discusses this in </w:t>
      </w:r>
      <w:r w:rsidRPr="003B1071">
        <w:rPr>
          <w:rFonts w:ascii="Garamond" w:hAnsi="Garamond"/>
          <w:i/>
          <w:iCs/>
        </w:rPr>
        <w:t xml:space="preserve">Vision and resonance: two senses of poetic form </w:t>
      </w:r>
      <w:r w:rsidRPr="003B1071">
        <w:rPr>
          <w:rFonts w:ascii="Garamond" w:hAnsi="Garamond"/>
        </w:rPr>
        <w:t xml:space="preserve">(New York: Oxford University Press, 1975), pp. 261-2, pp. 268-70. </w:t>
      </w:r>
    </w:p>
  </w:footnote>
  <w:footnote w:id="560">
    <w:p w14:paraId="0E8011F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Gross, p. 16.</w:t>
      </w:r>
    </w:p>
  </w:footnote>
  <w:footnote w:id="561">
    <w:p w14:paraId="623E713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Gross, p. 17. </w:t>
      </w:r>
    </w:p>
  </w:footnote>
  <w:footnote w:id="562">
    <w:p w14:paraId="108A638A" w14:textId="1CC0E47D"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Gross, p. 17. It is perhaps pertinent to note that the poems Gross used in this experiment perhaps further break-down the linearity of the text on the page that Herbert</w:t>
      </w:r>
      <w:r>
        <w:rPr>
          <w:rFonts w:ascii="Garamond" w:hAnsi="Garamond"/>
        </w:rPr>
        <w:t>’s</w:t>
      </w:r>
      <w:r w:rsidRPr="003B1071">
        <w:rPr>
          <w:rFonts w:ascii="Garamond" w:hAnsi="Garamond"/>
        </w:rPr>
        <w:t>, Vicars’s or Watson’s poems do. The examples she gave her participants were Bertall’s ‘ABC Trim: Aphabet enchat</w:t>
      </w:r>
      <w:r w:rsidRPr="003B1071">
        <w:rPr>
          <w:rFonts w:ascii="Garamond" w:hAnsi="Garamond" w:cs="Calibri"/>
        </w:rPr>
        <w:t>é</w:t>
      </w:r>
      <w:r w:rsidRPr="003B1071">
        <w:rPr>
          <w:rFonts w:ascii="Garamond" w:hAnsi="Garamond"/>
        </w:rPr>
        <w:t>’ (1861), Reinhard D</w:t>
      </w:r>
      <w:r w:rsidRPr="003B1071">
        <w:rPr>
          <w:rFonts w:ascii="Garamond" w:hAnsi="Garamond" w:cs="Calibri"/>
        </w:rPr>
        <w:t>ö</w:t>
      </w:r>
      <w:r w:rsidRPr="003B1071">
        <w:rPr>
          <w:rFonts w:ascii="Garamond" w:hAnsi="Garamond"/>
        </w:rPr>
        <w:t>hl’s ‘Appel Poem’ (1965), Michael Joseph Philips</w:t>
      </w:r>
      <w:r>
        <w:rPr>
          <w:rFonts w:ascii="Garamond" w:hAnsi="Garamond"/>
        </w:rPr>
        <w:t>’</w:t>
      </w:r>
      <w:r w:rsidRPr="003B1071">
        <w:rPr>
          <w:rFonts w:ascii="Garamond" w:hAnsi="Garamond"/>
        </w:rPr>
        <w:t>, ‘woman poem’ (1969), Eugen Gomrigner’s ‘silence’ (1967).</w:t>
      </w:r>
    </w:p>
  </w:footnote>
  <w:footnote w:id="563">
    <w:p w14:paraId="281951B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Gross, p. 22. </w:t>
      </w:r>
    </w:p>
  </w:footnote>
  <w:footnote w:id="564">
    <w:p w14:paraId="0F3C3D6C" w14:textId="564127EE"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Mary Ann Caws, ‘Seeing the Snag: Optical poetry and beyond’ in </w:t>
      </w:r>
      <w:r w:rsidRPr="003B1071">
        <w:rPr>
          <w:rFonts w:ascii="Garamond" w:hAnsi="Garamond"/>
          <w:i/>
          <w:iCs/>
        </w:rPr>
        <w:t xml:space="preserve">The Poetry of </w:t>
      </w:r>
      <w:r w:rsidRPr="003B1071">
        <w:rPr>
          <w:rFonts w:ascii="Garamond" w:hAnsi="Garamond"/>
          <w:i/>
        </w:rPr>
        <w:t xml:space="preserve">Dada and Surrealism </w:t>
      </w:r>
      <w:r w:rsidRPr="003B1071">
        <w:rPr>
          <w:rFonts w:ascii="Garamond" w:hAnsi="Garamond"/>
        </w:rPr>
        <w:t>(Princeton: Princeton University Press, 1970), pp. 81-89.</w:t>
      </w:r>
    </w:p>
  </w:footnote>
  <w:footnote w:id="565">
    <w:p w14:paraId="150D0412" w14:textId="77777777" w:rsidR="00814479" w:rsidRPr="003B1071" w:rsidRDefault="00814479" w:rsidP="00162224">
      <w:pPr>
        <w:pStyle w:val="FootnoteText"/>
        <w:rPr>
          <w:rFonts w:ascii="Garamond" w:hAnsi="Garamond"/>
          <w:highlight w:val="yellow"/>
        </w:rPr>
      </w:pPr>
      <w:r w:rsidRPr="003B1071">
        <w:rPr>
          <w:rStyle w:val="FootnoteReference"/>
          <w:rFonts w:ascii="Garamond" w:hAnsi="Garamond"/>
        </w:rPr>
        <w:footnoteRef/>
      </w:r>
      <w:r w:rsidRPr="003B1071">
        <w:rPr>
          <w:rFonts w:ascii="Garamond" w:hAnsi="Garamond"/>
        </w:rPr>
        <w:t xml:space="preserve"> </w:t>
      </w:r>
      <w:bookmarkStart w:id="59" w:name="_Hlk532770403"/>
      <w:r w:rsidRPr="003B1071">
        <w:rPr>
          <w:rFonts w:ascii="Garamond" w:hAnsi="Garamond"/>
        </w:rPr>
        <w:t xml:space="preserve">Thomas Watson, </w:t>
      </w:r>
      <w:r w:rsidRPr="003B1071">
        <w:rPr>
          <w:rFonts w:ascii="Garamond" w:hAnsi="Garamond"/>
          <w:i/>
          <w:iCs/>
        </w:rPr>
        <w:t xml:space="preserve">Hekatompathia </w:t>
      </w:r>
      <w:r w:rsidRPr="003B1071">
        <w:rPr>
          <w:rFonts w:ascii="Garamond" w:hAnsi="Garamond"/>
          <w:iCs/>
        </w:rPr>
        <w:t>(London: 1582)</w:t>
      </w:r>
      <w:bookmarkEnd w:id="59"/>
      <w:r w:rsidRPr="003B1071">
        <w:rPr>
          <w:rFonts w:ascii="Garamond" w:hAnsi="Garamond"/>
          <w:iCs/>
        </w:rPr>
        <w:t xml:space="preserve"> L4v. </w:t>
      </w:r>
      <w:r w:rsidRPr="003B1071">
        <w:rPr>
          <w:rFonts w:ascii="Garamond" w:hAnsi="Garamond"/>
        </w:rPr>
        <w:t xml:space="preserve"> </w:t>
      </w:r>
    </w:p>
  </w:footnote>
  <w:footnote w:id="566">
    <w:p w14:paraId="40731FCD" w14:textId="77777777" w:rsidR="00814479" w:rsidRPr="00667CD5" w:rsidRDefault="00814479" w:rsidP="00635464">
      <w:pPr>
        <w:pStyle w:val="FootnoteText"/>
        <w:rPr>
          <w:rFonts w:ascii="Garamond" w:hAnsi="Garamond"/>
        </w:rPr>
      </w:pPr>
      <w:r w:rsidRPr="003B1071">
        <w:rPr>
          <w:rStyle w:val="FootnoteReference"/>
          <w:rFonts w:ascii="Garamond" w:hAnsi="Garamond"/>
        </w:rPr>
        <w:footnoteRef/>
      </w:r>
      <w:r w:rsidRPr="00667CD5">
        <w:rPr>
          <w:rFonts w:ascii="Garamond" w:hAnsi="Garamond"/>
        </w:rPr>
        <w:t xml:space="preserve"> Puttenham, p. 74. </w:t>
      </w:r>
    </w:p>
  </w:footnote>
  <w:footnote w:id="567">
    <w:p w14:paraId="1B97D757" w14:textId="77777777" w:rsidR="00814479" w:rsidRPr="00667CD5" w:rsidRDefault="00814479" w:rsidP="00635464">
      <w:pPr>
        <w:pStyle w:val="FootnoteText"/>
        <w:rPr>
          <w:rFonts w:ascii="Garamond" w:hAnsi="Garamond"/>
        </w:rPr>
      </w:pPr>
      <w:r w:rsidRPr="003B1071">
        <w:rPr>
          <w:rStyle w:val="FootnoteReference"/>
          <w:rFonts w:ascii="Garamond" w:hAnsi="Garamond"/>
        </w:rPr>
        <w:footnoteRef/>
      </w:r>
      <w:r w:rsidRPr="00667CD5">
        <w:rPr>
          <w:rFonts w:ascii="Garamond" w:hAnsi="Garamond"/>
        </w:rPr>
        <w:t xml:space="preserve"> Elsky, p. 255. </w:t>
      </w:r>
    </w:p>
  </w:footnote>
  <w:footnote w:id="568">
    <w:p w14:paraId="2F61E3F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w:t>
      </w:r>
      <w:bookmarkStart w:id="60" w:name="_Hlk532148680"/>
      <w:r w:rsidRPr="003B1071">
        <w:rPr>
          <w:rFonts w:ascii="Garamond" w:hAnsi="Garamond"/>
        </w:rPr>
        <w:t xml:space="preserve">Reinhold Grimm, ‘Poems and/as Pictures: A Quick Look at Two and a Half Millennia of Ongoing Aesthetic Intercourse,’ in </w:t>
      </w:r>
      <w:r w:rsidRPr="003B1071">
        <w:rPr>
          <w:rFonts w:ascii="Garamond" w:hAnsi="Garamond"/>
          <w:i/>
        </w:rPr>
        <w:t>From Ode to Anthem: Problems of Lyric Poetry</w:t>
      </w:r>
      <w:r w:rsidRPr="003B1071">
        <w:rPr>
          <w:rFonts w:ascii="Garamond" w:hAnsi="Garamond"/>
        </w:rPr>
        <w:t xml:space="preserve"> (Madison: University of Wisconsin Press, 1989) pp. 3-85 </w:t>
      </w:r>
      <w:bookmarkEnd w:id="60"/>
      <w:r w:rsidRPr="003B1071">
        <w:rPr>
          <w:rFonts w:ascii="Garamond" w:hAnsi="Garamond"/>
        </w:rPr>
        <w:t xml:space="preserve">for a discussion of the history of pattern poetry. </w:t>
      </w:r>
    </w:p>
  </w:footnote>
  <w:footnote w:id="569">
    <w:p w14:paraId="5973EBE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Juliet Fleming, </w:t>
      </w:r>
      <w:r w:rsidRPr="003B1071">
        <w:rPr>
          <w:rFonts w:ascii="Garamond" w:hAnsi="Garamond"/>
          <w:i/>
        </w:rPr>
        <w:t xml:space="preserve">Graffiti and the Writing Arts of Early Modern England </w:t>
      </w:r>
      <w:r w:rsidRPr="003B1071">
        <w:rPr>
          <w:rFonts w:ascii="Garamond" w:hAnsi="Garamond"/>
        </w:rPr>
        <w:t>(London: Beakton Books, 2001), pp. 18-20.</w:t>
      </w:r>
    </w:p>
  </w:footnote>
  <w:footnote w:id="570">
    <w:p w14:paraId="6099660B" w14:textId="0B2953CB" w:rsidR="00814479" w:rsidRPr="003B1071" w:rsidRDefault="00814479">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Berta </w:t>
      </w:r>
      <w:r w:rsidRPr="003B1071">
        <w:rPr>
          <w:rFonts w:ascii="Garamond" w:hAnsi="Garamond"/>
          <w:lang w:val="en-US"/>
        </w:rPr>
        <w:t xml:space="preserve">Cano-Echevarría, ‘Puttenham’s failed design: The fake genealogy of English pattern poetry’ in </w:t>
      </w:r>
      <w:r w:rsidRPr="003B1071">
        <w:rPr>
          <w:rFonts w:ascii="Garamond" w:hAnsi="Garamond"/>
          <w:i/>
          <w:iCs/>
          <w:lang w:val="en-US"/>
        </w:rPr>
        <w:t>Cahiers Élisabéthains</w:t>
      </w:r>
      <w:r w:rsidRPr="003B1071">
        <w:rPr>
          <w:rFonts w:ascii="Garamond" w:hAnsi="Garamond"/>
          <w:lang w:val="en-US"/>
        </w:rPr>
        <w:t>, </w:t>
      </w:r>
      <w:r w:rsidRPr="003B1071">
        <w:rPr>
          <w:rFonts w:ascii="Garamond" w:hAnsi="Garamond"/>
          <w:iCs/>
          <w:lang w:val="en-US"/>
        </w:rPr>
        <w:t>94</w:t>
      </w:r>
      <w:r w:rsidRPr="003B1071">
        <w:rPr>
          <w:rFonts w:ascii="Garamond" w:hAnsi="Garamond"/>
          <w:lang w:val="en-US"/>
        </w:rPr>
        <w:t xml:space="preserve"> (2017) 57–73, p. 62 for further discussion. </w:t>
      </w:r>
    </w:p>
  </w:footnote>
  <w:footnote w:id="571">
    <w:p w14:paraId="1143F701" w14:textId="5315DA0D" w:rsidR="00814479" w:rsidRPr="003B1071" w:rsidRDefault="00814479">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Gabriel Harvey, ‘Letter Book (1573–1580)’ in Gregory Smith ed.</w:t>
      </w:r>
      <w:r w:rsidR="008F16FC">
        <w:rPr>
          <w:rFonts w:ascii="Garamond" w:hAnsi="Garamond"/>
        </w:rPr>
        <w:t>,</w:t>
      </w:r>
      <w:r w:rsidRPr="003B1071">
        <w:rPr>
          <w:rFonts w:ascii="Garamond" w:hAnsi="Garamond"/>
        </w:rPr>
        <w:t xml:space="preserve"> </w:t>
      </w:r>
      <w:r w:rsidRPr="003B1071">
        <w:rPr>
          <w:rFonts w:ascii="Garamond" w:hAnsi="Garamond"/>
          <w:i/>
        </w:rPr>
        <w:t>Elizabethan Critical Essays</w:t>
      </w:r>
      <w:r w:rsidRPr="003B1071">
        <w:rPr>
          <w:rFonts w:ascii="Garamond" w:hAnsi="Garamond"/>
        </w:rPr>
        <w:t xml:space="preserve"> (Oxford, Oxford University Press, 1904), p. 126. </w:t>
      </w:r>
    </w:p>
  </w:footnote>
  <w:footnote w:id="572">
    <w:p w14:paraId="5B7FAB74" w14:textId="5659EE3F" w:rsidR="00814479" w:rsidRPr="003B1071" w:rsidRDefault="00814479">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Puttenham, p. 17. For an extensive discussion of the arguments for Puttenham’s authorship of </w:t>
      </w:r>
      <w:r w:rsidRPr="003B1071">
        <w:rPr>
          <w:rFonts w:ascii="Garamond" w:hAnsi="Garamond"/>
          <w:i/>
        </w:rPr>
        <w:t xml:space="preserve">The Art, </w:t>
      </w:r>
      <w:r w:rsidRPr="003B1071">
        <w:rPr>
          <w:rFonts w:ascii="Garamond" w:hAnsi="Garamond"/>
        </w:rPr>
        <w:t xml:space="preserve">see </w:t>
      </w:r>
      <w:r w:rsidRPr="003B1071">
        <w:rPr>
          <w:rFonts w:ascii="Garamond" w:hAnsi="Garamond"/>
          <w:lang w:val="en-US"/>
        </w:rPr>
        <w:t>Wayne A. Rebhorn and Frank Whigham ed.</w:t>
      </w:r>
      <w:r w:rsidR="008F16FC">
        <w:rPr>
          <w:rFonts w:ascii="Garamond" w:hAnsi="Garamond"/>
          <w:lang w:val="en-US"/>
        </w:rPr>
        <w:t>,</w:t>
      </w:r>
      <w:r w:rsidRPr="003B1071">
        <w:rPr>
          <w:rFonts w:ascii="Garamond" w:hAnsi="Garamond"/>
          <w:lang w:val="en-US"/>
        </w:rPr>
        <w:t xml:space="preserve"> </w:t>
      </w:r>
      <w:r w:rsidRPr="003B1071">
        <w:rPr>
          <w:rFonts w:ascii="Garamond" w:hAnsi="Garamond"/>
          <w:i/>
          <w:lang w:val="en-US"/>
        </w:rPr>
        <w:t xml:space="preserve">The Art of English Posey </w:t>
      </w:r>
      <w:r w:rsidRPr="003B1071">
        <w:rPr>
          <w:rFonts w:ascii="Garamond" w:hAnsi="Garamond"/>
          <w:lang w:val="en-US"/>
        </w:rPr>
        <w:t>(Ithica, New York: Cornell University Press, 2016)</w:t>
      </w:r>
      <w:r>
        <w:rPr>
          <w:rFonts w:ascii="Garamond" w:hAnsi="Garamond"/>
          <w:lang w:val="en-US"/>
        </w:rPr>
        <w:t>,</w:t>
      </w:r>
      <w:r w:rsidRPr="003B1071">
        <w:rPr>
          <w:rFonts w:ascii="Garamond" w:hAnsi="Garamond"/>
          <w:lang w:val="en-US"/>
        </w:rPr>
        <w:t xml:space="preserve"> pp. 16-25. </w:t>
      </w:r>
    </w:p>
  </w:footnote>
  <w:footnote w:id="573">
    <w:p w14:paraId="6588B6EC" w14:textId="79D91A40" w:rsidR="00814479" w:rsidRPr="003B1071" w:rsidRDefault="00814479">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Rebhorn and Whigham ed., p. 4. </w:t>
      </w:r>
    </w:p>
  </w:footnote>
  <w:footnote w:id="574">
    <w:p w14:paraId="51F6307A" w14:textId="65A0669A" w:rsidR="00814479" w:rsidRPr="003B1071" w:rsidRDefault="00814479">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w:t>
      </w:r>
      <w:r w:rsidRPr="003B1071">
        <w:rPr>
          <w:rFonts w:ascii="Garamond" w:hAnsi="Garamond"/>
          <w:lang w:val="en-US"/>
        </w:rPr>
        <w:t xml:space="preserve">Cano-Echevarría, p. 61.  </w:t>
      </w:r>
    </w:p>
  </w:footnote>
  <w:footnote w:id="575">
    <w:p w14:paraId="5AC442EC" w14:textId="7E1EFCE7" w:rsidR="00814479" w:rsidRPr="003B1071" w:rsidRDefault="00814479" w:rsidP="00C60B2D">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It has been suggested by several editors that Chapters 1 to 30 of Book 1 were composed the earliest, with chapter 31 added in in the early 1580s, as it gives a list of English poets including </w:t>
      </w:r>
      <w:r w:rsidRPr="003B1071">
        <w:rPr>
          <w:rFonts w:ascii="Garamond" w:hAnsi="Garamond"/>
          <w:lang w:val="en-US"/>
        </w:rPr>
        <w:t xml:space="preserve">Sidney, Ralegh, Dyer, and Greville. The first third of Book 2, dealing primarily with metrics, seems to have been also composed in the 1570s. The next section, which discusses shaped poems and anagrams, seems to have been written towards the end of the 1580s. The final five chapters of Book 2, on classical and English quantative verse, have been dated to the early 1580s. Book 3, meanwhile, which is double the size of Books 1 and 2 combined, shows ‘highly intermixed signs of composition and amplification over a long period of time… and notably expands the orbit of the first two books to engage with courtly concerns’. </w:t>
      </w:r>
      <w:r w:rsidRPr="003B1071">
        <w:rPr>
          <w:rFonts w:ascii="Garamond" w:hAnsi="Garamond"/>
        </w:rPr>
        <w:t xml:space="preserve">See </w:t>
      </w:r>
      <w:proofErr w:type="spellStart"/>
      <w:r w:rsidRPr="003B1071">
        <w:rPr>
          <w:rFonts w:ascii="Garamond" w:hAnsi="Garamond"/>
        </w:rPr>
        <w:t>Rebhorn</w:t>
      </w:r>
      <w:proofErr w:type="spellEnd"/>
      <w:r w:rsidRPr="003B1071">
        <w:rPr>
          <w:rFonts w:ascii="Garamond" w:hAnsi="Garamond"/>
        </w:rPr>
        <w:t xml:space="preserve"> and Whigham ed</w:t>
      </w:r>
      <w:r w:rsidR="008F16FC">
        <w:rPr>
          <w:rFonts w:ascii="Garamond" w:hAnsi="Garamond"/>
        </w:rPr>
        <w:t>s</w:t>
      </w:r>
      <w:r w:rsidRPr="003B1071">
        <w:rPr>
          <w:rFonts w:ascii="Garamond" w:hAnsi="Garamond"/>
        </w:rPr>
        <w:t>, pp. 42-43.</w:t>
      </w:r>
    </w:p>
  </w:footnote>
  <w:footnote w:id="576">
    <w:p w14:paraId="41FECC0A" w14:textId="77777777" w:rsidR="00814479" w:rsidRPr="00667CD5" w:rsidRDefault="00814479" w:rsidP="00162224">
      <w:pPr>
        <w:pStyle w:val="FootnoteText"/>
        <w:rPr>
          <w:rFonts w:ascii="Garamond" w:hAnsi="Garamond"/>
        </w:rPr>
      </w:pPr>
      <w:r w:rsidRPr="003B1071">
        <w:rPr>
          <w:rStyle w:val="FootnoteReference"/>
          <w:rFonts w:ascii="Garamond" w:hAnsi="Garamond"/>
        </w:rPr>
        <w:footnoteRef/>
      </w:r>
      <w:r w:rsidRPr="00667CD5">
        <w:rPr>
          <w:rFonts w:ascii="Garamond" w:hAnsi="Garamond"/>
        </w:rPr>
        <w:t xml:space="preserve"> Puttenham, p. 75 </w:t>
      </w:r>
    </w:p>
  </w:footnote>
  <w:footnote w:id="577">
    <w:p w14:paraId="66E67D43" w14:textId="77777777" w:rsidR="00814479" w:rsidRPr="00667CD5" w:rsidRDefault="00814479" w:rsidP="00162224">
      <w:pPr>
        <w:pStyle w:val="FootnoteText"/>
        <w:rPr>
          <w:rFonts w:ascii="Garamond" w:hAnsi="Garamond"/>
        </w:rPr>
      </w:pPr>
      <w:r w:rsidRPr="003B1071">
        <w:rPr>
          <w:rStyle w:val="FootnoteReference"/>
          <w:rFonts w:ascii="Garamond" w:hAnsi="Garamond"/>
        </w:rPr>
        <w:footnoteRef/>
      </w:r>
      <w:r w:rsidRPr="00667CD5">
        <w:rPr>
          <w:rFonts w:ascii="Garamond" w:hAnsi="Garamond"/>
        </w:rPr>
        <w:t xml:space="preserve"> Puttenham, p. 219.</w:t>
      </w:r>
    </w:p>
  </w:footnote>
  <w:footnote w:id="578">
    <w:p w14:paraId="3360672E" w14:textId="77777777" w:rsidR="00814479" w:rsidRPr="003B1071" w:rsidRDefault="00814479" w:rsidP="00162224">
      <w:pPr>
        <w:pStyle w:val="FootnoteText"/>
        <w:rPr>
          <w:rFonts w:ascii="Garamond" w:hAnsi="Garamond"/>
          <w:lang w:val="pt-PT"/>
        </w:rPr>
      </w:pPr>
      <w:r w:rsidRPr="003B1071">
        <w:rPr>
          <w:rStyle w:val="FootnoteReference"/>
          <w:rFonts w:ascii="Garamond" w:hAnsi="Garamond"/>
        </w:rPr>
        <w:footnoteRef/>
      </w:r>
      <w:r w:rsidRPr="003B1071">
        <w:rPr>
          <w:rFonts w:ascii="Garamond" w:hAnsi="Garamond"/>
          <w:lang w:val="pt-PT"/>
        </w:rPr>
        <w:t xml:space="preserve"> Puttenham, p. 76 </w:t>
      </w:r>
    </w:p>
  </w:footnote>
  <w:footnote w:id="579">
    <w:p w14:paraId="14632282" w14:textId="77777777" w:rsidR="00814479" w:rsidRPr="003B1071" w:rsidRDefault="00814479" w:rsidP="00162224">
      <w:pPr>
        <w:pStyle w:val="FootnoteText"/>
        <w:rPr>
          <w:rFonts w:ascii="Garamond" w:hAnsi="Garamond"/>
          <w:lang w:val="pt-PT"/>
        </w:rPr>
      </w:pPr>
      <w:r w:rsidRPr="003B1071">
        <w:rPr>
          <w:rStyle w:val="FootnoteReference"/>
          <w:rFonts w:ascii="Garamond" w:hAnsi="Garamond"/>
        </w:rPr>
        <w:footnoteRef/>
      </w:r>
      <w:r w:rsidRPr="003B1071">
        <w:rPr>
          <w:rFonts w:ascii="Garamond" w:hAnsi="Garamond"/>
          <w:lang w:val="pt-PT"/>
        </w:rPr>
        <w:t xml:space="preserve"> Puttenham, p. 76. </w:t>
      </w:r>
    </w:p>
  </w:footnote>
  <w:footnote w:id="580">
    <w:p w14:paraId="7E2A9F7E" w14:textId="2095E2FD" w:rsidR="00814479" w:rsidRPr="00667CD5" w:rsidRDefault="00814479">
      <w:pPr>
        <w:pStyle w:val="FootnoteText"/>
        <w:rPr>
          <w:rFonts w:ascii="Garamond" w:hAnsi="Garamond"/>
          <w:lang w:val="pt-PT"/>
        </w:rPr>
      </w:pPr>
      <w:r w:rsidRPr="003B1071">
        <w:rPr>
          <w:rStyle w:val="FootnoteReference"/>
          <w:rFonts w:ascii="Garamond" w:hAnsi="Garamond"/>
        </w:rPr>
        <w:footnoteRef/>
      </w:r>
      <w:r w:rsidRPr="003B1071">
        <w:rPr>
          <w:rFonts w:ascii="Garamond" w:hAnsi="Garamond"/>
        </w:rPr>
        <w:t xml:space="preserve"> </w:t>
      </w:r>
      <w:r w:rsidRPr="003B1071">
        <w:rPr>
          <w:rFonts w:ascii="Garamond" w:hAnsi="Garamond"/>
          <w:lang w:val="en-US"/>
        </w:rPr>
        <w:t xml:space="preserve">Cano-Echevarría, p. 64. Cano-Echevarría suggests that Puttenham may have taken inspiration for the oriental origins of pattern poetry from Willes. </w:t>
      </w:r>
      <w:r w:rsidRPr="00667CD5">
        <w:rPr>
          <w:rFonts w:ascii="Garamond" w:hAnsi="Garamond"/>
          <w:lang w:val="pt-PT"/>
        </w:rPr>
        <w:t xml:space="preserve">See note </w:t>
      </w:r>
      <w:r w:rsidRPr="003B1071">
        <w:rPr>
          <w:rFonts w:ascii="Garamond" w:hAnsi="Garamond"/>
          <w:lang w:val="en-US"/>
        </w:rPr>
        <w:fldChar w:fldCharType="begin"/>
      </w:r>
      <w:r w:rsidRPr="00667CD5">
        <w:rPr>
          <w:rFonts w:ascii="Garamond" w:hAnsi="Garamond"/>
          <w:lang w:val="pt-PT"/>
        </w:rPr>
        <w:instrText xml:space="preserve"> NOTEREF _Ref3889038 \h  \* MERGEFORMAT </w:instrText>
      </w:r>
      <w:r w:rsidRPr="003B1071">
        <w:rPr>
          <w:rFonts w:ascii="Garamond" w:hAnsi="Garamond"/>
          <w:lang w:val="en-US"/>
        </w:rPr>
      </w:r>
      <w:r w:rsidRPr="003B1071">
        <w:rPr>
          <w:rFonts w:ascii="Garamond" w:hAnsi="Garamond"/>
          <w:lang w:val="en-US"/>
        </w:rPr>
        <w:fldChar w:fldCharType="separate"/>
      </w:r>
      <w:r w:rsidRPr="00667CD5">
        <w:rPr>
          <w:rFonts w:ascii="Garamond" w:hAnsi="Garamond"/>
          <w:lang w:val="pt-PT"/>
        </w:rPr>
        <w:t>176</w:t>
      </w:r>
      <w:r w:rsidRPr="003B1071">
        <w:rPr>
          <w:rFonts w:ascii="Garamond" w:hAnsi="Garamond"/>
          <w:lang w:val="en-US"/>
        </w:rPr>
        <w:fldChar w:fldCharType="end"/>
      </w:r>
      <w:r w:rsidRPr="00667CD5">
        <w:rPr>
          <w:rFonts w:ascii="Garamond" w:hAnsi="Garamond"/>
          <w:lang w:val="pt-PT"/>
        </w:rPr>
        <w:t xml:space="preserve"> above.</w:t>
      </w:r>
    </w:p>
  </w:footnote>
  <w:footnote w:id="581">
    <w:p w14:paraId="71199082" w14:textId="65260527" w:rsidR="00814479" w:rsidRPr="00667CD5" w:rsidRDefault="00814479">
      <w:pPr>
        <w:pStyle w:val="FootnoteText"/>
        <w:rPr>
          <w:rFonts w:ascii="Garamond" w:hAnsi="Garamond"/>
          <w:lang w:val="pt-PT"/>
        </w:rPr>
      </w:pPr>
      <w:r w:rsidRPr="003B1071">
        <w:rPr>
          <w:rStyle w:val="FootnoteReference"/>
          <w:rFonts w:ascii="Garamond" w:hAnsi="Garamond"/>
        </w:rPr>
        <w:footnoteRef/>
      </w:r>
      <w:r w:rsidRPr="00667CD5">
        <w:rPr>
          <w:rFonts w:ascii="Garamond" w:hAnsi="Garamond"/>
          <w:lang w:val="pt-PT"/>
        </w:rPr>
        <w:t xml:space="preserve"> Puttenham, p. 75. </w:t>
      </w:r>
    </w:p>
  </w:footnote>
  <w:footnote w:id="582">
    <w:p w14:paraId="01749A85" w14:textId="5AE296D8" w:rsidR="00814479" w:rsidRPr="00667CD5" w:rsidRDefault="00814479">
      <w:pPr>
        <w:pStyle w:val="FootnoteText"/>
        <w:rPr>
          <w:rFonts w:ascii="Garamond" w:hAnsi="Garamond"/>
          <w:lang w:val="pt-PT"/>
        </w:rPr>
      </w:pPr>
      <w:r w:rsidRPr="003B1071">
        <w:rPr>
          <w:rStyle w:val="FootnoteReference"/>
          <w:rFonts w:ascii="Garamond" w:hAnsi="Garamond"/>
        </w:rPr>
        <w:footnoteRef/>
      </w:r>
      <w:r w:rsidRPr="00667CD5">
        <w:rPr>
          <w:rFonts w:ascii="Garamond" w:hAnsi="Garamond"/>
          <w:lang w:val="pt-PT"/>
        </w:rPr>
        <w:t xml:space="preserve"> Puttenham, p. 76. </w:t>
      </w:r>
    </w:p>
  </w:footnote>
  <w:footnote w:id="583">
    <w:p w14:paraId="35157A05" w14:textId="4DBF5C59" w:rsidR="00814479" w:rsidRPr="00667CD5" w:rsidRDefault="00814479">
      <w:pPr>
        <w:pStyle w:val="FootnoteText"/>
        <w:rPr>
          <w:rFonts w:ascii="Garamond" w:hAnsi="Garamond"/>
          <w:lang w:val="pt-PT"/>
        </w:rPr>
      </w:pPr>
      <w:r w:rsidRPr="003B1071">
        <w:rPr>
          <w:rStyle w:val="FootnoteReference"/>
          <w:rFonts w:ascii="Garamond" w:hAnsi="Garamond"/>
        </w:rPr>
        <w:footnoteRef/>
      </w:r>
      <w:r w:rsidRPr="00667CD5">
        <w:rPr>
          <w:rFonts w:ascii="Garamond" w:hAnsi="Garamond"/>
          <w:lang w:val="pt-PT"/>
        </w:rPr>
        <w:t xml:space="preserve"> Cano-Echevarría, p. 65, p. 69.</w:t>
      </w:r>
    </w:p>
  </w:footnote>
  <w:footnote w:id="584">
    <w:p w14:paraId="59C4C04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Fleming, p. 17. </w:t>
      </w:r>
    </w:p>
  </w:footnote>
  <w:footnote w:id="585">
    <w:p w14:paraId="1409447A" w14:textId="77777777" w:rsidR="00814479" w:rsidRPr="003B1071" w:rsidRDefault="00814479" w:rsidP="0063546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Craig Farrell, ‘The Poetics of Page-Turning: The Interactive Surfaces of Early Modern Printed Poetry’ in </w:t>
      </w:r>
      <w:r w:rsidRPr="003B1071">
        <w:rPr>
          <w:rFonts w:ascii="Garamond" w:hAnsi="Garamond"/>
          <w:i/>
        </w:rPr>
        <w:t>Journal of the Northern Renaissance</w:t>
      </w:r>
      <w:r w:rsidRPr="003B1071">
        <w:rPr>
          <w:rFonts w:ascii="Garamond" w:hAnsi="Garamond"/>
        </w:rPr>
        <w:t xml:space="preserve">, 8 (Spring 2017, online ed.) </w:t>
      </w:r>
    </w:p>
  </w:footnote>
  <w:footnote w:id="586">
    <w:p w14:paraId="4294B51E" w14:textId="1B339170" w:rsidR="00814479" w:rsidRPr="003B1071" w:rsidRDefault="00814479" w:rsidP="0063546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BL Harley MS 3277, f. 37. See </w:t>
      </w:r>
      <w:r>
        <w:rPr>
          <w:rFonts w:ascii="Garamond" w:hAnsi="Garamond"/>
        </w:rPr>
        <w:t xml:space="preserve">Christian </w:t>
      </w:r>
      <w:r w:rsidRPr="003B1071">
        <w:rPr>
          <w:rFonts w:ascii="Garamond" w:hAnsi="Garamond"/>
        </w:rPr>
        <w:t>Algar,</w:t>
      </w:r>
      <w:r>
        <w:rPr>
          <w:rFonts w:ascii="Garamond" w:hAnsi="Garamond"/>
        </w:rPr>
        <w:t xml:space="preserve"> </w:t>
      </w:r>
      <w:r w:rsidRPr="003B1071">
        <w:rPr>
          <w:rFonts w:ascii="Garamond" w:hAnsi="Garamond"/>
        </w:rPr>
        <w:t xml:space="preserve">‘Visual Verses: Thomas Watson’s </w:t>
      </w:r>
      <w:r w:rsidRPr="003B1071">
        <w:rPr>
          <w:rFonts w:ascii="Garamond" w:hAnsi="Garamond"/>
          <w:i/>
        </w:rPr>
        <w:t xml:space="preserve">Hekatompathia, or Passionate Century of Love, </w:t>
      </w:r>
      <w:r w:rsidRPr="003B1071">
        <w:rPr>
          <w:rFonts w:ascii="Garamond" w:hAnsi="Garamond"/>
        </w:rPr>
        <w:t xml:space="preserve">1582’. </w:t>
      </w:r>
      <w:r w:rsidRPr="003B1071">
        <w:rPr>
          <w:rFonts w:ascii="Garamond" w:hAnsi="Garamond"/>
        </w:rPr>
        <w:tab/>
      </w:r>
    </w:p>
  </w:footnote>
  <w:footnote w:id="587">
    <w:p w14:paraId="6C11E12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Christian Algar, ‘Visual Verses: John Vicars’ God in the Mount, or Jehova-jireh, 1641’. </w:t>
      </w:r>
    </w:p>
  </w:footnote>
  <w:footnote w:id="588">
    <w:p w14:paraId="04F6675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Algar, ‘Visual Verses’.  </w:t>
      </w:r>
    </w:p>
  </w:footnote>
  <w:footnote w:id="589">
    <w:p w14:paraId="7BE7187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Joseph Summers, </w:t>
      </w:r>
      <w:r w:rsidRPr="003B1071">
        <w:rPr>
          <w:rFonts w:ascii="Garamond" w:hAnsi="Garamond"/>
          <w:i/>
          <w:iCs/>
        </w:rPr>
        <w:t xml:space="preserve">George Herbert: His Religion and his Art </w:t>
      </w:r>
      <w:r w:rsidRPr="003B1071">
        <w:rPr>
          <w:rFonts w:ascii="Garamond" w:hAnsi="Garamond"/>
        </w:rPr>
        <w:t xml:space="preserve">(London: Chatto and Windus, 1968), p. 216. </w:t>
      </w:r>
    </w:p>
  </w:footnote>
  <w:footnote w:id="590">
    <w:p w14:paraId="6BA39A3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Puttenham, p. 76 </w:t>
      </w:r>
    </w:p>
  </w:footnote>
  <w:footnote w:id="591">
    <w:p w14:paraId="7E5F7D4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Coburn Freer, </w:t>
      </w:r>
      <w:r w:rsidRPr="003B1071">
        <w:rPr>
          <w:rFonts w:ascii="Garamond" w:hAnsi="Garamond"/>
          <w:i/>
          <w:iCs/>
        </w:rPr>
        <w:t xml:space="preserve">Music for a King: George Herbert’s Style and the Metrical Psalms </w:t>
      </w:r>
      <w:r w:rsidRPr="003B1071">
        <w:rPr>
          <w:rFonts w:ascii="Garamond" w:hAnsi="Garamond"/>
        </w:rPr>
        <w:t xml:space="preserve">(Baltimore: John Hopkins University Press, 1972), pp. 122-3. </w:t>
      </w:r>
    </w:p>
  </w:footnote>
  <w:footnote w:id="592">
    <w:p w14:paraId="305501A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Rosalie Colie, </w:t>
      </w:r>
      <w:r w:rsidRPr="003B1071">
        <w:rPr>
          <w:rFonts w:ascii="Garamond" w:hAnsi="Garamond"/>
          <w:i/>
          <w:iCs/>
        </w:rPr>
        <w:t xml:space="preserve">Paradoxia Epidemica: The Renaissance Tradition of Paradox </w:t>
      </w:r>
      <w:r w:rsidRPr="003B1071">
        <w:rPr>
          <w:rFonts w:ascii="Garamond" w:hAnsi="Garamond"/>
        </w:rPr>
        <w:t xml:space="preserve">(Princeton: Princeton University Press, 1966), p. 195. </w:t>
      </w:r>
    </w:p>
  </w:footnote>
  <w:footnote w:id="593">
    <w:p w14:paraId="482D31D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Farrell. </w:t>
      </w:r>
    </w:p>
  </w:footnote>
  <w:footnote w:id="594">
    <w:p w14:paraId="08DD0A14" w14:textId="51F48CEC"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Dr</w:t>
      </w:r>
      <w:r>
        <w:rPr>
          <w:rFonts w:ascii="Garamond" w:hAnsi="Garamond"/>
        </w:rPr>
        <w:t>.</w:t>
      </w:r>
      <w:r w:rsidRPr="003B1071">
        <w:rPr>
          <w:rFonts w:ascii="Garamond" w:hAnsi="Garamond"/>
        </w:rPr>
        <w:t xml:space="preserve"> Williams Library, MS Jones B 62 ff. 27v-28r; MS Tanner 307, ff. 26v-27r. </w:t>
      </w:r>
    </w:p>
  </w:footnote>
  <w:footnote w:id="595">
    <w:p w14:paraId="22D84B0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Robert Halli, ‘The Double Hieroglyph in George Herbert’s ‘Easter-Wings’ in </w:t>
      </w:r>
      <w:r w:rsidRPr="003B1071">
        <w:rPr>
          <w:rFonts w:ascii="Garamond" w:hAnsi="Garamond"/>
          <w:i/>
        </w:rPr>
        <w:t>Philological Quarterly</w:t>
      </w:r>
      <w:r w:rsidRPr="003B1071">
        <w:rPr>
          <w:rFonts w:ascii="Garamond" w:hAnsi="Garamond"/>
        </w:rPr>
        <w:t>, 63.2 (Spring 1984), 265-272 (p. 266).</w:t>
      </w:r>
    </w:p>
  </w:footnote>
  <w:footnote w:id="596">
    <w:p w14:paraId="5EC21F8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Calvin, </w:t>
      </w:r>
      <w:r w:rsidRPr="003B1071">
        <w:rPr>
          <w:rFonts w:ascii="Garamond" w:hAnsi="Garamond"/>
          <w:i/>
          <w:iCs/>
        </w:rPr>
        <w:t>Institutes,</w:t>
      </w:r>
      <w:r w:rsidRPr="003B1071">
        <w:rPr>
          <w:rFonts w:ascii="Garamond" w:hAnsi="Garamond"/>
        </w:rPr>
        <w:t xml:space="preserve"> 4.17.10.</w:t>
      </w:r>
    </w:p>
  </w:footnote>
  <w:footnote w:id="597">
    <w:p w14:paraId="583F964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Binda, p. 394. </w:t>
      </w:r>
    </w:p>
  </w:footnote>
  <w:footnote w:id="598">
    <w:p w14:paraId="1A7498F4" w14:textId="19B3826A"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Stanley Fish, </w:t>
      </w:r>
      <w:r w:rsidRPr="003B1071">
        <w:rPr>
          <w:rFonts w:ascii="Garamond" w:hAnsi="Garamond"/>
          <w:i/>
        </w:rPr>
        <w:t>Self-Consuming Artefacts: The Experience of Seventeenth-Century Literature</w:t>
      </w:r>
      <w:r w:rsidRPr="003B1071">
        <w:rPr>
          <w:rFonts w:ascii="Garamond" w:hAnsi="Garamond"/>
        </w:rPr>
        <w:t xml:space="preserve"> (</w:t>
      </w:r>
      <w:r>
        <w:rPr>
          <w:rFonts w:ascii="Garamond" w:hAnsi="Garamond"/>
        </w:rPr>
        <w:t xml:space="preserve">Berkley: </w:t>
      </w:r>
      <w:r w:rsidRPr="003B1071">
        <w:rPr>
          <w:rFonts w:ascii="Garamond" w:hAnsi="Garamond"/>
        </w:rPr>
        <w:t>University of California Press, 1972)</w:t>
      </w:r>
      <w:r>
        <w:rPr>
          <w:rFonts w:ascii="Garamond" w:hAnsi="Garamond"/>
        </w:rPr>
        <w:t>,</w:t>
      </w:r>
      <w:r w:rsidRPr="003B1071">
        <w:rPr>
          <w:rFonts w:ascii="Garamond" w:hAnsi="Garamond"/>
        </w:rPr>
        <w:t xml:space="preserve"> p. 207.</w:t>
      </w:r>
    </w:p>
  </w:footnote>
  <w:footnote w:id="599">
    <w:p w14:paraId="061C91D9" w14:textId="146D61F0"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w:t>
      </w:r>
      <w:r w:rsidRPr="003B1071">
        <w:rPr>
          <w:rFonts w:ascii="Garamond" w:hAnsi="Garamond"/>
        </w:rPr>
        <w:fldChar w:fldCharType="begin"/>
      </w:r>
      <w:r w:rsidRPr="003B1071">
        <w:rPr>
          <w:rFonts w:ascii="Garamond" w:hAnsi="Garamond"/>
        </w:rPr>
        <w:instrText xml:space="preserve"> REF _Ref499473928 \h  \* MERGEFORMAT </w:instrText>
      </w:r>
      <w:r w:rsidRPr="003B1071">
        <w:rPr>
          <w:rFonts w:ascii="Garamond" w:hAnsi="Garamond"/>
        </w:rPr>
      </w:r>
      <w:r w:rsidRPr="003B1071">
        <w:rPr>
          <w:rFonts w:ascii="Garamond" w:hAnsi="Garamond"/>
        </w:rPr>
        <w:fldChar w:fldCharType="separate"/>
      </w:r>
      <w:r w:rsidRPr="003B1071">
        <w:rPr>
          <w:rFonts w:ascii="Garamond" w:hAnsi="Garamond"/>
        </w:rPr>
        <w:t xml:space="preserve">Figure </w:t>
      </w:r>
      <w:r w:rsidRPr="003B1071">
        <w:rPr>
          <w:rFonts w:ascii="Garamond" w:hAnsi="Garamond"/>
          <w:noProof/>
        </w:rPr>
        <w:t>53</w:t>
      </w:r>
      <w:r w:rsidRPr="003B1071">
        <w:rPr>
          <w:rFonts w:ascii="Garamond" w:hAnsi="Garamond"/>
        </w:rPr>
        <w:t xml:space="preserve"> Fragment (1 engraved</w:t>
      </w:r>
      <w:r w:rsidRPr="003B1071">
        <w:rPr>
          <w:rFonts w:ascii="Garamond" w:eastAsia="Times New Roman" w:hAnsi="Garamond"/>
          <w:i/>
          <w:iCs/>
          <w:color w:val="44546A"/>
          <w:lang w:eastAsia="zh-CN"/>
        </w:rPr>
        <w:t xml:space="preserve"> </w:t>
      </w:r>
      <w:r w:rsidRPr="003B1071">
        <w:rPr>
          <w:rFonts w:ascii="Garamond" w:hAnsi="Garamond"/>
          <w:i/>
          <w:iCs/>
        </w:rPr>
        <w:t xml:space="preserve">leaf only) of an unidentified edition of Herbert's The Temple.  </w:t>
      </w:r>
      <w:r w:rsidRPr="003B1071">
        <w:rPr>
          <w:rFonts w:ascii="Garamond" w:eastAsia="Times New Roman" w:hAnsi="Garamond"/>
          <w:i/>
          <w:iCs/>
          <w:noProof/>
          <w:lang w:eastAsia="zh-CN"/>
        </w:rPr>
        <w:t>London,</w:t>
      </w:r>
      <w:r w:rsidRPr="003B1071">
        <w:rPr>
          <w:rFonts w:ascii="Garamond" w:eastAsia="Times New Roman" w:hAnsi="Garamond"/>
          <w:i/>
          <w:iCs/>
          <w:lang w:eastAsia="zh-CN"/>
        </w:rPr>
        <w:t xml:space="preserve"> British Library Harl.5987114</w:t>
      </w:r>
      <w:r w:rsidRPr="003B1071">
        <w:rPr>
          <w:rFonts w:ascii="Garamond" w:hAnsi="Garamond"/>
        </w:rPr>
        <w:fldChar w:fldCharType="end"/>
      </w:r>
    </w:p>
  </w:footnote>
  <w:footnote w:id="600">
    <w:p w14:paraId="1113F71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White, pp. 82-85. </w:t>
      </w:r>
    </w:p>
  </w:footnote>
  <w:footnote w:id="601">
    <w:p w14:paraId="45FA1AB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iCs/>
        </w:rPr>
        <w:t xml:space="preserve">Poems, </w:t>
      </w:r>
      <w:r w:rsidRPr="003B1071">
        <w:rPr>
          <w:rFonts w:ascii="Garamond" w:hAnsi="Garamond"/>
        </w:rPr>
        <w:t xml:space="preserve">pp. 139-40. </w:t>
      </w:r>
    </w:p>
  </w:footnote>
  <w:footnote w:id="602">
    <w:p w14:paraId="26DFF2F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iCs/>
        </w:rPr>
        <w:t xml:space="preserve">Poems, </w:t>
      </w:r>
      <w:r w:rsidRPr="003B1071">
        <w:rPr>
          <w:rFonts w:ascii="Garamond" w:hAnsi="Garamond"/>
        </w:rPr>
        <w:t xml:space="preserve">pp. 135-6. </w:t>
      </w:r>
    </w:p>
  </w:footnote>
  <w:footnote w:id="603">
    <w:p w14:paraId="7879AE32" w14:textId="77777777" w:rsidR="00814479" w:rsidRPr="003B1071" w:rsidRDefault="00814479" w:rsidP="00162224">
      <w:pPr>
        <w:pStyle w:val="FootnoteText"/>
        <w:rPr>
          <w:rFonts w:ascii="Garamond" w:hAnsi="Garamond"/>
          <w:iCs/>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iCs/>
        </w:rPr>
        <w:t xml:space="preserve">Poems, </w:t>
      </w:r>
      <w:r w:rsidRPr="003B1071">
        <w:rPr>
          <w:rFonts w:ascii="Garamond" w:hAnsi="Garamond"/>
          <w:iCs/>
        </w:rPr>
        <w:t xml:space="preserve">p. 123. </w:t>
      </w:r>
    </w:p>
  </w:footnote>
  <w:footnote w:id="604">
    <w:p w14:paraId="6F1CAFA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iCs/>
        </w:rPr>
        <w:t xml:space="preserve">Poems, </w:t>
      </w:r>
      <w:r w:rsidRPr="003B1071">
        <w:rPr>
          <w:rFonts w:ascii="Garamond" w:hAnsi="Garamond"/>
        </w:rPr>
        <w:t>pp. 96-103.</w:t>
      </w:r>
    </w:p>
  </w:footnote>
  <w:footnote w:id="605">
    <w:p w14:paraId="3A8B33F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Farrell. </w:t>
      </w:r>
    </w:p>
  </w:footnote>
  <w:footnote w:id="606">
    <w:p w14:paraId="095581A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iCs/>
        </w:rPr>
        <w:t xml:space="preserve">Poems, </w:t>
      </w:r>
      <w:r w:rsidRPr="003B1071">
        <w:rPr>
          <w:rFonts w:ascii="Garamond" w:hAnsi="Garamond"/>
        </w:rPr>
        <w:t xml:space="preserve">p. 236.  </w:t>
      </w:r>
    </w:p>
  </w:footnote>
  <w:footnote w:id="607">
    <w:p w14:paraId="305B548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iCs/>
        </w:rPr>
        <w:t xml:space="preserve">Poems, </w:t>
      </w:r>
      <w:r w:rsidRPr="003B1071">
        <w:rPr>
          <w:rFonts w:ascii="Garamond" w:hAnsi="Garamond"/>
        </w:rPr>
        <w:t xml:space="preserve">p. 236.  </w:t>
      </w:r>
    </w:p>
  </w:footnote>
  <w:footnote w:id="608">
    <w:p w14:paraId="3AC6CB1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Lancelot Andrewes, </w:t>
      </w:r>
      <w:r w:rsidRPr="003B1071">
        <w:rPr>
          <w:rFonts w:ascii="Garamond" w:hAnsi="Garamond"/>
          <w:i/>
          <w:iCs/>
        </w:rPr>
        <w:t xml:space="preserve">The Works of Lancelot Andrewes, </w:t>
      </w:r>
      <w:r w:rsidRPr="003B1071">
        <w:rPr>
          <w:rFonts w:ascii="Garamond" w:hAnsi="Garamond"/>
        </w:rPr>
        <w:t>Vol II (New York: AMS Press, 1964), pp. 61-77. ‘Preached before Queen Elizabeth at Hampton Court on Wednesday being the 6</w:t>
      </w:r>
      <w:r w:rsidRPr="003B1071">
        <w:rPr>
          <w:rFonts w:ascii="Garamond" w:hAnsi="Garamond"/>
          <w:vertAlign w:val="superscript"/>
        </w:rPr>
        <w:t>th</w:t>
      </w:r>
      <w:r w:rsidRPr="003B1071">
        <w:rPr>
          <w:rFonts w:ascii="Garamond" w:hAnsi="Garamond"/>
        </w:rPr>
        <w:t xml:space="preserve"> of </w:t>
      </w:r>
      <w:proofErr w:type="gramStart"/>
      <w:r w:rsidRPr="003B1071">
        <w:rPr>
          <w:rFonts w:ascii="Garamond" w:hAnsi="Garamond"/>
        </w:rPr>
        <w:t>March,</w:t>
      </w:r>
      <w:proofErr w:type="gramEnd"/>
      <w:r w:rsidRPr="003B1071">
        <w:rPr>
          <w:rFonts w:ascii="Garamond" w:hAnsi="Garamond"/>
        </w:rPr>
        <w:t xml:space="preserve"> 1594’. </w:t>
      </w:r>
    </w:p>
  </w:footnote>
  <w:footnote w:id="609">
    <w:p w14:paraId="7769D11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Andrewes, p. 69. </w:t>
      </w:r>
    </w:p>
  </w:footnote>
  <w:footnote w:id="610">
    <w:p w14:paraId="3188931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Mary Morrissey, </w:t>
      </w:r>
      <w:r w:rsidRPr="003B1071">
        <w:rPr>
          <w:rFonts w:ascii="Garamond" w:hAnsi="Garamond"/>
          <w:i/>
        </w:rPr>
        <w:t xml:space="preserve">Politics and the Paul’s Cross Sermons, 1558-1642 </w:t>
      </w:r>
      <w:r w:rsidRPr="003B1071">
        <w:rPr>
          <w:rFonts w:ascii="Garamond" w:hAnsi="Garamond"/>
        </w:rPr>
        <w:t xml:space="preserve">(Oxford University Press: Oxford, 2011) p. 35. </w:t>
      </w:r>
    </w:p>
  </w:footnote>
  <w:footnote w:id="611">
    <w:p w14:paraId="5F7EAFF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bookmarkStart w:id="66" w:name="_Hlk531594339"/>
      <w:r w:rsidRPr="003B1071">
        <w:rPr>
          <w:rFonts w:ascii="Garamond" w:hAnsi="Garamond"/>
        </w:rPr>
        <w:t xml:space="preserve">Richard Bernard, </w:t>
      </w:r>
      <w:r w:rsidRPr="003B1071">
        <w:rPr>
          <w:rFonts w:ascii="Garamond" w:hAnsi="Garamond"/>
          <w:i/>
        </w:rPr>
        <w:t xml:space="preserve">The Faithful Shepherd </w:t>
      </w:r>
      <w:r w:rsidRPr="003B1071">
        <w:rPr>
          <w:rFonts w:ascii="Garamond" w:hAnsi="Garamond"/>
        </w:rPr>
        <w:t xml:space="preserve">(London: 1621) </w:t>
      </w:r>
      <w:bookmarkEnd w:id="66"/>
      <w:r w:rsidRPr="003B1071">
        <w:rPr>
          <w:rFonts w:ascii="Garamond" w:hAnsi="Garamond"/>
        </w:rPr>
        <w:t xml:space="preserve">p. 116. </w:t>
      </w:r>
    </w:p>
  </w:footnote>
  <w:footnote w:id="612">
    <w:p w14:paraId="1A30964E"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iCs/>
          <w:lang w:val="fr-FR"/>
        </w:rPr>
        <w:t xml:space="preserve">Sermons </w:t>
      </w:r>
      <w:r w:rsidRPr="003B1071">
        <w:rPr>
          <w:rFonts w:ascii="Garamond" w:hAnsi="Garamond"/>
          <w:lang w:val="fr-FR"/>
        </w:rPr>
        <w:t xml:space="preserve">X.11, p. 330, p. 233, p. 235. </w:t>
      </w:r>
    </w:p>
  </w:footnote>
  <w:footnote w:id="613">
    <w:p w14:paraId="5502FB70" w14:textId="65250DA6" w:rsidR="00814479" w:rsidRPr="003B1071" w:rsidRDefault="00814479" w:rsidP="00162224">
      <w:pPr>
        <w:pStyle w:val="FootnoteText"/>
        <w:rPr>
          <w:rFonts w:ascii="Garamond" w:hAnsi="Garamond"/>
          <w:b/>
          <w:bCs/>
        </w:rPr>
      </w:pPr>
      <w:r w:rsidRPr="003B1071">
        <w:rPr>
          <w:rStyle w:val="FootnoteReference"/>
          <w:rFonts w:ascii="Garamond" w:hAnsi="Garamond"/>
        </w:rPr>
        <w:footnoteRef/>
      </w:r>
      <w:r w:rsidRPr="003B1071">
        <w:rPr>
          <w:rFonts w:ascii="Garamond" w:hAnsi="Garamond"/>
        </w:rPr>
        <w:t xml:space="preserve"> Rigney, ‘Sermons’, p. 204. Peter McCullough states that 1,200 sermons were printed during the reign of Elizabeth I, and twice as many between 1603-1640, ‘Sermons’ in </w:t>
      </w:r>
      <w:r w:rsidRPr="003B1071">
        <w:rPr>
          <w:rFonts w:ascii="Garamond" w:hAnsi="Garamond"/>
          <w:i/>
        </w:rPr>
        <w:t>The Oxford Handbook of English Prose, 1500-1640</w:t>
      </w:r>
      <w:r w:rsidRPr="003B1071">
        <w:rPr>
          <w:rFonts w:ascii="Garamond" w:hAnsi="Garamond"/>
        </w:rPr>
        <w:t xml:space="preserve"> (Oxford: Oxford University Press, 2013), pp. 561-575 (p. 561).</w:t>
      </w:r>
    </w:p>
  </w:footnote>
  <w:footnote w:id="614">
    <w:p w14:paraId="6E74CE01" w14:textId="59898653"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Lori Anne Ferrell ‘Sermons’ in </w:t>
      </w:r>
      <w:r w:rsidRPr="003B1071">
        <w:rPr>
          <w:rFonts w:ascii="Garamond" w:hAnsi="Garamond"/>
          <w:i/>
          <w:iCs/>
        </w:rPr>
        <w:t>The Elizabethan Top Ten</w:t>
      </w:r>
      <w:r w:rsidR="008F16FC">
        <w:rPr>
          <w:rFonts w:ascii="Garamond" w:hAnsi="Garamond"/>
          <w:i/>
          <w:iCs/>
        </w:rPr>
        <w:t>,</w:t>
      </w:r>
      <w:r w:rsidRPr="003B1071">
        <w:rPr>
          <w:rFonts w:ascii="Garamond" w:hAnsi="Garamond"/>
        </w:rPr>
        <w:t xml:space="preserve"> ed. Andy Kesson and Emma Smith (London: Ashgate, 2013), pp. 193-202 (p. 193). </w:t>
      </w:r>
    </w:p>
  </w:footnote>
  <w:footnote w:id="615">
    <w:p w14:paraId="120FDFCC" w14:textId="0BF30302"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Alan Farmer and Zachary Lesser, ‘What is Print Popularity? A Map of the Elizabethan Book Trade’ in </w:t>
      </w:r>
      <w:r w:rsidRPr="003B1071">
        <w:rPr>
          <w:rFonts w:ascii="Garamond" w:hAnsi="Garamond"/>
          <w:i/>
          <w:iCs/>
        </w:rPr>
        <w:t xml:space="preserve">The Elizabethan Top Ten, </w:t>
      </w:r>
      <w:r w:rsidRPr="003B1071">
        <w:rPr>
          <w:rFonts w:ascii="Garamond" w:hAnsi="Garamond"/>
        </w:rPr>
        <w:t xml:space="preserve">pp. 19-54 (p. 31, Fig. 1.1). </w:t>
      </w:r>
    </w:p>
  </w:footnote>
  <w:footnote w:id="616">
    <w:p w14:paraId="06094A1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Quoted in Rigney, ‘Sermons’, p. 204.</w:t>
      </w:r>
    </w:p>
  </w:footnote>
  <w:footnote w:id="617">
    <w:p w14:paraId="2D6BF19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Farmer and Lesser, ‘Popularity’, p. 48. </w:t>
      </w:r>
    </w:p>
  </w:footnote>
  <w:footnote w:id="618">
    <w:p w14:paraId="211F8E76" w14:textId="142E49FD"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Peter Blayney, </w:t>
      </w:r>
      <w:r w:rsidRPr="003B1071">
        <w:rPr>
          <w:rFonts w:ascii="Garamond" w:hAnsi="Garamond" w:cs="Times"/>
          <w:color w:val="222222"/>
          <w:shd w:val="clear" w:color="auto" w:fill="FFFFFF"/>
        </w:rPr>
        <w:t>‘The alleged popularity of playbooks’, in </w:t>
      </w:r>
      <w:r w:rsidRPr="003B1071">
        <w:rPr>
          <w:rFonts w:ascii="Garamond" w:hAnsi="Garamond" w:cs="Times"/>
          <w:i/>
          <w:iCs/>
          <w:color w:val="222222"/>
          <w:shd w:val="clear" w:color="auto" w:fill="FFFFFF"/>
        </w:rPr>
        <w:t>Shakespeare Quarterly</w:t>
      </w:r>
      <w:r w:rsidRPr="003B1071">
        <w:rPr>
          <w:rFonts w:ascii="Garamond" w:hAnsi="Garamond" w:cs="Times"/>
          <w:color w:val="222222"/>
          <w:shd w:val="clear" w:color="auto" w:fill="FFFFFF"/>
        </w:rPr>
        <w:t>, 56.1 (2005), 33-50, in which Blayney argues for the relative popularity of sermons in opposition to playbooks;</w:t>
      </w:r>
      <w:r w:rsidRPr="003B1071">
        <w:rPr>
          <w:rFonts w:ascii="Garamond" w:hAnsi="Garamond"/>
        </w:rPr>
        <w:t xml:space="preserve"> Michael Saenger, </w:t>
      </w:r>
      <w:r w:rsidRPr="003B1071">
        <w:rPr>
          <w:rFonts w:ascii="Garamond" w:hAnsi="Garamond"/>
          <w:i/>
        </w:rPr>
        <w:t xml:space="preserve">The Commodification of Textual Engagements in the English Renaissance </w:t>
      </w:r>
      <w:r w:rsidRPr="003B1071">
        <w:rPr>
          <w:rFonts w:ascii="Garamond" w:hAnsi="Garamond"/>
        </w:rPr>
        <w:t>(Aldershot: Ashgate, 2006)</w:t>
      </w:r>
      <w:r>
        <w:rPr>
          <w:rFonts w:ascii="Garamond" w:hAnsi="Garamond"/>
        </w:rPr>
        <w:t>,</w:t>
      </w:r>
      <w:r w:rsidRPr="003B1071">
        <w:rPr>
          <w:rFonts w:ascii="Garamond" w:hAnsi="Garamond"/>
        </w:rPr>
        <w:t xml:space="preserve"> pp. 127-8. </w:t>
      </w:r>
    </w:p>
  </w:footnote>
  <w:footnote w:id="619">
    <w:p w14:paraId="52A91A9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bookmarkStart w:id="68" w:name="_Hlk531594593"/>
      <w:r w:rsidRPr="003B1071">
        <w:rPr>
          <w:rFonts w:ascii="Garamond" w:hAnsi="Garamond"/>
        </w:rPr>
        <w:t xml:space="preserve">John Whitgift, </w:t>
      </w:r>
      <w:r w:rsidRPr="003B1071">
        <w:rPr>
          <w:rFonts w:ascii="Garamond" w:hAnsi="Garamond"/>
          <w:i/>
          <w:iCs/>
        </w:rPr>
        <w:t xml:space="preserve">A Godlie Sermon </w:t>
      </w:r>
      <w:r w:rsidRPr="003B1071">
        <w:rPr>
          <w:rFonts w:ascii="Garamond" w:hAnsi="Garamond"/>
        </w:rPr>
        <w:t>(London: 1574), B5v</w:t>
      </w:r>
      <w:bookmarkEnd w:id="68"/>
      <w:r w:rsidRPr="003B1071">
        <w:rPr>
          <w:rFonts w:ascii="Garamond" w:hAnsi="Garamond"/>
        </w:rPr>
        <w:t xml:space="preserve">-B6r. </w:t>
      </w:r>
    </w:p>
  </w:footnote>
  <w:footnote w:id="620">
    <w:p w14:paraId="3C6DBE8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Whitgift, B6v-B7r.  </w:t>
      </w:r>
    </w:p>
  </w:footnote>
  <w:footnote w:id="621">
    <w:p w14:paraId="59338A0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Ferrell, ‘Sermons’, p. 198.</w:t>
      </w:r>
    </w:p>
  </w:footnote>
  <w:footnote w:id="622">
    <w:p w14:paraId="294201FC" w14:textId="04C729F0"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Paul J. Voss, ‘Books for Sale: Advertising and Patronage in Late Elizabethan England’ in </w:t>
      </w:r>
      <w:r w:rsidRPr="003B1071">
        <w:rPr>
          <w:rFonts w:ascii="Garamond" w:hAnsi="Garamond"/>
          <w:i/>
        </w:rPr>
        <w:t xml:space="preserve">The Sixteenth Century Journal, </w:t>
      </w:r>
      <w:r w:rsidRPr="003B1071">
        <w:rPr>
          <w:rFonts w:ascii="Garamond" w:hAnsi="Garamond"/>
        </w:rPr>
        <w:t xml:space="preserve">29.3 (Autumn 1998), 733-756 (p. 746). </w:t>
      </w:r>
    </w:p>
  </w:footnote>
  <w:footnote w:id="623">
    <w:p w14:paraId="6452EE2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Rigney, ‘Sermons’, p. 198. </w:t>
      </w:r>
    </w:p>
  </w:footnote>
  <w:footnote w:id="624">
    <w:p w14:paraId="5C87EEB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D.F. McKenzie, </w:t>
      </w:r>
      <w:r w:rsidRPr="003B1071">
        <w:rPr>
          <w:rFonts w:ascii="Garamond" w:hAnsi="Garamond"/>
          <w:i/>
          <w:iCs/>
        </w:rPr>
        <w:t xml:space="preserve">Making Meaning </w:t>
      </w:r>
      <w:r w:rsidRPr="003B1071">
        <w:rPr>
          <w:rFonts w:ascii="Garamond" w:hAnsi="Garamond"/>
          <w:iCs/>
        </w:rPr>
        <w:t>(Boston: University of Massachusetts Press, 2002),</w:t>
      </w:r>
      <w:r w:rsidRPr="003B1071">
        <w:rPr>
          <w:rFonts w:ascii="Garamond" w:hAnsi="Garamond"/>
        </w:rPr>
        <w:t xml:space="preserve"> p. 241. </w:t>
      </w:r>
    </w:p>
  </w:footnote>
  <w:footnote w:id="625">
    <w:p w14:paraId="65DDCF6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bookmarkStart w:id="69" w:name="_Hlk531594767"/>
      <w:r w:rsidRPr="003B1071">
        <w:rPr>
          <w:rFonts w:ascii="Garamond" w:hAnsi="Garamond"/>
        </w:rPr>
        <w:t xml:space="preserve">Edward Vaughan, </w:t>
      </w:r>
      <w:r w:rsidRPr="003B1071">
        <w:rPr>
          <w:rFonts w:ascii="Garamond" w:hAnsi="Garamond"/>
          <w:i/>
          <w:iCs/>
        </w:rPr>
        <w:t xml:space="preserve">A plaine and perfect method </w:t>
      </w:r>
      <w:r w:rsidRPr="003B1071">
        <w:rPr>
          <w:rFonts w:ascii="Garamond" w:hAnsi="Garamond"/>
        </w:rPr>
        <w:t xml:space="preserve">(London: 1617), </w:t>
      </w:r>
      <w:bookmarkEnd w:id="69"/>
      <w:r w:rsidRPr="003B1071">
        <w:rPr>
          <w:rFonts w:ascii="Garamond" w:hAnsi="Garamond"/>
        </w:rPr>
        <w:t xml:space="preserve">p. 29. </w:t>
      </w:r>
    </w:p>
  </w:footnote>
  <w:footnote w:id="626">
    <w:p w14:paraId="096B667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Day (1615), A2v. </w:t>
      </w:r>
    </w:p>
  </w:footnote>
  <w:footnote w:id="627">
    <w:p w14:paraId="78476D5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Rigney, ‘Sermons’, p. 200. </w:t>
      </w:r>
    </w:p>
  </w:footnote>
  <w:footnote w:id="628">
    <w:p w14:paraId="673BDCE8" w14:textId="67A0973B" w:rsidR="00814479" w:rsidRPr="003B1071" w:rsidRDefault="00814479" w:rsidP="00162224">
      <w:pPr>
        <w:pStyle w:val="FootnoteText"/>
        <w:rPr>
          <w:rFonts w:ascii="Garamond" w:hAnsi="Garamond"/>
          <w:iCs/>
        </w:rPr>
      </w:pPr>
      <w:r w:rsidRPr="003B1071">
        <w:rPr>
          <w:rStyle w:val="FootnoteReference"/>
          <w:rFonts w:ascii="Garamond" w:hAnsi="Garamond"/>
        </w:rPr>
        <w:footnoteRef/>
      </w:r>
      <w:r w:rsidRPr="003B1071">
        <w:rPr>
          <w:rFonts w:ascii="Garamond" w:hAnsi="Garamond"/>
        </w:rPr>
        <w:t xml:space="preserve"> This was however a deeply complex issue, and historians are still debating how the primacy of the senses was viewed in early modern England. Thomas Frangenberg and Walter Ong have suggested that sight </w:t>
      </w:r>
      <w:proofErr w:type="gramStart"/>
      <w:r w:rsidRPr="003B1071">
        <w:rPr>
          <w:rFonts w:ascii="Garamond" w:hAnsi="Garamond"/>
        </w:rPr>
        <w:t>was seen as</w:t>
      </w:r>
      <w:proofErr w:type="gramEnd"/>
      <w:r w:rsidRPr="003B1071">
        <w:rPr>
          <w:rFonts w:ascii="Garamond" w:hAnsi="Garamond"/>
        </w:rPr>
        <w:t xml:space="preserve"> the sense which led to enlightenment, with the world being conceived as legible Raminian system. See Frangenberg, pp. 71-77, and Ong pp. 115-20. However, Christopher Marsh, Bryan Crocket and Arnold Hunt, among others agree that the early modern period was an aural culture, see Marsh pp. 10-11; Crockett, ‘</w:t>
      </w:r>
      <w:r>
        <w:rPr>
          <w:rFonts w:ascii="Garamond" w:hAnsi="Garamond"/>
        </w:rPr>
        <w:t>“</w:t>
      </w:r>
      <w:r w:rsidRPr="003B1071">
        <w:rPr>
          <w:rFonts w:ascii="Garamond" w:hAnsi="Garamond"/>
        </w:rPr>
        <w:t>Holy Cozenage</w:t>
      </w:r>
      <w:r>
        <w:rPr>
          <w:rFonts w:ascii="Garamond" w:hAnsi="Garamond"/>
        </w:rPr>
        <w:t>”</w:t>
      </w:r>
      <w:r w:rsidRPr="003B1071">
        <w:rPr>
          <w:rFonts w:ascii="Garamond" w:hAnsi="Garamond"/>
        </w:rPr>
        <w:t xml:space="preserve"> and the Renaissance Cult of the Ear’ in </w:t>
      </w:r>
      <w:r w:rsidRPr="003B1071">
        <w:rPr>
          <w:rFonts w:ascii="Garamond" w:hAnsi="Garamond"/>
          <w:i/>
        </w:rPr>
        <w:t>The Sixteenth Century Journal</w:t>
      </w:r>
      <w:r w:rsidRPr="003B1071">
        <w:rPr>
          <w:rFonts w:ascii="Garamond" w:hAnsi="Garamond"/>
        </w:rPr>
        <w:t xml:space="preserve">, 24.1 (Spring, 1993) 47-65; Hunt, </w:t>
      </w:r>
      <w:r w:rsidRPr="003B1071">
        <w:rPr>
          <w:rFonts w:ascii="Garamond" w:hAnsi="Garamond"/>
          <w:i/>
          <w:iCs/>
        </w:rPr>
        <w:t xml:space="preserve">The Art of Hearing: English preachers and their audiences, 1590-1640 </w:t>
      </w:r>
      <w:r w:rsidRPr="003B1071">
        <w:rPr>
          <w:rFonts w:ascii="Garamond" w:hAnsi="Garamond"/>
          <w:iCs/>
        </w:rPr>
        <w:t>(Cambridge: Cambridge University Press, 2010),</w:t>
      </w:r>
      <w:r w:rsidRPr="003B1071">
        <w:rPr>
          <w:rFonts w:ascii="Garamond" w:hAnsi="Garamond"/>
        </w:rPr>
        <w:t xml:space="preserve"> pp. 22-25.  </w:t>
      </w:r>
    </w:p>
  </w:footnote>
  <w:footnote w:id="629">
    <w:p w14:paraId="7E9692CF" w14:textId="77777777" w:rsidR="00814479" w:rsidRPr="00667CD5" w:rsidRDefault="00814479" w:rsidP="00162224">
      <w:pPr>
        <w:pStyle w:val="FootnoteText"/>
        <w:rPr>
          <w:rFonts w:ascii="Garamond" w:hAnsi="Garamond"/>
          <w:lang w:val="sv-SE"/>
        </w:rPr>
      </w:pPr>
      <w:r w:rsidRPr="003B1071">
        <w:rPr>
          <w:rStyle w:val="FootnoteReference"/>
          <w:rFonts w:ascii="Garamond" w:hAnsi="Garamond"/>
        </w:rPr>
        <w:footnoteRef/>
      </w:r>
      <w:r w:rsidRPr="00667CD5">
        <w:rPr>
          <w:rFonts w:ascii="Garamond" w:hAnsi="Garamond"/>
          <w:lang w:val="sv-SE"/>
        </w:rPr>
        <w:t xml:space="preserve"> </w:t>
      </w:r>
      <w:r w:rsidRPr="00667CD5">
        <w:rPr>
          <w:rFonts w:ascii="Garamond" w:hAnsi="Garamond"/>
          <w:i/>
          <w:lang w:val="sv-SE"/>
        </w:rPr>
        <w:t xml:space="preserve">Sermons, </w:t>
      </w:r>
      <w:r w:rsidRPr="00667CD5">
        <w:rPr>
          <w:rFonts w:ascii="Garamond" w:hAnsi="Garamond"/>
          <w:lang w:val="sv-SE"/>
        </w:rPr>
        <w:t xml:space="preserve">VI.10, p. 217.  </w:t>
      </w:r>
    </w:p>
  </w:footnote>
  <w:footnote w:id="630">
    <w:p w14:paraId="718B09EE" w14:textId="77777777" w:rsidR="00814479" w:rsidRPr="00667CD5" w:rsidRDefault="00814479" w:rsidP="00162224">
      <w:pPr>
        <w:pStyle w:val="FootnoteText"/>
        <w:rPr>
          <w:rFonts w:ascii="Garamond" w:hAnsi="Garamond"/>
          <w:lang w:val="sv-SE"/>
        </w:rPr>
      </w:pPr>
      <w:r w:rsidRPr="003B1071">
        <w:rPr>
          <w:rStyle w:val="FootnoteReference"/>
          <w:rFonts w:ascii="Garamond" w:hAnsi="Garamond"/>
        </w:rPr>
        <w:footnoteRef/>
      </w:r>
      <w:r w:rsidRPr="00667CD5">
        <w:rPr>
          <w:rFonts w:ascii="Garamond" w:hAnsi="Garamond"/>
          <w:lang w:val="sv-SE"/>
        </w:rPr>
        <w:t xml:space="preserve"> Hunt, p. 98.  </w:t>
      </w:r>
    </w:p>
  </w:footnote>
  <w:footnote w:id="631">
    <w:p w14:paraId="7E08DDA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John Downame, </w:t>
      </w:r>
      <w:r w:rsidRPr="003B1071">
        <w:rPr>
          <w:rFonts w:ascii="Garamond" w:hAnsi="Garamond"/>
          <w:i/>
          <w:iCs/>
        </w:rPr>
        <w:t xml:space="preserve">Guide to Godlynesse </w:t>
      </w:r>
      <w:r w:rsidRPr="003B1071">
        <w:rPr>
          <w:rFonts w:ascii="Garamond" w:hAnsi="Garamond"/>
        </w:rPr>
        <w:t>(London: 1622),</w:t>
      </w:r>
      <w:r w:rsidRPr="003B1071">
        <w:rPr>
          <w:rFonts w:ascii="Garamond" w:hAnsi="Garamond"/>
          <w:i/>
          <w:iCs/>
        </w:rPr>
        <w:t xml:space="preserve"> </w:t>
      </w:r>
      <w:r w:rsidRPr="003B1071">
        <w:rPr>
          <w:rFonts w:ascii="Garamond" w:hAnsi="Garamond"/>
        </w:rPr>
        <w:t xml:space="preserve">2T6r. </w:t>
      </w:r>
    </w:p>
  </w:footnote>
  <w:footnote w:id="632">
    <w:p w14:paraId="352D3D8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Cited in Hunt, p. 99. </w:t>
      </w:r>
    </w:p>
  </w:footnote>
  <w:footnote w:id="633">
    <w:p w14:paraId="239ED58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Donne, </w:t>
      </w:r>
      <w:r w:rsidRPr="003B1071">
        <w:rPr>
          <w:rFonts w:ascii="Garamond" w:hAnsi="Garamond"/>
          <w:i/>
          <w:iCs/>
        </w:rPr>
        <w:t xml:space="preserve">Sermons, </w:t>
      </w:r>
      <w:r w:rsidRPr="003B1071">
        <w:rPr>
          <w:rFonts w:ascii="Garamond" w:hAnsi="Garamond"/>
        </w:rPr>
        <w:t xml:space="preserve">II.2, p. 73.   </w:t>
      </w:r>
    </w:p>
  </w:footnote>
  <w:footnote w:id="634">
    <w:p w14:paraId="1F72D30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McKenzie, p. 238. Other critics have plotted the relationship between the spoken and written word in the period. See Jack Goody, </w:t>
      </w:r>
      <w:r w:rsidRPr="003B1071">
        <w:rPr>
          <w:rFonts w:ascii="Garamond" w:hAnsi="Garamond"/>
          <w:i/>
          <w:iCs/>
        </w:rPr>
        <w:t xml:space="preserve">The Interface between the Written and the Oral </w:t>
      </w:r>
      <w:r w:rsidRPr="003B1071">
        <w:rPr>
          <w:rFonts w:ascii="Garamond" w:hAnsi="Garamond"/>
        </w:rPr>
        <w:t xml:space="preserve">(Cambridge: Cambridge University Press, 1988); Adam Fox, </w:t>
      </w:r>
      <w:r w:rsidRPr="003B1071">
        <w:rPr>
          <w:rFonts w:ascii="Garamond" w:hAnsi="Garamond"/>
          <w:i/>
          <w:iCs/>
        </w:rPr>
        <w:t xml:space="preserve">Oral and Literate Culture in England 1500–1700 </w:t>
      </w:r>
      <w:r w:rsidRPr="003B1071">
        <w:rPr>
          <w:rFonts w:ascii="Garamond" w:hAnsi="Garamond"/>
        </w:rPr>
        <w:t xml:space="preserve">(Oxford: Oxford University Press, 2000) and Fox and Daniel Woolf, </w:t>
      </w:r>
      <w:r w:rsidRPr="003B1071">
        <w:rPr>
          <w:rFonts w:ascii="Garamond" w:hAnsi="Garamond"/>
          <w:i/>
          <w:iCs/>
        </w:rPr>
        <w:t xml:space="preserve">The Spoken Word: Oral Culture in Britain, 1500–1850 </w:t>
      </w:r>
      <w:r w:rsidRPr="003B1071">
        <w:rPr>
          <w:rFonts w:ascii="Garamond" w:hAnsi="Garamond"/>
        </w:rPr>
        <w:t xml:space="preserve">(Manchester: Manchester University Press, 2002). </w:t>
      </w:r>
    </w:p>
  </w:footnote>
  <w:footnote w:id="635">
    <w:p w14:paraId="1316300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McKenzie, p. 251.  </w:t>
      </w:r>
    </w:p>
  </w:footnote>
  <w:footnote w:id="636">
    <w:p w14:paraId="553D1B6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Donne, </w:t>
      </w:r>
      <w:r w:rsidRPr="003B1071">
        <w:rPr>
          <w:rFonts w:ascii="Garamond" w:hAnsi="Garamond"/>
          <w:i/>
          <w:iCs/>
        </w:rPr>
        <w:t xml:space="preserve">Letters to severall persons of honour </w:t>
      </w:r>
      <w:r w:rsidRPr="003B1071">
        <w:rPr>
          <w:rFonts w:ascii="Garamond" w:hAnsi="Garamond"/>
        </w:rPr>
        <w:t xml:space="preserve">(London: 1651), p. 154. </w:t>
      </w:r>
    </w:p>
  </w:footnote>
  <w:footnote w:id="637">
    <w:p w14:paraId="2451850E"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w:t>
      </w:r>
      <w:r w:rsidRPr="003B1071">
        <w:rPr>
          <w:rFonts w:ascii="Garamond" w:hAnsi="Garamond"/>
          <w:i/>
          <w:iCs/>
          <w:lang w:val="fr-FR"/>
        </w:rPr>
        <w:t xml:space="preserve">, Letters, </w:t>
      </w:r>
      <w:r w:rsidRPr="003B1071">
        <w:rPr>
          <w:rFonts w:ascii="Garamond" w:hAnsi="Garamond"/>
          <w:lang w:val="fr-FR"/>
        </w:rPr>
        <w:t xml:space="preserve">p. 309. </w:t>
      </w:r>
    </w:p>
  </w:footnote>
  <w:footnote w:id="638">
    <w:p w14:paraId="666A31DD"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lang w:val="fr-FR"/>
        </w:rPr>
        <w:t xml:space="preserve">Letters, </w:t>
      </w:r>
      <w:r w:rsidRPr="003B1071">
        <w:rPr>
          <w:rFonts w:ascii="Garamond" w:hAnsi="Garamond"/>
          <w:lang w:val="fr-FR"/>
        </w:rPr>
        <w:t xml:space="preserve">p. 308. </w:t>
      </w:r>
    </w:p>
  </w:footnote>
  <w:footnote w:id="639">
    <w:p w14:paraId="1307EBF1" w14:textId="77777777" w:rsidR="00814479" w:rsidRPr="003B1071" w:rsidRDefault="00814479" w:rsidP="00162224">
      <w:pPr>
        <w:pStyle w:val="FootnoteText"/>
        <w:rPr>
          <w:rFonts w:ascii="Garamond" w:hAnsi="Garamond"/>
          <w:i/>
          <w:iCs/>
        </w:rPr>
      </w:pPr>
      <w:r w:rsidRPr="003B1071">
        <w:rPr>
          <w:rStyle w:val="FootnoteReference"/>
          <w:rFonts w:ascii="Garamond" w:hAnsi="Garamond"/>
        </w:rPr>
        <w:footnoteRef/>
      </w:r>
      <w:r w:rsidRPr="003B1071">
        <w:rPr>
          <w:rFonts w:ascii="Garamond" w:hAnsi="Garamond"/>
        </w:rPr>
        <w:t xml:space="preserve"> Cribated/cribrated seems to be a neologism here, the </w:t>
      </w:r>
      <w:r w:rsidRPr="003B1071">
        <w:rPr>
          <w:rFonts w:ascii="Garamond" w:hAnsi="Garamond"/>
          <w:i/>
        </w:rPr>
        <w:t>OED</w:t>
      </w:r>
      <w:r w:rsidRPr="003B1071">
        <w:rPr>
          <w:rFonts w:ascii="Garamond" w:hAnsi="Garamond"/>
        </w:rPr>
        <w:t xml:space="preserve"> gives this occurrence in Donne’s letter as the first appearance of ‘Cribrated’ as a verb, stemming from the Latin </w:t>
      </w:r>
      <w:r w:rsidRPr="003B1071">
        <w:rPr>
          <w:rFonts w:ascii="Garamond" w:hAnsi="Garamond"/>
          <w:i/>
          <w:iCs/>
        </w:rPr>
        <w:t>crībrāre</w:t>
      </w:r>
      <w:r w:rsidRPr="003B1071">
        <w:rPr>
          <w:rFonts w:ascii="Garamond" w:hAnsi="Garamond"/>
        </w:rPr>
        <w:t xml:space="preserve"> to sift. ‘Crib’ with the meaning to copy is (according to the </w:t>
      </w:r>
      <w:r w:rsidRPr="003B1071">
        <w:rPr>
          <w:rFonts w:ascii="Garamond" w:hAnsi="Garamond"/>
          <w:i/>
        </w:rPr>
        <w:t>OED</w:t>
      </w:r>
      <w:r w:rsidRPr="003B1071">
        <w:rPr>
          <w:rFonts w:ascii="Garamond" w:hAnsi="Garamond"/>
        </w:rPr>
        <w:t xml:space="preserve">) not in use until the later eighteenth century, although Donne’s use seems to carry something of this meaning. ‘Cribate, v.’, </w:t>
      </w:r>
      <w:r w:rsidRPr="003B1071">
        <w:rPr>
          <w:rFonts w:ascii="Garamond" w:hAnsi="Garamond"/>
          <w:i/>
          <w:iCs/>
        </w:rPr>
        <w:t xml:space="preserve">OED online, </w:t>
      </w:r>
      <w:r w:rsidRPr="003B1071">
        <w:rPr>
          <w:rFonts w:ascii="Garamond" w:hAnsi="Garamond"/>
          <w:iCs/>
        </w:rPr>
        <w:t>Oxford University Press</w:t>
      </w:r>
      <w:r w:rsidRPr="003B1071">
        <w:rPr>
          <w:rFonts w:ascii="Garamond" w:hAnsi="Garamond"/>
          <w:i/>
          <w:iCs/>
        </w:rPr>
        <w:t xml:space="preserve">.  </w:t>
      </w:r>
    </w:p>
  </w:footnote>
  <w:footnote w:id="640">
    <w:p w14:paraId="31F32B4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bookmarkStart w:id="70" w:name="_Hlk532380598"/>
      <w:r w:rsidRPr="003B1071">
        <w:rPr>
          <w:rFonts w:ascii="Garamond" w:hAnsi="Garamond"/>
        </w:rPr>
        <w:t xml:space="preserve">John Favour, </w:t>
      </w:r>
      <w:r w:rsidRPr="003B1071">
        <w:rPr>
          <w:rFonts w:ascii="Garamond" w:hAnsi="Garamond"/>
          <w:i/>
          <w:iCs/>
        </w:rPr>
        <w:t xml:space="preserve">Antiquitie Triumphing over Noveltie </w:t>
      </w:r>
      <w:r w:rsidRPr="003B1071">
        <w:rPr>
          <w:rFonts w:ascii="Garamond" w:hAnsi="Garamond"/>
          <w:iCs/>
        </w:rPr>
        <w:t>(</w:t>
      </w:r>
      <w:r w:rsidRPr="003B1071">
        <w:rPr>
          <w:rFonts w:ascii="Garamond" w:hAnsi="Garamond"/>
        </w:rPr>
        <w:t>London: 1619)</w:t>
      </w:r>
      <w:bookmarkEnd w:id="70"/>
      <w:r w:rsidRPr="003B1071">
        <w:rPr>
          <w:rFonts w:ascii="Garamond" w:hAnsi="Garamond"/>
        </w:rPr>
        <w:t xml:space="preserve">, A5r, A2v. </w:t>
      </w:r>
    </w:p>
  </w:footnote>
  <w:footnote w:id="641">
    <w:p w14:paraId="58D1365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bookmarkStart w:id="71" w:name="_Hlk532380627"/>
      <w:r w:rsidRPr="003B1071">
        <w:rPr>
          <w:rFonts w:ascii="Garamond" w:hAnsi="Garamond"/>
        </w:rPr>
        <w:t xml:space="preserve">Vavasor Powell, </w:t>
      </w:r>
      <w:r w:rsidRPr="003B1071">
        <w:rPr>
          <w:rFonts w:ascii="Garamond" w:hAnsi="Garamond"/>
          <w:i/>
          <w:iCs/>
        </w:rPr>
        <w:t xml:space="preserve">Christ and Moses Exclency </w:t>
      </w:r>
      <w:r w:rsidRPr="003B1071">
        <w:rPr>
          <w:rFonts w:ascii="Garamond" w:hAnsi="Garamond"/>
        </w:rPr>
        <w:t>(London: 1650)</w:t>
      </w:r>
      <w:bookmarkEnd w:id="71"/>
      <w:r w:rsidRPr="003B1071">
        <w:rPr>
          <w:rFonts w:ascii="Garamond" w:hAnsi="Garamond"/>
        </w:rPr>
        <w:t xml:space="preserve">, A4v.  </w:t>
      </w:r>
    </w:p>
  </w:footnote>
  <w:footnote w:id="642">
    <w:p w14:paraId="6D1F5E4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Joseph Hall, </w:t>
      </w:r>
      <w:r w:rsidRPr="003B1071">
        <w:rPr>
          <w:rFonts w:ascii="Garamond" w:hAnsi="Garamond"/>
          <w:i/>
          <w:iCs/>
        </w:rPr>
        <w:t xml:space="preserve">The Passion Sermon preached at Paules Crosse, on Good-Friday April </w:t>
      </w:r>
      <w:proofErr w:type="gramStart"/>
      <w:r w:rsidRPr="003B1071">
        <w:rPr>
          <w:rFonts w:ascii="Garamond" w:hAnsi="Garamond"/>
          <w:i/>
          <w:iCs/>
        </w:rPr>
        <w:t>14</w:t>
      </w:r>
      <w:proofErr w:type="gramEnd"/>
      <w:r w:rsidRPr="003B1071">
        <w:rPr>
          <w:rFonts w:ascii="Garamond" w:hAnsi="Garamond"/>
          <w:i/>
          <w:iCs/>
        </w:rPr>
        <w:t xml:space="preserve"> 1609 </w:t>
      </w:r>
      <w:r w:rsidRPr="003B1071">
        <w:rPr>
          <w:rFonts w:ascii="Garamond" w:hAnsi="Garamond"/>
        </w:rPr>
        <w:t>(London: 1609), A4</w:t>
      </w:r>
    </w:p>
  </w:footnote>
  <w:footnote w:id="643">
    <w:p w14:paraId="676FE6F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Nathaniel Hardy,</w:t>
      </w:r>
      <w:r w:rsidRPr="003B1071">
        <w:rPr>
          <w:rFonts w:ascii="Garamond" w:hAnsi="Garamond"/>
          <w:i/>
        </w:rPr>
        <w:t xml:space="preserve"> Sad Prognostic </w:t>
      </w:r>
      <w:r w:rsidRPr="003B1071">
        <w:rPr>
          <w:rFonts w:ascii="Garamond" w:hAnsi="Garamond"/>
        </w:rPr>
        <w:t xml:space="preserve">(London: 1660), A2-A3. Quoted in Rigney, ‘Sermons’, p. 191. </w:t>
      </w:r>
    </w:p>
  </w:footnote>
  <w:footnote w:id="644">
    <w:p w14:paraId="4AFC553E" w14:textId="034409D6" w:rsidR="00814479" w:rsidRPr="003B1071" w:rsidRDefault="00814479" w:rsidP="00162224">
      <w:pPr>
        <w:pStyle w:val="FootnoteText"/>
        <w:rPr>
          <w:rFonts w:ascii="Garamond" w:hAnsi="Garamond"/>
          <w:i/>
        </w:rPr>
      </w:pPr>
      <w:r w:rsidRPr="003B1071">
        <w:rPr>
          <w:rStyle w:val="FootnoteReference"/>
          <w:rFonts w:ascii="Garamond" w:hAnsi="Garamond"/>
        </w:rPr>
        <w:footnoteRef/>
      </w:r>
      <w:r w:rsidRPr="003B1071">
        <w:rPr>
          <w:rFonts w:ascii="Garamond" w:hAnsi="Garamond"/>
        </w:rPr>
        <w:t xml:space="preserve"> ‘Wanton v.’ in </w:t>
      </w:r>
      <w:r w:rsidRPr="003B1071">
        <w:rPr>
          <w:rFonts w:ascii="Garamond" w:hAnsi="Garamond"/>
          <w:i/>
        </w:rPr>
        <w:t>OED on</w:t>
      </w:r>
      <w:r>
        <w:rPr>
          <w:rFonts w:ascii="Garamond" w:hAnsi="Garamond"/>
          <w:i/>
        </w:rPr>
        <w:t>l</w:t>
      </w:r>
      <w:r w:rsidRPr="003B1071">
        <w:rPr>
          <w:rFonts w:ascii="Garamond" w:hAnsi="Garamond"/>
          <w:i/>
        </w:rPr>
        <w:t xml:space="preserve">ine, </w:t>
      </w:r>
      <w:r w:rsidRPr="003B1071">
        <w:rPr>
          <w:rFonts w:ascii="Garamond" w:hAnsi="Garamond"/>
        </w:rPr>
        <w:t>Oxford University Press.</w:t>
      </w:r>
    </w:p>
  </w:footnote>
  <w:footnote w:id="645">
    <w:p w14:paraId="4D5EF840" w14:textId="77777777" w:rsidR="00814479" w:rsidRPr="003B1071" w:rsidRDefault="00814479" w:rsidP="00162224">
      <w:pPr>
        <w:contextualSpacing/>
        <w:rPr>
          <w:rFonts w:ascii="Garamond" w:hAnsi="Garamond"/>
          <w:sz w:val="20"/>
          <w:szCs w:val="20"/>
        </w:rPr>
      </w:pPr>
      <w:r w:rsidRPr="003B1071">
        <w:rPr>
          <w:rStyle w:val="FootnoteReference"/>
          <w:rFonts w:ascii="Garamond" w:hAnsi="Garamond"/>
          <w:sz w:val="20"/>
          <w:szCs w:val="20"/>
        </w:rPr>
        <w:footnoteRef/>
      </w:r>
      <w:r w:rsidRPr="003B1071">
        <w:rPr>
          <w:rFonts w:ascii="Garamond" w:hAnsi="Garamond"/>
          <w:sz w:val="20"/>
          <w:szCs w:val="20"/>
        </w:rPr>
        <w:t xml:space="preserve"> See </w:t>
      </w:r>
      <w:bookmarkStart w:id="73" w:name="_Hlk532151352"/>
      <w:r w:rsidRPr="003B1071">
        <w:rPr>
          <w:rFonts w:ascii="Garamond" w:hAnsi="Garamond"/>
          <w:sz w:val="20"/>
          <w:szCs w:val="20"/>
        </w:rPr>
        <w:t xml:space="preserve">R.B. McKerrow, ‘Booksellers, Printers, and the Stationers’ Trade’ in </w:t>
      </w:r>
      <w:r w:rsidRPr="003B1071">
        <w:rPr>
          <w:rFonts w:ascii="Garamond" w:hAnsi="Garamond"/>
          <w:i/>
          <w:iCs/>
          <w:sz w:val="20"/>
          <w:szCs w:val="20"/>
        </w:rPr>
        <w:t>Shakespeare’s England</w:t>
      </w:r>
      <w:r w:rsidRPr="003B1071">
        <w:rPr>
          <w:rFonts w:ascii="Garamond" w:hAnsi="Garamond"/>
          <w:sz w:val="20"/>
          <w:szCs w:val="20"/>
        </w:rPr>
        <w:t xml:space="preserve"> (Oxford: Clarendon Press, 1916), pp. 212–39</w:t>
      </w:r>
      <w:bookmarkEnd w:id="73"/>
      <w:r w:rsidRPr="003B1071">
        <w:rPr>
          <w:rFonts w:ascii="Garamond" w:hAnsi="Garamond"/>
          <w:sz w:val="20"/>
          <w:szCs w:val="20"/>
        </w:rPr>
        <w:t xml:space="preserve"> (p. 231).</w:t>
      </w:r>
    </w:p>
  </w:footnote>
  <w:footnote w:id="646">
    <w:p w14:paraId="4F668917" w14:textId="7DE040EA"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Ben Jonson forbid the bookseller responsible for his poems from putting ‘my title-leafe on posts, or walls… For termers, or some clerk-like serving man, / Who scarce can spell th’hard </w:t>
      </w:r>
      <w:proofErr w:type="gramStart"/>
      <w:r w:rsidRPr="003B1071">
        <w:rPr>
          <w:rFonts w:ascii="Garamond" w:hAnsi="Garamond"/>
        </w:rPr>
        <w:t>names’</w:t>
      </w:r>
      <w:proofErr w:type="gramEnd"/>
      <w:r w:rsidRPr="003B1071">
        <w:rPr>
          <w:rFonts w:ascii="Garamond" w:hAnsi="Garamond"/>
        </w:rPr>
        <w:t xml:space="preserve">. Epigrammes in </w:t>
      </w:r>
      <w:r w:rsidRPr="003B1071">
        <w:rPr>
          <w:rFonts w:ascii="Garamond" w:hAnsi="Garamond"/>
          <w:i/>
          <w:iCs/>
        </w:rPr>
        <w:t xml:space="preserve">Workes </w:t>
      </w:r>
      <w:r w:rsidRPr="003B1071">
        <w:rPr>
          <w:rFonts w:ascii="Garamond" w:hAnsi="Garamond"/>
        </w:rPr>
        <w:t xml:space="preserve">(London: 1616), p. 770. </w:t>
      </w:r>
    </w:p>
  </w:footnote>
  <w:footnote w:id="647">
    <w:p w14:paraId="2BA6090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Tiffany Stern, </w:t>
      </w:r>
      <w:r w:rsidRPr="003B1071">
        <w:rPr>
          <w:rFonts w:ascii="Garamond" w:hAnsi="Garamond"/>
          <w:i/>
          <w:iCs/>
        </w:rPr>
        <w:t>Documents of Performance in Early Modern England</w:t>
      </w:r>
      <w:r w:rsidRPr="003B1071">
        <w:rPr>
          <w:rFonts w:ascii="Garamond" w:hAnsi="Garamond"/>
        </w:rPr>
        <w:t xml:space="preserve"> (Cambridge: Cambridge University Press, 2009), p. 62. </w:t>
      </w:r>
    </w:p>
  </w:footnote>
  <w:footnote w:id="648">
    <w:p w14:paraId="1BB52AE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Mary Morrissey similarly argues that we can ‘postulate an element of symbiosis in the relationship between the booksellers of Paul’s Churchyard and the preachers who delivered sermons at the Cross’, p. 5. </w:t>
      </w:r>
    </w:p>
  </w:footnote>
  <w:footnote w:id="649">
    <w:p w14:paraId="103CE10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Peter Blayney, </w:t>
      </w:r>
      <w:r w:rsidRPr="003B1071">
        <w:rPr>
          <w:rFonts w:ascii="Garamond" w:hAnsi="Garamond"/>
          <w:i/>
        </w:rPr>
        <w:t xml:space="preserve">The Bookshops in Paul’s Cross Churchyard </w:t>
      </w:r>
      <w:r w:rsidRPr="003B1071">
        <w:rPr>
          <w:rFonts w:ascii="Garamond" w:hAnsi="Garamond"/>
        </w:rPr>
        <w:t xml:space="preserve">(London: Bibliographical Society, 1990), p. 5. </w:t>
      </w:r>
    </w:p>
  </w:footnote>
  <w:footnote w:id="650">
    <w:p w14:paraId="0A927B7B" w14:textId="3D8871C5" w:rsidR="00814479" w:rsidRPr="003B1071" w:rsidRDefault="00814479" w:rsidP="00162224">
      <w:pPr>
        <w:pStyle w:val="FootnoteText"/>
        <w:rPr>
          <w:rFonts w:ascii="Garamond" w:hAnsi="Garamond"/>
          <w:bCs/>
        </w:rPr>
      </w:pPr>
      <w:r w:rsidRPr="003B1071">
        <w:rPr>
          <w:rStyle w:val="FootnoteReference"/>
          <w:rFonts w:ascii="Garamond" w:hAnsi="Garamond"/>
        </w:rPr>
        <w:footnoteRef/>
      </w:r>
      <w:r w:rsidRPr="003B1071">
        <w:rPr>
          <w:rFonts w:ascii="Garamond" w:hAnsi="Garamond"/>
        </w:rPr>
        <w:t xml:space="preserve"> Farmer and Lesser</w:t>
      </w:r>
      <w:r>
        <w:rPr>
          <w:rFonts w:ascii="Garamond" w:hAnsi="Garamond"/>
        </w:rPr>
        <w:t>,</w:t>
      </w:r>
      <w:r w:rsidRPr="003B1071">
        <w:rPr>
          <w:rFonts w:ascii="Garamond" w:hAnsi="Garamond"/>
        </w:rPr>
        <w:t xml:space="preserve"> </w:t>
      </w:r>
      <w:r>
        <w:rPr>
          <w:rFonts w:ascii="Garamond" w:hAnsi="Garamond"/>
        </w:rPr>
        <w:t>‘</w:t>
      </w:r>
      <w:r w:rsidRPr="003B1071">
        <w:rPr>
          <w:rFonts w:ascii="Garamond" w:hAnsi="Garamond"/>
          <w:bCs/>
        </w:rPr>
        <w:t xml:space="preserve">Vile Arts: The Marketing of English Printed Drama, 1512-1660’ in </w:t>
      </w:r>
      <w:r w:rsidRPr="003B1071">
        <w:rPr>
          <w:rFonts w:ascii="Garamond" w:hAnsi="Garamond"/>
          <w:bCs/>
          <w:i/>
          <w:iCs/>
        </w:rPr>
        <w:t>Research Opportunities in Renaissance Drama,</w:t>
      </w:r>
      <w:r w:rsidRPr="003B1071">
        <w:rPr>
          <w:rFonts w:ascii="Garamond" w:hAnsi="Garamond"/>
          <w:bCs/>
        </w:rPr>
        <w:t> 39 (2000), 77-165 (</w:t>
      </w:r>
      <w:r w:rsidRPr="003B1071">
        <w:rPr>
          <w:rFonts w:ascii="Garamond" w:hAnsi="Garamond"/>
        </w:rPr>
        <w:t xml:space="preserve">p. 81). </w:t>
      </w:r>
    </w:p>
  </w:footnote>
  <w:footnote w:id="651">
    <w:p w14:paraId="3097C34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Farmer and Lesser, ‘Vile Arts’, p. 80. </w:t>
      </w:r>
    </w:p>
  </w:footnote>
  <w:footnote w:id="652">
    <w:p w14:paraId="492C1B7E" w14:textId="16D6915F"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To find my data set, I used EEBO, searching the ‘Record Keyword(s)’ for ‘sermon’ or ‘Sermons’; and the ‘Title keyword(s)’ for ‘Sermon or sermons’ in the date range 1620 to 1642, including variant spellings.  This may have not included all sermons published in this time, but as this search brought up 970 records, this seemed a reasonable sample. These 970 records included many books that were predominantly material other than sermons</w:t>
      </w:r>
      <w:r>
        <w:rPr>
          <w:rFonts w:ascii="Garamond" w:hAnsi="Garamond"/>
        </w:rPr>
        <w:t xml:space="preserve"> </w:t>
      </w:r>
      <w:r w:rsidRPr="003B1071">
        <w:rPr>
          <w:rFonts w:ascii="Garamond" w:hAnsi="Garamond"/>
        </w:rPr>
        <w:t>or proclaimed themselves as being ‘based on a sermon’ rather than a sermon itself,</w:t>
      </w:r>
      <w:r>
        <w:rPr>
          <w:rFonts w:ascii="Garamond" w:hAnsi="Garamond"/>
        </w:rPr>
        <w:t xml:space="preserve"> such as George Abbot, </w:t>
      </w:r>
      <w:r w:rsidRPr="001117A3">
        <w:rPr>
          <w:rFonts w:ascii="Garamond" w:hAnsi="Garamond"/>
          <w:i/>
        </w:rPr>
        <w:t xml:space="preserve">Cheap-side crosse censured and condemned… also some divine arguments taken out of a sermon against the </w:t>
      </w:r>
      <w:proofErr w:type="spellStart"/>
      <w:r w:rsidRPr="001117A3">
        <w:rPr>
          <w:rFonts w:ascii="Garamond" w:hAnsi="Garamond"/>
          <w:i/>
        </w:rPr>
        <w:t>crosse</w:t>
      </w:r>
      <w:proofErr w:type="spellEnd"/>
      <w:r>
        <w:rPr>
          <w:rFonts w:ascii="Garamond" w:hAnsi="Garamond"/>
        </w:rPr>
        <w:t xml:space="preserve"> (London, 1641)</w:t>
      </w:r>
      <w:r w:rsidRPr="003B1071">
        <w:rPr>
          <w:rFonts w:ascii="Garamond" w:hAnsi="Garamond"/>
        </w:rPr>
        <w:t xml:space="preserve"> and I excluded these from the survey. I also did not include duplicates, the nature of EEBO means that copies of the same text taken from different archives or libraries are listed separately. I did however include reprints of sermons from different years, as reprinting would indicate their popularity, and indeed testify to the success of the specific advertising strategies used. Sermons in English, or at least with English title pages were the only ones examined, although in practice there were only a few with title pages in Welsh which were excluded. In sum, I surveyed 704 sermon books printed in the years 1620-1642.  </w:t>
      </w:r>
    </w:p>
  </w:footnote>
  <w:footnote w:id="653">
    <w:p w14:paraId="3C27854B" w14:textId="43BDF34F"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James Rigney, ‘</w:t>
      </w:r>
      <w:r>
        <w:rPr>
          <w:rFonts w:ascii="Garamond" w:hAnsi="Garamond"/>
        </w:rPr>
        <w:t>“</w:t>
      </w:r>
      <w:r w:rsidRPr="003B1071">
        <w:rPr>
          <w:rFonts w:ascii="Garamond" w:hAnsi="Garamond"/>
        </w:rPr>
        <w:t>To lye upon a Stationers stall, like a piece of coarse flesh in a Shambles</w:t>
      </w:r>
      <w:r>
        <w:rPr>
          <w:rFonts w:ascii="Garamond" w:hAnsi="Garamond"/>
        </w:rPr>
        <w:t>”</w:t>
      </w:r>
      <w:r w:rsidRPr="003B1071">
        <w:rPr>
          <w:rFonts w:ascii="Garamond" w:hAnsi="Garamond"/>
        </w:rPr>
        <w:t xml:space="preserve">: the sermon, print, and the English Civil War’ in </w:t>
      </w:r>
      <w:r w:rsidRPr="003B1071">
        <w:rPr>
          <w:rFonts w:ascii="Garamond" w:hAnsi="Garamond"/>
          <w:i/>
        </w:rPr>
        <w:t>The English Sermon revised: Religion, Literature and history 1600-1750</w:t>
      </w:r>
      <w:r w:rsidR="008F16FC">
        <w:rPr>
          <w:rFonts w:ascii="Garamond" w:hAnsi="Garamond"/>
          <w:i/>
        </w:rPr>
        <w:t>,</w:t>
      </w:r>
      <w:r w:rsidRPr="003B1071">
        <w:rPr>
          <w:rFonts w:ascii="Garamond" w:hAnsi="Garamond"/>
          <w:i/>
        </w:rPr>
        <w:t xml:space="preserve"> </w:t>
      </w:r>
      <w:r w:rsidRPr="003B1071">
        <w:rPr>
          <w:rFonts w:ascii="Garamond" w:hAnsi="Garamond"/>
        </w:rPr>
        <w:t xml:space="preserve">ed. by Lori Anne Ferrell and Peter McCullough (Manchester: Manchester University Press, 2000), pp. 188-204, for further discussion of sermons in the Civil War. </w:t>
      </w:r>
    </w:p>
  </w:footnote>
  <w:footnote w:id="654">
    <w:p w14:paraId="533163E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David Como, ‘Print, Censorship, and Ideological Escalation in the English Civil War’ in </w:t>
      </w:r>
      <w:r w:rsidRPr="003B1071">
        <w:rPr>
          <w:rFonts w:ascii="Garamond" w:hAnsi="Garamond"/>
          <w:i/>
        </w:rPr>
        <w:t>Journal of British Studies</w:t>
      </w:r>
      <w:r w:rsidRPr="003B1071">
        <w:rPr>
          <w:rFonts w:ascii="Garamond" w:hAnsi="Garamond"/>
        </w:rPr>
        <w:t xml:space="preserve">, 51.4 (October 2012), 820-857 (p. 822). </w:t>
      </w:r>
    </w:p>
  </w:footnote>
  <w:footnote w:id="655">
    <w:p w14:paraId="28D1ECE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Christopher Hill, ‘Censorship and English Literature’ in </w:t>
      </w:r>
      <w:r w:rsidRPr="003B1071">
        <w:rPr>
          <w:rFonts w:ascii="Garamond" w:hAnsi="Garamond"/>
          <w:i/>
        </w:rPr>
        <w:t>Writing and Revolution in 17th Century England</w:t>
      </w:r>
      <w:r w:rsidRPr="003B1071">
        <w:rPr>
          <w:rFonts w:ascii="Garamond" w:hAnsi="Garamond"/>
        </w:rPr>
        <w:t xml:space="preserve"> (Amherst, MA: The Harvester Press, 1985), pp. 32-71. </w:t>
      </w:r>
    </w:p>
  </w:footnote>
  <w:footnote w:id="656">
    <w:p w14:paraId="187A5A4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Como, pp. 823-7. </w:t>
      </w:r>
    </w:p>
  </w:footnote>
  <w:footnote w:id="657">
    <w:p w14:paraId="28E5E8A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McKenzie, pp. 14-31 for a discussion of the practicalities of the printing house, and the traces they left behind for bibliographers. </w:t>
      </w:r>
    </w:p>
  </w:footnote>
  <w:footnote w:id="658">
    <w:p w14:paraId="171C05F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Morrissey, </w:t>
      </w:r>
      <w:r w:rsidRPr="003B1071">
        <w:rPr>
          <w:rFonts w:ascii="Garamond" w:hAnsi="Garamond"/>
          <w:i/>
          <w:iCs/>
        </w:rPr>
        <w:t xml:space="preserve">Politics, </w:t>
      </w:r>
      <w:r w:rsidRPr="003B1071">
        <w:rPr>
          <w:rFonts w:ascii="Garamond" w:hAnsi="Garamond"/>
        </w:rPr>
        <w:t xml:space="preserve">p. 66. </w:t>
      </w:r>
    </w:p>
  </w:footnote>
  <w:footnote w:id="659">
    <w:p w14:paraId="291ED69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Morrissey, </w:t>
      </w:r>
      <w:r w:rsidRPr="003B1071">
        <w:rPr>
          <w:rFonts w:ascii="Garamond" w:hAnsi="Garamond"/>
          <w:i/>
          <w:iCs/>
        </w:rPr>
        <w:t xml:space="preserve">Politics, </w:t>
      </w:r>
      <w:r w:rsidRPr="003B1071">
        <w:rPr>
          <w:rFonts w:ascii="Garamond" w:hAnsi="Garamond"/>
        </w:rPr>
        <w:t xml:space="preserve">p. 64. </w:t>
      </w:r>
    </w:p>
  </w:footnote>
  <w:footnote w:id="660">
    <w:p w14:paraId="1F1C09BF" w14:textId="33BBB93C"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Keith Wrightson, ‘Popular Senses of Past Time: dating events in the North Country, 1615-1631’ </w:t>
      </w:r>
      <w:r w:rsidRPr="00A721D6">
        <w:rPr>
          <w:rFonts w:ascii="Garamond" w:hAnsi="Garamond"/>
          <w:i/>
        </w:rPr>
        <w:t>Popular Culture and Political Agency in Early Modern England and Ireland</w:t>
      </w:r>
      <w:r w:rsidR="008F16FC">
        <w:rPr>
          <w:rFonts w:ascii="Garamond" w:hAnsi="Garamond"/>
          <w:i/>
        </w:rPr>
        <w:t>,</w:t>
      </w:r>
      <w:r w:rsidRPr="00A721D6">
        <w:rPr>
          <w:rFonts w:ascii="Garamond" w:hAnsi="Garamond"/>
          <w:i/>
        </w:rPr>
        <w:t xml:space="preserve"> </w:t>
      </w:r>
      <w:r w:rsidRPr="00A721D6">
        <w:rPr>
          <w:rFonts w:ascii="Garamond" w:hAnsi="Garamond"/>
        </w:rPr>
        <w:t xml:space="preserve">ed. by Michael Braddick and Keith Wrightson </w:t>
      </w:r>
      <w:r w:rsidRPr="003B1071">
        <w:rPr>
          <w:rFonts w:ascii="Garamond" w:hAnsi="Garamond"/>
        </w:rPr>
        <w:t xml:space="preserve">(Woodbridge: Boydell and Brewer, 2017), pp. 91-108. </w:t>
      </w:r>
    </w:p>
  </w:footnote>
  <w:footnote w:id="661">
    <w:p w14:paraId="11AEAD8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Thomas Wimbledon, </w:t>
      </w:r>
      <w:r w:rsidRPr="003B1071">
        <w:rPr>
          <w:rFonts w:ascii="Garamond" w:hAnsi="Garamond"/>
          <w:i/>
          <w:iCs/>
        </w:rPr>
        <w:t xml:space="preserve">A sermon no lesse fruitefull then famous Preached at Paules Crosse, on the Sunday of quinquagesima, by R. Wimbledon, in the raigne of King Henry the fourth, in the yeere of our Lord. 1388. And found out hid in a wall </w:t>
      </w:r>
      <w:r w:rsidRPr="003B1071">
        <w:rPr>
          <w:rFonts w:ascii="Garamond" w:hAnsi="Garamond"/>
        </w:rPr>
        <w:t xml:space="preserve">(London: 1629, reprinted in 1634 and 1635). </w:t>
      </w:r>
    </w:p>
  </w:footnote>
  <w:footnote w:id="662">
    <w:p w14:paraId="75438594" w14:textId="71831391"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George Winters’ 1657 Almanac, </w:t>
      </w:r>
      <w:r w:rsidRPr="003B1071">
        <w:rPr>
          <w:rFonts w:ascii="Garamond" w:hAnsi="Garamond"/>
        </w:rPr>
        <w:fldChar w:fldCharType="begin"/>
      </w:r>
      <w:r w:rsidRPr="003B1071">
        <w:rPr>
          <w:rFonts w:ascii="Garamond" w:hAnsi="Garamond"/>
        </w:rPr>
        <w:instrText xml:space="preserve"> REF _Ref530143991 \h  \* MERGEFORMAT </w:instrText>
      </w:r>
      <w:r w:rsidRPr="003B1071">
        <w:rPr>
          <w:rFonts w:ascii="Garamond" w:hAnsi="Garamond"/>
        </w:rPr>
      </w:r>
      <w:r w:rsidRPr="003B1071">
        <w:rPr>
          <w:rFonts w:ascii="Garamond" w:hAnsi="Garamond"/>
        </w:rPr>
        <w:fldChar w:fldCharType="separate"/>
      </w:r>
      <w:r w:rsidRPr="003B1071">
        <w:rPr>
          <w:rFonts w:ascii="Garamond" w:hAnsi="Garamond"/>
        </w:rPr>
        <w:t xml:space="preserve">Figure </w:t>
      </w:r>
      <w:r w:rsidRPr="003B1071">
        <w:rPr>
          <w:rFonts w:ascii="Garamond" w:hAnsi="Garamond"/>
          <w:noProof/>
        </w:rPr>
        <w:t>11</w:t>
      </w:r>
      <w:r w:rsidRPr="003B1071">
        <w:rPr>
          <w:rFonts w:ascii="Garamond" w:hAnsi="Garamond"/>
        </w:rPr>
        <w:fldChar w:fldCharType="end"/>
      </w:r>
      <w:r w:rsidRPr="003B1071">
        <w:rPr>
          <w:rFonts w:ascii="Garamond" w:hAnsi="Garamond"/>
        </w:rPr>
        <w:t xml:space="preserve">. </w:t>
      </w:r>
    </w:p>
  </w:footnote>
  <w:footnote w:id="663">
    <w:p w14:paraId="3A687CC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Wrightson, p. 98. </w:t>
      </w:r>
    </w:p>
  </w:footnote>
  <w:footnote w:id="664">
    <w:p w14:paraId="558865A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Moran, p. 9. Whilst this example is obviously continental rather than British, Wrightson and Chapman’s work reveals that the same process was occurring in England and Scotland. </w:t>
      </w:r>
    </w:p>
  </w:footnote>
  <w:footnote w:id="665">
    <w:p w14:paraId="6CB1168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Emma Rhatigan, ‘Preaching Venues: Architecture and Auditories’ in </w:t>
      </w:r>
      <w:r w:rsidRPr="003B1071">
        <w:rPr>
          <w:rFonts w:ascii="Garamond" w:hAnsi="Garamond"/>
          <w:i/>
        </w:rPr>
        <w:t xml:space="preserve">The Oxford Handbook of the Early Modern Sermon </w:t>
      </w:r>
      <w:r w:rsidRPr="003B1071">
        <w:rPr>
          <w:rFonts w:ascii="Garamond" w:hAnsi="Garamond"/>
        </w:rPr>
        <w:t xml:space="preserve">(Oxford: Oxford University Press, 2011), pp. 87-120 (pp. 110-11).  </w:t>
      </w:r>
    </w:p>
  </w:footnote>
  <w:footnote w:id="666">
    <w:p w14:paraId="60B9345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Tom Webster, </w:t>
      </w:r>
      <w:r w:rsidRPr="003B1071">
        <w:rPr>
          <w:rFonts w:ascii="Garamond" w:hAnsi="Garamond"/>
          <w:i/>
        </w:rPr>
        <w:t xml:space="preserve">Godly Clergy in Early Stuart England </w:t>
      </w:r>
      <w:r w:rsidRPr="003B1071">
        <w:rPr>
          <w:rFonts w:ascii="Garamond" w:hAnsi="Garamond"/>
        </w:rPr>
        <w:t xml:space="preserve">(Cambridge University Press, Cambridge: 1997), pp. 61-3. </w:t>
      </w:r>
    </w:p>
  </w:footnote>
  <w:footnote w:id="667">
    <w:p w14:paraId="3C19F9F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GEMMS includes information about sermons from 1530-1715 from both the British Isles and North America, and so is not a perfect point of comparison for my study. </w:t>
      </w:r>
    </w:p>
  </w:footnote>
  <w:footnote w:id="668">
    <w:p w14:paraId="4B969AEB" w14:textId="250945AE"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It perhaps worthy of note that Volume VII, edited Erica Longfellow, takes as its subject </w:t>
      </w:r>
      <w:r>
        <w:rPr>
          <w:rFonts w:ascii="Garamond" w:hAnsi="Garamond"/>
        </w:rPr>
        <w:t>s</w:t>
      </w:r>
      <w:r w:rsidRPr="003B1071">
        <w:rPr>
          <w:rFonts w:ascii="Garamond" w:hAnsi="Garamond"/>
        </w:rPr>
        <w:t xml:space="preserve">ermons Preached at Marriages, Christenings, and Churchings, bringing together sermons that marked key life-cycle events. </w:t>
      </w:r>
    </w:p>
  </w:footnote>
  <w:footnote w:id="669">
    <w:p w14:paraId="6BC219B0" w14:textId="387676E3"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w:t>
      </w:r>
      <w:proofErr w:type="gramStart"/>
      <w:r w:rsidRPr="003B1071">
        <w:rPr>
          <w:rFonts w:ascii="Garamond" w:hAnsi="Garamond"/>
          <w:i/>
        </w:rPr>
        <w:t>The</w:t>
      </w:r>
      <w:proofErr w:type="gramEnd"/>
      <w:r w:rsidRPr="003B1071">
        <w:rPr>
          <w:rFonts w:ascii="Garamond" w:hAnsi="Garamond"/>
          <w:i/>
        </w:rPr>
        <w:t xml:space="preserve"> Sermons of John Donne, in 10 volumes</w:t>
      </w:r>
      <w:r w:rsidR="008F16FC">
        <w:rPr>
          <w:rFonts w:ascii="Garamond" w:hAnsi="Garamond"/>
          <w:i/>
        </w:rPr>
        <w:t>,</w:t>
      </w:r>
      <w:r w:rsidRPr="003B1071">
        <w:rPr>
          <w:rFonts w:ascii="Garamond" w:hAnsi="Garamond"/>
          <w:i/>
        </w:rPr>
        <w:t xml:space="preserve"> </w:t>
      </w:r>
      <w:r w:rsidRPr="003B1071">
        <w:rPr>
          <w:rFonts w:ascii="Garamond" w:hAnsi="Garamond"/>
          <w:iCs/>
        </w:rPr>
        <w:t xml:space="preserve">ed. by George Potter and Evelyn Simpson (Los Angeles: University of California Press, 1653-62) </w:t>
      </w:r>
    </w:p>
  </w:footnote>
  <w:footnote w:id="670">
    <w:p w14:paraId="1060597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Whilst I did not record </w:t>
      </w:r>
      <w:proofErr w:type="gramStart"/>
      <w:r w:rsidRPr="003B1071">
        <w:rPr>
          <w:rFonts w:ascii="Garamond" w:hAnsi="Garamond"/>
        </w:rPr>
        <w:t>whether or not</w:t>
      </w:r>
      <w:proofErr w:type="gramEnd"/>
      <w:r w:rsidRPr="003B1071">
        <w:rPr>
          <w:rFonts w:ascii="Garamond" w:hAnsi="Garamond"/>
        </w:rPr>
        <w:t xml:space="preserve"> these churches were provincial or London- based, from the process of recording I noted a great diversity in the types of church described.  </w:t>
      </w:r>
    </w:p>
  </w:footnote>
  <w:footnote w:id="671">
    <w:p w14:paraId="5B56079F" w14:textId="1556A7F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Whilst books certainly were sold elsewhere in the country and presses published in both Cambridge and Oxford, as Adrian Johns writes ‘for the first two centuries of its existence, the printed book in England was overwhelmingly an artifact of London’. See </w:t>
      </w:r>
      <w:bookmarkStart w:id="75" w:name="_Hlk531609704"/>
      <w:r w:rsidRPr="003B1071">
        <w:rPr>
          <w:rFonts w:ascii="Garamond" w:hAnsi="Garamond"/>
        </w:rPr>
        <w:t xml:space="preserve">Adrian Johns, ‘London and the early modern book’ in </w:t>
      </w:r>
      <w:r w:rsidRPr="003B1071">
        <w:rPr>
          <w:rFonts w:ascii="Garamond" w:hAnsi="Garamond"/>
          <w:i/>
        </w:rPr>
        <w:t>The Cambridge Companion to the Literature of London</w:t>
      </w:r>
      <w:r w:rsidR="008F16FC">
        <w:rPr>
          <w:rFonts w:ascii="Garamond" w:hAnsi="Garamond"/>
          <w:i/>
        </w:rPr>
        <w:t>,</w:t>
      </w:r>
      <w:r w:rsidRPr="003B1071">
        <w:rPr>
          <w:rFonts w:ascii="Garamond" w:hAnsi="Garamond"/>
          <w:i/>
        </w:rPr>
        <w:t xml:space="preserve"> </w:t>
      </w:r>
      <w:r w:rsidRPr="003B1071">
        <w:rPr>
          <w:rFonts w:ascii="Garamond" w:hAnsi="Garamond"/>
        </w:rPr>
        <w:t>ed. Lawrence Manley (Cambridge: Cambridge University Press, 2011) pp. 50-66</w:t>
      </w:r>
      <w:bookmarkEnd w:id="75"/>
      <w:r w:rsidRPr="003B1071">
        <w:rPr>
          <w:rFonts w:ascii="Garamond" w:hAnsi="Garamond"/>
        </w:rPr>
        <w:t xml:space="preserve"> (p. 50). </w:t>
      </w:r>
    </w:p>
  </w:footnote>
  <w:footnote w:id="672">
    <w:p w14:paraId="0E6F383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Nagel and Wood, p. 7. </w:t>
      </w:r>
    </w:p>
  </w:footnote>
  <w:footnote w:id="673">
    <w:p w14:paraId="5BCCDE4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Nagel and Wood, p. 8. </w:t>
      </w:r>
    </w:p>
  </w:footnote>
  <w:footnote w:id="674">
    <w:p w14:paraId="5D779E5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Natalie Zemon Davis is discussing print in France. ‘Printing and the People’ in </w:t>
      </w:r>
      <w:bookmarkStart w:id="77" w:name="_Hlk531610787"/>
      <w:r w:rsidRPr="003B1071">
        <w:rPr>
          <w:rFonts w:ascii="Garamond" w:hAnsi="Garamond"/>
          <w:i/>
        </w:rPr>
        <w:t xml:space="preserve">Society and Culture in Early Modern France </w:t>
      </w:r>
      <w:r w:rsidRPr="003B1071">
        <w:rPr>
          <w:rFonts w:ascii="Garamond" w:hAnsi="Garamond"/>
        </w:rPr>
        <w:t xml:space="preserve">(Stanford: Stanford University Press, 1975), </w:t>
      </w:r>
      <w:bookmarkEnd w:id="77"/>
      <w:r w:rsidRPr="003B1071">
        <w:rPr>
          <w:rFonts w:ascii="Garamond" w:hAnsi="Garamond"/>
        </w:rPr>
        <w:t xml:space="preserve">pp. 189-226. </w:t>
      </w:r>
    </w:p>
  </w:footnote>
  <w:footnote w:id="675">
    <w:p w14:paraId="5102159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Edward </w:t>
      </w:r>
      <w:bookmarkStart w:id="78" w:name="_Hlk531610874"/>
      <w:r w:rsidRPr="003B1071">
        <w:rPr>
          <w:rFonts w:ascii="Garamond" w:hAnsi="Garamond"/>
        </w:rPr>
        <w:t xml:space="preserve">Willan, </w:t>
      </w:r>
      <w:r w:rsidRPr="003B1071">
        <w:rPr>
          <w:rFonts w:ascii="Garamond" w:hAnsi="Garamond"/>
          <w:i/>
          <w:iCs/>
        </w:rPr>
        <w:t xml:space="preserve">Six Sermons </w:t>
      </w:r>
      <w:r w:rsidRPr="003B1071">
        <w:rPr>
          <w:rFonts w:ascii="Garamond" w:hAnsi="Garamond"/>
        </w:rPr>
        <w:t xml:space="preserve">(London: 1651), </w:t>
      </w:r>
      <w:bookmarkEnd w:id="78"/>
      <w:r w:rsidRPr="003B1071">
        <w:rPr>
          <w:rFonts w:ascii="Garamond" w:hAnsi="Garamond"/>
        </w:rPr>
        <w:t xml:space="preserve">E4r-v </w:t>
      </w:r>
    </w:p>
  </w:footnote>
  <w:footnote w:id="676">
    <w:p w14:paraId="5803459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Willan, E4r. </w:t>
      </w:r>
    </w:p>
  </w:footnote>
  <w:footnote w:id="677">
    <w:p w14:paraId="1091250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Willan, E4v. </w:t>
      </w:r>
    </w:p>
  </w:footnote>
  <w:footnote w:id="678">
    <w:p w14:paraId="2B46EE84" w14:textId="77777777" w:rsidR="00814479" w:rsidRPr="003B1071" w:rsidRDefault="00814479" w:rsidP="00162224">
      <w:pPr>
        <w:pStyle w:val="FootnoteText"/>
        <w:rPr>
          <w:rFonts w:ascii="Garamond" w:hAnsi="Garamond"/>
          <w:i/>
        </w:rPr>
      </w:pPr>
      <w:r w:rsidRPr="003B1071">
        <w:rPr>
          <w:rStyle w:val="FootnoteReference"/>
          <w:rFonts w:ascii="Garamond" w:hAnsi="Garamond"/>
        </w:rPr>
        <w:footnoteRef/>
      </w:r>
      <w:r w:rsidRPr="003B1071">
        <w:rPr>
          <w:rFonts w:ascii="Garamond" w:hAnsi="Garamond"/>
        </w:rPr>
        <w:t xml:space="preserve"> Emma </w:t>
      </w:r>
      <w:bookmarkStart w:id="79" w:name="_Hlk531612460"/>
      <w:r w:rsidRPr="003B1071">
        <w:rPr>
          <w:rFonts w:ascii="Garamond" w:hAnsi="Garamond"/>
        </w:rPr>
        <w:t>Rhatigan, ‘Margins of Error: How to edit an early modern sermon’ in Early Modern Sermons: Performances and Afterlives, University of Sheffield, 2</w:t>
      </w:r>
      <w:r w:rsidRPr="003B1071">
        <w:rPr>
          <w:rFonts w:ascii="Garamond" w:hAnsi="Garamond"/>
          <w:vertAlign w:val="superscript"/>
        </w:rPr>
        <w:t>nd</w:t>
      </w:r>
      <w:r w:rsidRPr="003B1071">
        <w:rPr>
          <w:rFonts w:ascii="Garamond" w:hAnsi="Garamond"/>
        </w:rPr>
        <w:t xml:space="preserve"> November 2018</w:t>
      </w:r>
      <w:bookmarkEnd w:id="79"/>
      <w:r w:rsidRPr="003B1071">
        <w:rPr>
          <w:rFonts w:ascii="Garamond" w:hAnsi="Garamond"/>
        </w:rPr>
        <w:t xml:space="preserve">. </w:t>
      </w:r>
    </w:p>
  </w:footnote>
  <w:footnote w:id="679">
    <w:p w14:paraId="5B38F76C" w14:textId="013014AE"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bookmarkStart w:id="80" w:name="_Hlk531611866"/>
      <w:r w:rsidRPr="003B1071">
        <w:rPr>
          <w:rFonts w:ascii="Garamond" w:hAnsi="Garamond"/>
        </w:rPr>
        <w:t>A</w:t>
      </w:r>
      <w:r>
        <w:rPr>
          <w:rFonts w:ascii="Garamond" w:hAnsi="Garamond"/>
        </w:rPr>
        <w:t>.</w:t>
      </w:r>
      <w:r w:rsidRPr="003B1071">
        <w:rPr>
          <w:rFonts w:ascii="Garamond" w:hAnsi="Garamond"/>
        </w:rPr>
        <w:t xml:space="preserve"> Lloyd Moote and Dorothy C. Moote, </w:t>
      </w:r>
      <w:r w:rsidRPr="003B1071">
        <w:rPr>
          <w:rFonts w:ascii="Garamond" w:hAnsi="Garamond"/>
          <w:i/>
          <w:iCs/>
        </w:rPr>
        <w:t xml:space="preserve">The Great Plague: The Story of London’s most Deadly year </w:t>
      </w:r>
      <w:r w:rsidRPr="003B1071">
        <w:rPr>
          <w:rFonts w:ascii="Garamond" w:hAnsi="Garamond"/>
        </w:rPr>
        <w:t>(Baltimore, MA: John Hopkins University Press, 2008)</w:t>
      </w:r>
      <w:bookmarkEnd w:id="80"/>
      <w:r w:rsidRPr="003B1071">
        <w:rPr>
          <w:rFonts w:ascii="Garamond" w:hAnsi="Garamond"/>
        </w:rPr>
        <w:t xml:space="preserve">, pp. 10-11. </w:t>
      </w:r>
    </w:p>
  </w:footnote>
  <w:footnote w:id="680">
    <w:p w14:paraId="3378D04A" w14:textId="4093A24F"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 letter written to Mr. Roe, cited in </w:t>
      </w:r>
      <w:bookmarkStart w:id="81" w:name="_Hlk532151808"/>
      <w:r w:rsidRPr="003B1071">
        <w:rPr>
          <w:rFonts w:ascii="Garamond" w:hAnsi="Garamond"/>
        </w:rPr>
        <w:t xml:space="preserve">R.C. Bald, </w:t>
      </w:r>
      <w:r w:rsidRPr="003B1071">
        <w:rPr>
          <w:rFonts w:ascii="Garamond" w:hAnsi="Garamond"/>
          <w:i/>
        </w:rPr>
        <w:t xml:space="preserve">John Donne: a life </w:t>
      </w:r>
      <w:r w:rsidRPr="003B1071">
        <w:rPr>
          <w:rFonts w:ascii="Garamond" w:hAnsi="Garamond"/>
        </w:rPr>
        <w:t xml:space="preserve">(Oxford: Oxford University Press, 1986), </w:t>
      </w:r>
      <w:bookmarkEnd w:id="81"/>
      <w:r w:rsidRPr="003B1071">
        <w:rPr>
          <w:rFonts w:ascii="Garamond" w:hAnsi="Garamond"/>
        </w:rPr>
        <w:t>pp. 480-1.</w:t>
      </w:r>
    </w:p>
  </w:footnote>
  <w:footnote w:id="681">
    <w:p w14:paraId="3CDB697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bookmarkStart w:id="82" w:name="_Hlk531611545"/>
      <w:r w:rsidRPr="003B1071">
        <w:rPr>
          <w:rFonts w:ascii="Garamond" w:hAnsi="Garamond"/>
        </w:rPr>
        <w:t>Sheffield City Archives, Item 1, X90, Sermons of the Wilson and Alderson Families</w:t>
      </w:r>
      <w:bookmarkEnd w:id="82"/>
      <w:r w:rsidRPr="003B1071">
        <w:rPr>
          <w:rFonts w:ascii="Garamond" w:hAnsi="Garamond"/>
        </w:rPr>
        <w:t xml:space="preserve">. </w:t>
      </w:r>
    </w:p>
  </w:footnote>
  <w:footnote w:id="682">
    <w:p w14:paraId="486AF2F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bookmarkStart w:id="83" w:name="_Hlk531612834"/>
      <w:r w:rsidRPr="003B1071">
        <w:rPr>
          <w:rFonts w:ascii="Garamond" w:hAnsi="Garamond"/>
        </w:rPr>
        <w:t>Leeds, Yorkshire Archaelogical Society records, Sermons of Rev. Francis Nevile of Chevet Park, MD335/3/12/5</w:t>
      </w:r>
      <w:bookmarkEnd w:id="83"/>
      <w:r w:rsidRPr="003B1071">
        <w:rPr>
          <w:rFonts w:ascii="Garamond" w:hAnsi="Garamond"/>
        </w:rPr>
        <w:t xml:space="preserve">, ff. 66-80. </w:t>
      </w:r>
    </w:p>
  </w:footnote>
  <w:footnote w:id="683">
    <w:p w14:paraId="49F7F906" w14:textId="63944AB3" w:rsidR="00814479" w:rsidRPr="003B1071" w:rsidRDefault="00814479" w:rsidP="00162224">
      <w:pPr>
        <w:pStyle w:val="FootnoteText"/>
        <w:rPr>
          <w:rFonts w:ascii="Garamond" w:hAnsi="Garamond" w:cstheme="minorHAnsi"/>
        </w:rPr>
      </w:pPr>
      <w:r w:rsidRPr="003B1071">
        <w:rPr>
          <w:rStyle w:val="FootnoteReference"/>
          <w:rFonts w:ascii="Garamond" w:hAnsi="Garamond"/>
        </w:rPr>
        <w:footnoteRef/>
      </w:r>
      <w:r w:rsidRPr="003B1071">
        <w:rPr>
          <w:rFonts w:ascii="Garamond" w:hAnsi="Garamond"/>
        </w:rPr>
        <w:t xml:space="preserve"> See also </w:t>
      </w:r>
      <w:bookmarkStart w:id="84" w:name="_Hlk531613187"/>
      <w:r w:rsidRPr="003B1071">
        <w:rPr>
          <w:rFonts w:ascii="Garamond" w:hAnsi="Garamond" w:cstheme="minorHAnsi"/>
          <w:i/>
          <w:iCs/>
        </w:rPr>
        <w:t xml:space="preserve">The Vindication of the cobler, being a briefe publication of his doctrine, or, Certaine tenents [sic] collected out of the sermon of Samuel How, a cobler in Long Ally in Morefields </w:t>
      </w:r>
      <w:r w:rsidRPr="003B1071">
        <w:rPr>
          <w:rFonts w:ascii="Garamond" w:hAnsi="Garamond" w:cstheme="minorHAnsi"/>
        </w:rPr>
        <w:t>(London: 1640)</w:t>
      </w:r>
      <w:r>
        <w:rPr>
          <w:rFonts w:ascii="Garamond" w:hAnsi="Garamond" w:cstheme="minorHAnsi"/>
        </w:rPr>
        <w:t>.</w:t>
      </w:r>
      <w:r w:rsidRPr="003B1071">
        <w:rPr>
          <w:rFonts w:ascii="Garamond" w:hAnsi="Garamond" w:cstheme="minorHAnsi"/>
        </w:rPr>
        <w:t xml:space="preserve"> </w:t>
      </w:r>
      <w:r w:rsidRPr="003B1071">
        <w:rPr>
          <w:rFonts w:ascii="Garamond" w:hAnsi="Garamond" w:cstheme="minorHAnsi"/>
          <w:i/>
          <w:iCs/>
        </w:rPr>
        <w:t> </w:t>
      </w:r>
      <w:bookmarkEnd w:id="84"/>
    </w:p>
  </w:footnote>
  <w:footnote w:id="684">
    <w:p w14:paraId="4919285B" w14:textId="77777777" w:rsidR="00814479" w:rsidRPr="003B1071" w:rsidRDefault="00814479" w:rsidP="00162224">
      <w:pPr>
        <w:pStyle w:val="FootnoteText"/>
        <w:rPr>
          <w:rFonts w:ascii="Garamond" w:hAnsi="Garamond"/>
        </w:rPr>
      </w:pPr>
      <w:r w:rsidRPr="003B1071">
        <w:rPr>
          <w:rStyle w:val="FootnoteReference"/>
          <w:rFonts w:ascii="Garamond" w:hAnsi="Garamond" w:cstheme="minorHAnsi"/>
        </w:rPr>
        <w:footnoteRef/>
      </w:r>
      <w:r w:rsidRPr="003B1071">
        <w:rPr>
          <w:rFonts w:ascii="Garamond" w:hAnsi="Garamond" w:cstheme="minorHAnsi"/>
        </w:rPr>
        <w:t xml:space="preserve"> John Taylor, </w:t>
      </w:r>
      <w:r w:rsidRPr="003B1071">
        <w:rPr>
          <w:rFonts w:ascii="Garamond" w:hAnsi="Garamond" w:cstheme="minorHAnsi"/>
          <w:i/>
          <w:iCs/>
        </w:rPr>
        <w:t xml:space="preserve">The Brownists conventicle, or, </w:t>
      </w:r>
      <w:proofErr w:type="gramStart"/>
      <w:r w:rsidRPr="003B1071">
        <w:rPr>
          <w:rFonts w:ascii="Garamond" w:hAnsi="Garamond" w:cstheme="minorHAnsi"/>
          <w:i/>
          <w:iCs/>
        </w:rPr>
        <w:t>An</w:t>
      </w:r>
      <w:proofErr w:type="gramEnd"/>
      <w:r w:rsidRPr="003B1071">
        <w:rPr>
          <w:rFonts w:ascii="Garamond" w:hAnsi="Garamond" w:cstheme="minorHAnsi"/>
          <w:i/>
          <w:iCs/>
        </w:rPr>
        <w:t xml:space="preserve"> assemble of Brownists, separatists, and non-conformists… </w:t>
      </w:r>
      <w:r w:rsidRPr="003B1071">
        <w:rPr>
          <w:rFonts w:ascii="Garamond" w:hAnsi="Garamond" w:cstheme="minorHAnsi"/>
        </w:rPr>
        <w:t>(London: 1641).</w:t>
      </w:r>
    </w:p>
  </w:footnote>
  <w:footnote w:id="685">
    <w:p w14:paraId="652E085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bookmarkStart w:id="85" w:name="_Hlk531613237"/>
      <w:r w:rsidRPr="003B1071">
        <w:rPr>
          <w:rFonts w:ascii="Garamond" w:hAnsi="Garamond"/>
        </w:rPr>
        <w:t xml:space="preserve">Wakefield, West Yorkshire Archive Service, WDP143/30, </w:t>
      </w:r>
      <w:bookmarkEnd w:id="85"/>
      <w:r w:rsidRPr="003B1071">
        <w:rPr>
          <w:rFonts w:ascii="Garamond" w:hAnsi="Garamond"/>
        </w:rPr>
        <w:t xml:space="preserve">unfoliated and unpaginated. </w:t>
      </w:r>
    </w:p>
  </w:footnote>
  <w:footnote w:id="686">
    <w:p w14:paraId="3202F74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Farmer and Lesser, ‘Vile Arts’, p. 80. </w:t>
      </w:r>
    </w:p>
  </w:footnote>
  <w:footnote w:id="687">
    <w:p w14:paraId="36D53A6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bookmarkStart w:id="86" w:name="_Hlk531363826"/>
      <w:r w:rsidRPr="003B1071">
        <w:rPr>
          <w:rFonts w:ascii="Garamond" w:hAnsi="Garamond"/>
        </w:rPr>
        <w:t xml:space="preserve">Michael Saenger, </w:t>
      </w:r>
      <w:r w:rsidRPr="003B1071">
        <w:rPr>
          <w:rFonts w:ascii="Garamond" w:hAnsi="Garamond"/>
          <w:i/>
        </w:rPr>
        <w:t xml:space="preserve">The Commodification of Textual Engagements in the English Renaissance </w:t>
      </w:r>
      <w:r w:rsidRPr="003B1071">
        <w:rPr>
          <w:rFonts w:ascii="Garamond" w:hAnsi="Garamond"/>
        </w:rPr>
        <w:t xml:space="preserve">(Aldershot: Ashgate, 2006), </w:t>
      </w:r>
      <w:bookmarkEnd w:id="86"/>
      <w:r w:rsidRPr="003B1071">
        <w:rPr>
          <w:rFonts w:ascii="Garamond" w:hAnsi="Garamond"/>
        </w:rPr>
        <w:t xml:space="preserve">p. 127. </w:t>
      </w:r>
    </w:p>
  </w:footnote>
  <w:footnote w:id="688">
    <w:p w14:paraId="2D2F6D6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Saenger, p. 128. </w:t>
      </w:r>
    </w:p>
  </w:footnote>
  <w:footnote w:id="689">
    <w:p w14:paraId="0F858B73" w14:textId="77777777" w:rsidR="00814479" w:rsidRPr="003B1071" w:rsidRDefault="00814479" w:rsidP="00162224">
      <w:pPr>
        <w:rPr>
          <w:rFonts w:ascii="Garamond" w:hAnsi="Garamond"/>
          <w:i/>
          <w:iCs/>
          <w:sz w:val="20"/>
          <w:szCs w:val="20"/>
        </w:rPr>
      </w:pPr>
      <w:r w:rsidRPr="003B1071">
        <w:rPr>
          <w:rStyle w:val="FootnoteReference"/>
          <w:rFonts w:ascii="Garamond" w:hAnsi="Garamond"/>
          <w:sz w:val="20"/>
          <w:szCs w:val="20"/>
        </w:rPr>
        <w:footnoteRef/>
      </w:r>
      <w:r w:rsidRPr="003B1071">
        <w:rPr>
          <w:rFonts w:ascii="Garamond" w:hAnsi="Garamond"/>
          <w:sz w:val="20"/>
          <w:szCs w:val="20"/>
        </w:rPr>
        <w:t xml:space="preserve"> Andrew Pettegree, ‘Day [Daye], John (1521/2–1584), printer and bookseller’ in </w:t>
      </w:r>
      <w:r w:rsidRPr="003B1071">
        <w:rPr>
          <w:rFonts w:ascii="Garamond" w:hAnsi="Garamond"/>
          <w:i/>
          <w:iCs/>
          <w:sz w:val="20"/>
          <w:szCs w:val="20"/>
        </w:rPr>
        <w:t xml:space="preserve">ODNB. </w:t>
      </w:r>
    </w:p>
  </w:footnote>
  <w:footnote w:id="690">
    <w:p w14:paraId="11436BA2" w14:textId="57E55E11"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Cathy Shrank, ‘Mis-en-Page, </w:t>
      </w:r>
      <w:r>
        <w:rPr>
          <w:rFonts w:ascii="Garamond" w:hAnsi="Garamond"/>
        </w:rPr>
        <w:t>“</w:t>
      </w:r>
      <w:r w:rsidRPr="003B1071">
        <w:rPr>
          <w:rFonts w:ascii="Garamond" w:hAnsi="Garamond"/>
        </w:rPr>
        <w:t>The Authors Genius</w:t>
      </w:r>
      <w:r>
        <w:rPr>
          <w:rFonts w:ascii="Garamond" w:hAnsi="Garamond"/>
        </w:rPr>
        <w:t>”</w:t>
      </w:r>
      <w:r w:rsidRPr="003B1071">
        <w:rPr>
          <w:rFonts w:ascii="Garamond" w:hAnsi="Garamond"/>
        </w:rPr>
        <w:t xml:space="preserve">, </w:t>
      </w:r>
      <w:r>
        <w:rPr>
          <w:rFonts w:ascii="Garamond" w:hAnsi="Garamond"/>
        </w:rPr>
        <w:t>“</w:t>
      </w:r>
      <w:r w:rsidRPr="003B1071">
        <w:rPr>
          <w:rFonts w:ascii="Garamond" w:hAnsi="Garamond"/>
        </w:rPr>
        <w:t>The Capacity of the Reader</w:t>
      </w:r>
      <w:r>
        <w:rPr>
          <w:rFonts w:ascii="Garamond" w:hAnsi="Garamond"/>
        </w:rPr>
        <w:t>”</w:t>
      </w:r>
      <w:r w:rsidRPr="003B1071">
        <w:rPr>
          <w:rFonts w:ascii="Garamond" w:hAnsi="Garamond"/>
        </w:rPr>
        <w:t xml:space="preserve">, and the Ambition of </w:t>
      </w:r>
      <w:r>
        <w:rPr>
          <w:rFonts w:ascii="Garamond" w:hAnsi="Garamond"/>
        </w:rPr>
        <w:t>“</w:t>
      </w:r>
      <w:r w:rsidRPr="003B1071">
        <w:rPr>
          <w:rFonts w:ascii="Garamond" w:hAnsi="Garamond"/>
        </w:rPr>
        <w:t>A Good Compositer</w:t>
      </w:r>
      <w:r>
        <w:rPr>
          <w:rFonts w:ascii="Garamond" w:hAnsi="Garamond"/>
        </w:rPr>
        <w:t>”</w:t>
      </w:r>
      <w:r w:rsidRPr="003B1071">
        <w:rPr>
          <w:rFonts w:ascii="Garamond" w:hAnsi="Garamond"/>
        </w:rPr>
        <w:t xml:space="preserve">’ in </w:t>
      </w:r>
      <w:r w:rsidRPr="003B1071">
        <w:rPr>
          <w:rFonts w:ascii="Garamond" w:hAnsi="Garamond"/>
          <w:i/>
          <w:iCs/>
        </w:rPr>
        <w:t>Religion and the Book Trade</w:t>
      </w:r>
      <w:r w:rsidR="008F16FC">
        <w:rPr>
          <w:rFonts w:ascii="Garamond" w:hAnsi="Garamond"/>
          <w:i/>
          <w:iCs/>
        </w:rPr>
        <w:t>,</w:t>
      </w:r>
      <w:r w:rsidRPr="003B1071">
        <w:rPr>
          <w:rFonts w:ascii="Garamond" w:hAnsi="Garamond"/>
        </w:rPr>
        <w:t xml:space="preserve"> ed. by Caroline Archer and Lisa Peters (Newcastle: Cambridge Scholars Publishing, 2015), pp. 66-82 (p. 79). </w:t>
      </w:r>
    </w:p>
  </w:footnote>
  <w:footnote w:id="691">
    <w:p w14:paraId="6284E9C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Shrank, p. 81. </w:t>
      </w:r>
    </w:p>
  </w:footnote>
  <w:footnote w:id="692">
    <w:p w14:paraId="200AA0B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John Day, </w:t>
      </w:r>
      <w:r w:rsidRPr="003B1071">
        <w:rPr>
          <w:rFonts w:ascii="Garamond" w:hAnsi="Garamond"/>
          <w:i/>
          <w:iCs/>
        </w:rPr>
        <w:t xml:space="preserve">Day’s Dyall </w:t>
      </w:r>
      <w:r w:rsidRPr="003B1071">
        <w:rPr>
          <w:rFonts w:ascii="Garamond" w:hAnsi="Garamond"/>
        </w:rPr>
        <w:t xml:space="preserve">(London: 1614), p .2. </w:t>
      </w:r>
    </w:p>
  </w:footnote>
  <w:footnote w:id="693">
    <w:p w14:paraId="52C533C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Day, </w:t>
      </w:r>
      <w:r w:rsidRPr="003B1071">
        <w:rPr>
          <w:rFonts w:ascii="Garamond" w:hAnsi="Garamond"/>
          <w:i/>
          <w:iCs/>
        </w:rPr>
        <w:t>Dyall,</w:t>
      </w:r>
      <w:r w:rsidRPr="003B1071">
        <w:rPr>
          <w:rFonts w:ascii="Garamond" w:hAnsi="Garamond"/>
        </w:rPr>
        <w:t xml:space="preserve"> p. 2. </w:t>
      </w:r>
    </w:p>
  </w:footnote>
  <w:footnote w:id="694">
    <w:p w14:paraId="726006D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Day, </w:t>
      </w:r>
      <w:r w:rsidRPr="003B1071">
        <w:rPr>
          <w:rFonts w:ascii="Garamond" w:hAnsi="Garamond"/>
          <w:i/>
          <w:iCs/>
        </w:rPr>
        <w:t>Dyall,</w:t>
      </w:r>
      <w:r w:rsidRPr="003B1071">
        <w:rPr>
          <w:rFonts w:ascii="Garamond" w:hAnsi="Garamond"/>
        </w:rPr>
        <w:t xml:space="preserve"> p. 4. </w:t>
      </w:r>
    </w:p>
  </w:footnote>
  <w:footnote w:id="695">
    <w:p w14:paraId="68F39D7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Day, </w:t>
      </w:r>
      <w:r w:rsidRPr="003B1071">
        <w:rPr>
          <w:rFonts w:ascii="Garamond" w:hAnsi="Garamond"/>
          <w:i/>
          <w:iCs/>
        </w:rPr>
        <w:t>Dyall,</w:t>
      </w:r>
      <w:r w:rsidRPr="003B1071">
        <w:rPr>
          <w:rFonts w:ascii="Garamond" w:hAnsi="Garamond"/>
        </w:rPr>
        <w:t xml:space="preserve"> p. 254. </w:t>
      </w:r>
    </w:p>
  </w:footnote>
  <w:footnote w:id="696">
    <w:p w14:paraId="64EC574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Day, </w:t>
      </w:r>
      <w:r w:rsidRPr="003B1071">
        <w:rPr>
          <w:rFonts w:ascii="Garamond" w:hAnsi="Garamond"/>
          <w:i/>
          <w:iCs/>
        </w:rPr>
        <w:t>Dyall,</w:t>
      </w:r>
      <w:r w:rsidRPr="003B1071">
        <w:rPr>
          <w:rFonts w:ascii="Garamond" w:hAnsi="Garamond"/>
        </w:rPr>
        <w:t xml:space="preserve"> p. 255. </w:t>
      </w:r>
    </w:p>
  </w:footnote>
  <w:footnote w:id="697">
    <w:p w14:paraId="59DC834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John Day, </w:t>
      </w:r>
      <w:r w:rsidRPr="003B1071">
        <w:rPr>
          <w:rFonts w:ascii="Garamond" w:hAnsi="Garamond"/>
          <w:i/>
        </w:rPr>
        <w:t xml:space="preserve">Day’s Festivals </w:t>
      </w:r>
      <w:r w:rsidRPr="003B1071">
        <w:rPr>
          <w:rFonts w:ascii="Garamond" w:hAnsi="Garamond"/>
        </w:rPr>
        <w:t xml:space="preserve">(London: 1615), p. 1. </w:t>
      </w:r>
    </w:p>
  </w:footnote>
  <w:footnote w:id="698">
    <w:p w14:paraId="7BA5F24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Day, </w:t>
      </w:r>
      <w:r w:rsidRPr="003B1071">
        <w:rPr>
          <w:rFonts w:ascii="Garamond" w:hAnsi="Garamond"/>
          <w:i/>
          <w:iCs/>
        </w:rPr>
        <w:t xml:space="preserve">Festivals, </w:t>
      </w:r>
      <w:r w:rsidRPr="003B1071">
        <w:rPr>
          <w:rFonts w:ascii="Garamond" w:hAnsi="Garamond"/>
        </w:rPr>
        <w:t xml:space="preserve">p. 9. </w:t>
      </w:r>
    </w:p>
  </w:footnote>
  <w:footnote w:id="699">
    <w:p w14:paraId="284C1DF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Day, </w:t>
      </w:r>
      <w:r w:rsidRPr="003B1071">
        <w:rPr>
          <w:rFonts w:ascii="Garamond" w:hAnsi="Garamond"/>
          <w:i/>
          <w:iCs/>
        </w:rPr>
        <w:t xml:space="preserve">Festivals, </w:t>
      </w:r>
      <w:r w:rsidRPr="003B1071">
        <w:rPr>
          <w:rFonts w:ascii="Garamond" w:hAnsi="Garamond"/>
        </w:rPr>
        <w:t xml:space="preserve">p. 12. See Cope, pp. 93-5 for further discussion. </w:t>
      </w:r>
    </w:p>
  </w:footnote>
  <w:footnote w:id="700">
    <w:p w14:paraId="0B26E2A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Day, </w:t>
      </w:r>
      <w:r w:rsidRPr="003B1071">
        <w:rPr>
          <w:rFonts w:ascii="Garamond" w:hAnsi="Garamond"/>
          <w:i/>
          <w:iCs/>
        </w:rPr>
        <w:t xml:space="preserve">Festivals, </w:t>
      </w:r>
      <w:r w:rsidRPr="003B1071">
        <w:rPr>
          <w:rFonts w:ascii="Garamond" w:hAnsi="Garamond"/>
        </w:rPr>
        <w:t xml:space="preserve">p. 25. </w:t>
      </w:r>
    </w:p>
  </w:footnote>
  <w:footnote w:id="701">
    <w:p w14:paraId="6DD1EA8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Day, </w:t>
      </w:r>
      <w:r w:rsidRPr="003B1071">
        <w:rPr>
          <w:rFonts w:ascii="Garamond" w:hAnsi="Garamond"/>
          <w:i/>
          <w:iCs/>
        </w:rPr>
        <w:t xml:space="preserve">Festivals, </w:t>
      </w:r>
      <w:r w:rsidRPr="003B1071">
        <w:rPr>
          <w:rFonts w:ascii="Garamond" w:hAnsi="Garamond"/>
        </w:rPr>
        <w:t xml:space="preserve">p. 32. </w:t>
      </w:r>
    </w:p>
  </w:footnote>
  <w:footnote w:id="702">
    <w:p w14:paraId="291FDA7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Day, </w:t>
      </w:r>
      <w:r w:rsidRPr="003B1071">
        <w:rPr>
          <w:rFonts w:ascii="Garamond" w:hAnsi="Garamond"/>
          <w:i/>
          <w:iCs/>
        </w:rPr>
        <w:t xml:space="preserve">Festivals, </w:t>
      </w:r>
      <w:r w:rsidRPr="003B1071">
        <w:rPr>
          <w:rFonts w:ascii="Garamond" w:hAnsi="Garamond"/>
        </w:rPr>
        <w:t xml:space="preserve">p. 37. </w:t>
      </w:r>
    </w:p>
  </w:footnote>
  <w:footnote w:id="703">
    <w:p w14:paraId="460C1C4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Donne, </w:t>
      </w:r>
      <w:r w:rsidRPr="003B1071">
        <w:rPr>
          <w:rFonts w:ascii="Garamond" w:hAnsi="Garamond"/>
          <w:i/>
          <w:iCs/>
        </w:rPr>
        <w:t xml:space="preserve">Sermons, </w:t>
      </w:r>
      <w:r w:rsidRPr="003B1071">
        <w:rPr>
          <w:rFonts w:ascii="Garamond" w:hAnsi="Garamond"/>
        </w:rPr>
        <w:t xml:space="preserve">VII.11, p. 279. </w:t>
      </w:r>
    </w:p>
  </w:footnote>
  <w:footnote w:id="704">
    <w:p w14:paraId="59A6D4D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Day, </w:t>
      </w:r>
      <w:r w:rsidRPr="003B1071">
        <w:rPr>
          <w:rFonts w:ascii="Garamond" w:hAnsi="Garamond"/>
          <w:i/>
          <w:iCs/>
        </w:rPr>
        <w:t xml:space="preserve">Festivals, </w:t>
      </w:r>
      <w:r w:rsidRPr="003B1071">
        <w:rPr>
          <w:rFonts w:ascii="Garamond" w:hAnsi="Garamond"/>
        </w:rPr>
        <w:t xml:space="preserve">p. 57. </w:t>
      </w:r>
    </w:p>
  </w:footnote>
  <w:footnote w:id="705">
    <w:p w14:paraId="703F591F" w14:textId="65BEA27B"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For an exploration of how Donne shaped his sermons to the place of preaching see Peter McCullough, ‘Donne as preacher at Court: precarious </w:t>
      </w:r>
      <w:r>
        <w:rPr>
          <w:rFonts w:ascii="Garamond" w:hAnsi="Garamond"/>
        </w:rPr>
        <w:t>“</w:t>
      </w:r>
      <w:r w:rsidRPr="003B1071">
        <w:rPr>
          <w:rFonts w:ascii="Garamond" w:hAnsi="Garamond"/>
        </w:rPr>
        <w:t>Inthronization</w:t>
      </w:r>
      <w:r>
        <w:rPr>
          <w:rFonts w:ascii="Garamond" w:hAnsi="Garamond"/>
        </w:rPr>
        <w:t>”</w:t>
      </w:r>
      <w:r w:rsidRPr="003B1071">
        <w:rPr>
          <w:rFonts w:ascii="Garamond" w:hAnsi="Garamond"/>
        </w:rPr>
        <w:t xml:space="preserve">’ in </w:t>
      </w:r>
      <w:r w:rsidRPr="003B1071">
        <w:rPr>
          <w:rFonts w:ascii="Garamond" w:hAnsi="Garamond"/>
          <w:i/>
          <w:iCs/>
        </w:rPr>
        <w:t xml:space="preserve">John Donne’s Professional Lives, </w:t>
      </w:r>
      <w:r w:rsidRPr="003B1071">
        <w:rPr>
          <w:rFonts w:ascii="Garamond" w:hAnsi="Garamond"/>
        </w:rPr>
        <w:t xml:space="preserve">pp. 179-204, and Mary Morrissey, ‘Donne as a conventional Paul’s Cross Preacher’ in the same volume, pp. 159-177. For a more general discussion of how spaces influenced preaching practices, see Emma Rhatigan, ‘Preaching Venues: Architecture and Auditories’ in </w:t>
      </w:r>
      <w:r w:rsidRPr="003B1071">
        <w:rPr>
          <w:rFonts w:ascii="Garamond" w:hAnsi="Garamond"/>
          <w:i/>
        </w:rPr>
        <w:t xml:space="preserve">The Oxford Handbook of the Early Modern Sermon </w:t>
      </w:r>
      <w:r>
        <w:rPr>
          <w:rFonts w:ascii="Garamond" w:hAnsi="Garamond"/>
        </w:rPr>
        <w:t xml:space="preserve">ed. by Peter McCullough et al. </w:t>
      </w:r>
      <w:r w:rsidRPr="003B1071">
        <w:rPr>
          <w:rFonts w:ascii="Garamond" w:hAnsi="Garamond"/>
        </w:rPr>
        <w:t>(Oxford: Oxford University Press, 2011), pp. 87-120.</w:t>
      </w:r>
    </w:p>
  </w:footnote>
  <w:footnote w:id="706">
    <w:p w14:paraId="494AFC7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Richard McCabe, ‘Hall, Joseph (1574–1656), bishop of Norwich, religious writer, and satirist’, in </w:t>
      </w:r>
      <w:r w:rsidRPr="003B1071">
        <w:rPr>
          <w:rFonts w:ascii="Garamond" w:hAnsi="Garamond"/>
          <w:i/>
        </w:rPr>
        <w:t xml:space="preserve">ODNB. </w:t>
      </w:r>
    </w:p>
  </w:footnote>
  <w:footnote w:id="707">
    <w:p w14:paraId="5CC5158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Cited in McCabe. </w:t>
      </w:r>
    </w:p>
  </w:footnote>
  <w:footnote w:id="708">
    <w:p w14:paraId="0FD8FA1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McCabe. </w:t>
      </w:r>
    </w:p>
  </w:footnote>
  <w:footnote w:id="709">
    <w:p w14:paraId="11FF612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Joseph Hall, </w:t>
      </w:r>
      <w:r w:rsidRPr="003B1071">
        <w:rPr>
          <w:rFonts w:ascii="Garamond" w:hAnsi="Garamond"/>
          <w:i/>
        </w:rPr>
        <w:t xml:space="preserve">A sermon preached at the happily-restored and reedified chappell of the Right Honorable the Earle of Exceter in his house, of S. Johns </w:t>
      </w:r>
      <w:proofErr w:type="gramStart"/>
      <w:r w:rsidRPr="003B1071">
        <w:rPr>
          <w:rFonts w:ascii="Garamond" w:hAnsi="Garamond"/>
          <w:i/>
        </w:rPr>
        <w:t>On</w:t>
      </w:r>
      <w:proofErr w:type="gramEnd"/>
      <w:r w:rsidRPr="003B1071">
        <w:rPr>
          <w:rFonts w:ascii="Garamond" w:hAnsi="Garamond"/>
          <w:i/>
        </w:rPr>
        <w:t xml:space="preserve"> Saint Stephens day. 1623</w:t>
      </w:r>
      <w:r w:rsidRPr="003B1071">
        <w:rPr>
          <w:rFonts w:ascii="Garamond" w:hAnsi="Garamond"/>
        </w:rPr>
        <w:t xml:space="preserve"> (London: 1624), A3.  </w:t>
      </w:r>
    </w:p>
  </w:footnote>
  <w:footnote w:id="710">
    <w:p w14:paraId="0D400239" w14:textId="77777777" w:rsidR="00814479" w:rsidRPr="00667CD5" w:rsidRDefault="00814479" w:rsidP="00162224">
      <w:pPr>
        <w:pStyle w:val="FootnoteText"/>
        <w:rPr>
          <w:rFonts w:ascii="Garamond" w:hAnsi="Garamond"/>
        </w:rPr>
      </w:pPr>
      <w:r w:rsidRPr="003B1071">
        <w:rPr>
          <w:rStyle w:val="FootnoteReference"/>
          <w:rFonts w:ascii="Garamond" w:hAnsi="Garamond"/>
        </w:rPr>
        <w:footnoteRef/>
      </w:r>
      <w:r w:rsidRPr="00667CD5">
        <w:rPr>
          <w:rFonts w:ascii="Garamond" w:hAnsi="Garamond"/>
        </w:rPr>
        <w:t xml:space="preserve"> Donne, </w:t>
      </w:r>
      <w:r w:rsidRPr="00667CD5">
        <w:rPr>
          <w:rFonts w:ascii="Garamond" w:hAnsi="Garamond"/>
          <w:i/>
        </w:rPr>
        <w:t xml:space="preserve">Letters, </w:t>
      </w:r>
      <w:r w:rsidRPr="00667CD5">
        <w:rPr>
          <w:rFonts w:ascii="Garamond" w:hAnsi="Garamond"/>
        </w:rPr>
        <w:t xml:space="preserve">p. 25. </w:t>
      </w:r>
    </w:p>
  </w:footnote>
  <w:footnote w:id="711">
    <w:p w14:paraId="6BA1F66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Hall, </w:t>
      </w:r>
      <w:r w:rsidRPr="003B1071">
        <w:rPr>
          <w:rFonts w:ascii="Garamond" w:hAnsi="Garamond"/>
          <w:i/>
          <w:iCs/>
        </w:rPr>
        <w:t>Chapel,</w:t>
      </w:r>
      <w:r w:rsidRPr="003B1071">
        <w:rPr>
          <w:rFonts w:ascii="Garamond" w:hAnsi="Garamond"/>
        </w:rPr>
        <w:t xml:space="preserve"> p. 2. </w:t>
      </w:r>
    </w:p>
  </w:footnote>
  <w:footnote w:id="712">
    <w:p w14:paraId="3F75F7D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Hall, </w:t>
      </w:r>
      <w:r w:rsidRPr="003B1071">
        <w:rPr>
          <w:rFonts w:ascii="Garamond" w:hAnsi="Garamond"/>
          <w:i/>
          <w:iCs/>
        </w:rPr>
        <w:t>Chapel,</w:t>
      </w:r>
      <w:r w:rsidRPr="003B1071">
        <w:rPr>
          <w:rFonts w:ascii="Garamond" w:hAnsi="Garamond"/>
        </w:rPr>
        <w:t xml:space="preserve"> p. 11. </w:t>
      </w:r>
    </w:p>
  </w:footnote>
  <w:footnote w:id="713">
    <w:p w14:paraId="2BB22F8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Hall, </w:t>
      </w:r>
      <w:r w:rsidRPr="003B1071">
        <w:rPr>
          <w:rFonts w:ascii="Garamond" w:hAnsi="Garamond"/>
          <w:i/>
          <w:iCs/>
        </w:rPr>
        <w:t>Chapel,</w:t>
      </w:r>
      <w:r w:rsidRPr="003B1071">
        <w:rPr>
          <w:rFonts w:ascii="Garamond" w:hAnsi="Garamond"/>
        </w:rPr>
        <w:t xml:space="preserve"> p. 16. </w:t>
      </w:r>
    </w:p>
  </w:footnote>
  <w:footnote w:id="714">
    <w:p w14:paraId="6DD7076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Hall, </w:t>
      </w:r>
      <w:r w:rsidRPr="003B1071">
        <w:rPr>
          <w:rFonts w:ascii="Garamond" w:hAnsi="Garamond"/>
          <w:i/>
          <w:iCs/>
        </w:rPr>
        <w:t>Chapel,</w:t>
      </w:r>
      <w:r w:rsidRPr="003B1071">
        <w:rPr>
          <w:rFonts w:ascii="Garamond" w:hAnsi="Garamond"/>
        </w:rPr>
        <w:t xml:space="preserve"> pp. 17-18. </w:t>
      </w:r>
    </w:p>
  </w:footnote>
  <w:footnote w:id="715">
    <w:p w14:paraId="6D4378FE" w14:textId="7AC67E66"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proofErr w:type="gramStart"/>
      <w:r w:rsidRPr="003B1071">
        <w:rPr>
          <w:rFonts w:ascii="Garamond" w:hAnsi="Garamond"/>
        </w:rPr>
        <w:t>Kenneth Fincham and Nicholas Tyacke,</w:t>
      </w:r>
      <w:proofErr w:type="gramEnd"/>
      <w:r w:rsidRPr="003B1071">
        <w:rPr>
          <w:rFonts w:ascii="Garamond" w:hAnsi="Garamond"/>
        </w:rPr>
        <w:t xml:space="preserve"> </w:t>
      </w:r>
      <w:r w:rsidRPr="003B1071">
        <w:rPr>
          <w:rFonts w:ascii="Garamond" w:hAnsi="Garamond"/>
          <w:i/>
        </w:rPr>
        <w:t xml:space="preserve">Altars Restored: The Changing Face of English Religious Worship, 1547- c.1700 </w:t>
      </w:r>
      <w:r w:rsidRPr="003B1071">
        <w:rPr>
          <w:rFonts w:ascii="Garamond" w:hAnsi="Garamond"/>
        </w:rPr>
        <w:t>(Oxford: Oxford University Press, 2007), p. 124.</w:t>
      </w:r>
    </w:p>
  </w:footnote>
  <w:footnote w:id="716">
    <w:p w14:paraId="5085973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Joseph Hall, </w:t>
      </w:r>
      <w:r w:rsidRPr="003B1071">
        <w:rPr>
          <w:rFonts w:ascii="Garamond" w:hAnsi="Garamond"/>
          <w:i/>
          <w:iCs/>
        </w:rPr>
        <w:t>A Plaine and familiar explication (by way of Paraphrase) of all the hard texts of the whole divine Scripture of the Old and New Testament</w:t>
      </w:r>
      <w:r w:rsidRPr="003B1071">
        <w:rPr>
          <w:rFonts w:ascii="Garamond" w:hAnsi="Garamond"/>
        </w:rPr>
        <w:t xml:space="preserve"> (London: 1633), p. 562. </w:t>
      </w:r>
    </w:p>
  </w:footnote>
  <w:footnote w:id="717">
    <w:p w14:paraId="3007FFD0" w14:textId="2BEBF6C2"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For one such case </w:t>
      </w:r>
      <w:proofErr w:type="gramStart"/>
      <w:r w:rsidRPr="003B1071">
        <w:rPr>
          <w:rFonts w:ascii="Garamond" w:hAnsi="Garamond"/>
        </w:rPr>
        <w:t>see</w:t>
      </w:r>
      <w:proofErr w:type="gramEnd"/>
      <w:r w:rsidRPr="003B1071">
        <w:rPr>
          <w:rFonts w:ascii="Garamond" w:hAnsi="Garamond"/>
        </w:rPr>
        <w:t xml:space="preserve"> Jacqueline Rose, ‘Kingship and Counsel in Early Modern England’ in </w:t>
      </w:r>
      <w:r w:rsidRPr="003B1071">
        <w:rPr>
          <w:rFonts w:ascii="Garamond" w:hAnsi="Garamond"/>
          <w:i/>
          <w:iCs/>
        </w:rPr>
        <w:t>The Historical Journal</w:t>
      </w:r>
      <w:r w:rsidRPr="003B1071">
        <w:rPr>
          <w:rFonts w:ascii="Garamond" w:hAnsi="Garamond"/>
        </w:rPr>
        <w:t xml:space="preserve">, 54 (2011) 47-71 (pp. 65-6). </w:t>
      </w:r>
    </w:p>
  </w:footnote>
  <w:footnote w:id="718">
    <w:p w14:paraId="3DEDA3A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Hall, </w:t>
      </w:r>
      <w:r w:rsidRPr="003B1071">
        <w:rPr>
          <w:rFonts w:ascii="Garamond" w:hAnsi="Garamond"/>
          <w:i/>
          <w:iCs/>
        </w:rPr>
        <w:t>Explication</w:t>
      </w:r>
      <w:r w:rsidRPr="003B1071">
        <w:rPr>
          <w:rFonts w:ascii="Garamond" w:hAnsi="Garamond"/>
        </w:rPr>
        <w:t xml:space="preserve">, p. 561.  </w:t>
      </w:r>
    </w:p>
  </w:footnote>
  <w:footnote w:id="719">
    <w:p w14:paraId="60AD313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Hall, </w:t>
      </w:r>
      <w:r w:rsidRPr="003B1071">
        <w:rPr>
          <w:rFonts w:ascii="Garamond" w:hAnsi="Garamond"/>
          <w:i/>
          <w:iCs/>
        </w:rPr>
        <w:t>Explication</w:t>
      </w:r>
      <w:r w:rsidRPr="003B1071">
        <w:rPr>
          <w:rFonts w:ascii="Garamond" w:hAnsi="Garamond"/>
        </w:rPr>
        <w:t xml:space="preserve">, p. 591. Hall also uses the term in his paraphrase of Isaiah 44.28 (‘who shall also give order for the reedifying of the walls of Jerusalem, and the Temple’) and Isaiah 60.10 ‘And in a type of the restauration of my Church, behold the sons of strangers shall help to reedifie the walls of Jerusalem, and their Kings shall give bountiful gifts towards the repairing of the edifices thereof, &amp;c.’ p. 342, p. 360. </w:t>
      </w:r>
    </w:p>
  </w:footnote>
  <w:footnote w:id="720">
    <w:p w14:paraId="6F46C1A1" w14:textId="166632F1" w:rsidR="00814479" w:rsidRPr="003B1071" w:rsidRDefault="00814479" w:rsidP="00162224">
      <w:pPr>
        <w:rPr>
          <w:rFonts w:ascii="Garamond" w:hAnsi="Garamond"/>
          <w:i/>
          <w:sz w:val="20"/>
          <w:szCs w:val="20"/>
        </w:rPr>
      </w:pPr>
      <w:r w:rsidRPr="003B1071">
        <w:rPr>
          <w:rStyle w:val="FootnoteReference"/>
          <w:rFonts w:ascii="Garamond" w:hAnsi="Garamond"/>
          <w:sz w:val="20"/>
          <w:szCs w:val="20"/>
        </w:rPr>
        <w:footnoteRef/>
      </w:r>
      <w:r w:rsidRPr="003B1071">
        <w:rPr>
          <w:rFonts w:ascii="Garamond" w:hAnsi="Garamond"/>
          <w:sz w:val="20"/>
          <w:szCs w:val="20"/>
        </w:rPr>
        <w:t xml:space="preserve"> James Cannon, ‘Reverent Donne: The Double Quickening of Lincoln’s Inn Chapel’ in </w:t>
      </w:r>
      <w:r w:rsidRPr="003B1071">
        <w:rPr>
          <w:rFonts w:ascii="Garamond" w:hAnsi="Garamond"/>
          <w:i/>
          <w:sz w:val="20"/>
          <w:szCs w:val="20"/>
        </w:rPr>
        <w:t xml:space="preserve">John Donne’s Professional Lives </w:t>
      </w:r>
      <w:r w:rsidRPr="003B1071">
        <w:rPr>
          <w:rFonts w:ascii="Garamond" w:hAnsi="Garamond"/>
          <w:sz w:val="20"/>
          <w:szCs w:val="20"/>
        </w:rPr>
        <w:t xml:space="preserve">(Cambridge: Brewer, 2003), pp. 207-214 (pp. 210-1). </w:t>
      </w:r>
    </w:p>
  </w:footnote>
  <w:footnote w:id="721">
    <w:p w14:paraId="087F40D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r w:rsidRPr="003B1071">
        <w:rPr>
          <w:rFonts w:ascii="Garamond" w:hAnsi="Garamond"/>
          <w:i/>
        </w:rPr>
        <w:t xml:space="preserve">The Two Books of Homilies Appointed to be Read in Churches, </w:t>
      </w:r>
      <w:r w:rsidRPr="003B1071">
        <w:rPr>
          <w:rFonts w:ascii="Garamond" w:hAnsi="Garamond"/>
        </w:rPr>
        <w:t xml:space="preserve">ed. by John Griffiths (Oxford: Oxford University Press, 1859) p. 275, pp. 153-4. </w:t>
      </w:r>
    </w:p>
  </w:footnote>
  <w:footnote w:id="722">
    <w:p w14:paraId="14E73B9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Cannon, p. 212 for further discussion. </w:t>
      </w:r>
    </w:p>
  </w:footnote>
  <w:footnote w:id="723">
    <w:p w14:paraId="05E6E921" w14:textId="77777777" w:rsidR="00814479" w:rsidRPr="003B1071" w:rsidRDefault="00814479" w:rsidP="00162224">
      <w:pPr>
        <w:pStyle w:val="CommentText"/>
        <w:spacing w:after="0"/>
        <w:rPr>
          <w:rFonts w:ascii="Garamond" w:hAnsi="Garamond"/>
        </w:rPr>
      </w:pPr>
      <w:r w:rsidRPr="003B1071">
        <w:rPr>
          <w:rStyle w:val="FootnoteReference"/>
          <w:rFonts w:ascii="Garamond" w:hAnsi="Garamond"/>
        </w:rPr>
        <w:footnoteRef/>
      </w:r>
      <w:r w:rsidRPr="003B1071">
        <w:rPr>
          <w:rFonts w:ascii="Garamond" w:hAnsi="Garamond"/>
        </w:rPr>
        <w:t xml:space="preserve"> Church building and decoration was an intensely divisive issue in the period. See J. F. Merritt, ‘Puritans, Laudians, and the Phenomenon of Church-Building in Jacobean London’, </w:t>
      </w:r>
      <w:r w:rsidRPr="003B1071">
        <w:rPr>
          <w:rFonts w:ascii="Garamond" w:hAnsi="Garamond"/>
          <w:i/>
          <w:iCs/>
        </w:rPr>
        <w:t>the Historical Journal</w:t>
      </w:r>
      <w:r w:rsidRPr="003B1071">
        <w:rPr>
          <w:rFonts w:ascii="Garamond" w:hAnsi="Garamond"/>
        </w:rPr>
        <w:t xml:space="preserve">, 41 (1998) 935-60 and Fincham and Tyacke. </w:t>
      </w:r>
    </w:p>
  </w:footnote>
  <w:footnote w:id="724">
    <w:p w14:paraId="068A4A7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TNA, SP 16/430/50 cited in Fincham and Tyacke, p. 207</w:t>
      </w:r>
    </w:p>
  </w:footnote>
  <w:footnote w:id="725">
    <w:p w14:paraId="025788E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Fincham and Tyacke, p. 248. </w:t>
      </w:r>
    </w:p>
  </w:footnote>
  <w:footnote w:id="726">
    <w:p w14:paraId="732BDF4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Cited in McCabe. </w:t>
      </w:r>
    </w:p>
  </w:footnote>
  <w:footnote w:id="727">
    <w:p w14:paraId="7522A7E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Joseph Hall, </w:t>
      </w:r>
      <w:r w:rsidRPr="003B1071">
        <w:rPr>
          <w:rFonts w:ascii="Garamond" w:hAnsi="Garamond"/>
          <w:i/>
          <w:iCs/>
        </w:rPr>
        <w:t xml:space="preserve">A sermon of publike thanksgiving </w:t>
      </w:r>
      <w:r w:rsidRPr="003B1071">
        <w:rPr>
          <w:rFonts w:ascii="Garamond" w:hAnsi="Garamond"/>
        </w:rPr>
        <w:t xml:space="preserve">(London: 1626), p. 34. </w:t>
      </w:r>
    </w:p>
  </w:footnote>
  <w:footnote w:id="728">
    <w:p w14:paraId="4D9111E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Hall, </w:t>
      </w:r>
      <w:r w:rsidRPr="003B1071">
        <w:rPr>
          <w:rFonts w:ascii="Garamond" w:hAnsi="Garamond"/>
          <w:i/>
          <w:iCs/>
        </w:rPr>
        <w:t xml:space="preserve">Thanksgiving, </w:t>
      </w:r>
      <w:r w:rsidRPr="003B1071">
        <w:rPr>
          <w:rFonts w:ascii="Garamond" w:hAnsi="Garamond"/>
        </w:rPr>
        <w:t xml:space="preserve">p. 18. </w:t>
      </w:r>
    </w:p>
  </w:footnote>
  <w:footnote w:id="729">
    <w:p w14:paraId="5169A16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Nagel and Wood, p. 15. </w:t>
      </w:r>
    </w:p>
  </w:footnote>
  <w:footnote w:id="730">
    <w:p w14:paraId="5C62440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Nagel and Wood, p. 15. </w:t>
      </w:r>
    </w:p>
  </w:footnote>
  <w:footnote w:id="731">
    <w:p w14:paraId="40D9EA8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Hall (1613) A3v-A4r. </w:t>
      </w:r>
    </w:p>
  </w:footnote>
  <w:footnote w:id="732">
    <w:p w14:paraId="03066F1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T.S. Eliot, </w:t>
      </w:r>
      <w:r w:rsidRPr="003B1071">
        <w:rPr>
          <w:rFonts w:ascii="Garamond" w:hAnsi="Garamond"/>
          <w:i/>
          <w:iCs/>
        </w:rPr>
        <w:t xml:space="preserve">Essays Ancient and Modern </w:t>
      </w:r>
      <w:r w:rsidRPr="003B1071">
        <w:rPr>
          <w:rFonts w:ascii="Garamond" w:hAnsi="Garamond"/>
        </w:rPr>
        <w:t xml:space="preserve">(New York: Harcourt, Brace and Company, 1936), pp. 9-10. </w:t>
      </w:r>
    </w:p>
  </w:footnote>
  <w:footnote w:id="733">
    <w:p w14:paraId="28E1AF5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Donne, </w:t>
      </w:r>
      <w:r w:rsidRPr="003B1071">
        <w:rPr>
          <w:rFonts w:ascii="Garamond" w:hAnsi="Garamond"/>
          <w:i/>
          <w:iCs/>
        </w:rPr>
        <w:t xml:space="preserve">Sermons, </w:t>
      </w:r>
      <w:r w:rsidRPr="003B1071">
        <w:rPr>
          <w:rFonts w:ascii="Garamond" w:hAnsi="Garamond"/>
        </w:rPr>
        <w:t xml:space="preserve">VII.15, p. 368. </w:t>
      </w:r>
    </w:p>
  </w:footnote>
  <w:footnote w:id="734">
    <w:p w14:paraId="75103D2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For evidence that Donne owned a watch and bequeathed it in his will see DiPasquale, p. 226. </w:t>
      </w:r>
    </w:p>
  </w:footnote>
  <w:footnote w:id="735">
    <w:p w14:paraId="0B05DF0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Donne, </w:t>
      </w:r>
      <w:r w:rsidRPr="003B1071">
        <w:rPr>
          <w:rFonts w:ascii="Garamond" w:hAnsi="Garamond"/>
          <w:i/>
        </w:rPr>
        <w:t xml:space="preserve">Sermons, </w:t>
      </w:r>
      <w:r w:rsidRPr="003B1071">
        <w:rPr>
          <w:rFonts w:ascii="Garamond" w:hAnsi="Garamond"/>
        </w:rPr>
        <w:t xml:space="preserve">II.2, pp. 73-4. </w:t>
      </w:r>
    </w:p>
  </w:footnote>
  <w:footnote w:id="736">
    <w:p w14:paraId="7B49C051" w14:textId="69BCFF72"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Achsah Guibbory, ‘John Donne and Memory as </w:t>
      </w:r>
      <w:r>
        <w:rPr>
          <w:rFonts w:ascii="Garamond" w:hAnsi="Garamond"/>
        </w:rPr>
        <w:t>“</w:t>
      </w:r>
      <w:r w:rsidRPr="003B1071">
        <w:rPr>
          <w:rFonts w:ascii="Garamond" w:hAnsi="Garamond"/>
        </w:rPr>
        <w:t>The Art of Salvation</w:t>
      </w:r>
      <w:r>
        <w:rPr>
          <w:rFonts w:ascii="Garamond" w:hAnsi="Garamond"/>
        </w:rPr>
        <w:t>”</w:t>
      </w:r>
      <w:r w:rsidRPr="003B1071">
        <w:rPr>
          <w:rFonts w:ascii="Garamond" w:hAnsi="Garamond"/>
        </w:rPr>
        <w:t xml:space="preserve">’, in </w:t>
      </w:r>
      <w:r w:rsidRPr="003B1071">
        <w:rPr>
          <w:rFonts w:ascii="Garamond" w:hAnsi="Garamond"/>
          <w:i/>
        </w:rPr>
        <w:t>Huntington Library Quarterly,</w:t>
      </w:r>
      <w:r w:rsidRPr="003B1071">
        <w:rPr>
          <w:rFonts w:ascii="Garamond" w:hAnsi="Garamond"/>
        </w:rPr>
        <w:t xml:space="preserve"> 43.4 (Autumn, 1980), 261-274 (p. 263).</w:t>
      </w:r>
    </w:p>
  </w:footnote>
  <w:footnote w:id="737">
    <w:p w14:paraId="5763ED25" w14:textId="77777777" w:rsidR="00814479" w:rsidRPr="003B1071" w:rsidRDefault="00814479" w:rsidP="00162224">
      <w:pPr>
        <w:pStyle w:val="FootnoteText"/>
        <w:rPr>
          <w:rFonts w:ascii="Garamond" w:hAnsi="Garamond"/>
          <w:highlight w:val="yellow"/>
        </w:rPr>
      </w:pPr>
      <w:r w:rsidRPr="003B1071">
        <w:rPr>
          <w:rStyle w:val="FootnoteReference"/>
          <w:rFonts w:ascii="Garamond" w:hAnsi="Garamond"/>
        </w:rPr>
        <w:footnoteRef/>
      </w:r>
      <w:r w:rsidRPr="003B1071">
        <w:rPr>
          <w:rFonts w:ascii="Garamond" w:hAnsi="Garamond"/>
        </w:rPr>
        <w:t xml:space="preserve"> Andrew Hiscock, </w:t>
      </w:r>
      <w:r w:rsidRPr="003B1071">
        <w:rPr>
          <w:rFonts w:ascii="Garamond" w:hAnsi="Garamond"/>
          <w:i/>
        </w:rPr>
        <w:t>Reading Memory in Early Modern Literature</w:t>
      </w:r>
      <w:r w:rsidRPr="003B1071">
        <w:rPr>
          <w:rFonts w:ascii="Garamond" w:hAnsi="Garamond"/>
        </w:rPr>
        <w:t xml:space="preserve"> (Cambridge: Cambridge University Press, 2014), pp. 168-192. </w:t>
      </w:r>
    </w:p>
  </w:footnote>
  <w:footnote w:id="738">
    <w:p w14:paraId="2F8D78E3" w14:textId="77777777" w:rsidR="00814479" w:rsidRPr="00667CD5" w:rsidRDefault="00814479" w:rsidP="00162224">
      <w:pPr>
        <w:pStyle w:val="FootnoteText"/>
        <w:rPr>
          <w:rFonts w:ascii="Garamond" w:hAnsi="Garamond"/>
          <w:lang w:val="fr-FR"/>
        </w:rPr>
      </w:pPr>
      <w:r w:rsidRPr="003B1071">
        <w:rPr>
          <w:rStyle w:val="FootnoteReference"/>
          <w:rFonts w:ascii="Garamond" w:hAnsi="Garamond"/>
        </w:rPr>
        <w:footnoteRef/>
      </w:r>
      <w:r w:rsidRPr="00667CD5">
        <w:rPr>
          <w:rFonts w:ascii="Garamond" w:hAnsi="Garamond"/>
          <w:lang w:val="fr-FR"/>
        </w:rPr>
        <w:t xml:space="preserve"> Cram, pp. 189-212. </w:t>
      </w:r>
    </w:p>
  </w:footnote>
  <w:footnote w:id="739">
    <w:p w14:paraId="61636B23"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lang w:val="fr-FR"/>
        </w:rPr>
        <w:t xml:space="preserve">Sermons, </w:t>
      </w:r>
      <w:r w:rsidRPr="003B1071">
        <w:rPr>
          <w:rFonts w:ascii="Garamond" w:hAnsi="Garamond"/>
          <w:lang w:val="fr-FR"/>
        </w:rPr>
        <w:t>II.12, p. 250.</w:t>
      </w:r>
    </w:p>
  </w:footnote>
  <w:footnote w:id="740">
    <w:p w14:paraId="3E121347"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iCs/>
          <w:lang w:val="fr-FR"/>
        </w:rPr>
        <w:t xml:space="preserve">Sermons, </w:t>
      </w:r>
      <w:r w:rsidRPr="003B1071">
        <w:rPr>
          <w:rFonts w:ascii="Garamond" w:hAnsi="Garamond"/>
          <w:lang w:val="fr-FR"/>
        </w:rPr>
        <w:t xml:space="preserve">VI.11, p. 224. </w:t>
      </w:r>
    </w:p>
  </w:footnote>
  <w:footnote w:id="741">
    <w:p w14:paraId="567A6468" w14:textId="77777777" w:rsidR="00814479" w:rsidRPr="00667CD5" w:rsidRDefault="00814479" w:rsidP="00162224">
      <w:pPr>
        <w:pStyle w:val="FootnoteText"/>
        <w:rPr>
          <w:rFonts w:ascii="Garamond" w:hAnsi="Garamond"/>
          <w:lang w:val="fr-FR"/>
        </w:rPr>
      </w:pPr>
      <w:r w:rsidRPr="003B1071">
        <w:rPr>
          <w:rStyle w:val="FootnoteReference"/>
          <w:rFonts w:ascii="Garamond" w:hAnsi="Garamond"/>
        </w:rPr>
        <w:footnoteRef/>
      </w:r>
      <w:r w:rsidRPr="00667CD5">
        <w:rPr>
          <w:rFonts w:ascii="Garamond" w:hAnsi="Garamond"/>
          <w:lang w:val="fr-FR"/>
        </w:rPr>
        <w:t xml:space="preserve"> Donne, </w:t>
      </w:r>
      <w:r w:rsidRPr="00667CD5">
        <w:rPr>
          <w:rFonts w:ascii="Garamond" w:hAnsi="Garamond"/>
          <w:i/>
          <w:iCs/>
          <w:lang w:val="fr-FR"/>
        </w:rPr>
        <w:t xml:space="preserve">Sermons, </w:t>
      </w:r>
      <w:r w:rsidRPr="00667CD5">
        <w:rPr>
          <w:rFonts w:ascii="Garamond" w:hAnsi="Garamond"/>
          <w:lang w:val="fr-FR"/>
        </w:rPr>
        <w:t xml:space="preserve">VI.11, p. 224. </w:t>
      </w:r>
    </w:p>
  </w:footnote>
  <w:footnote w:id="742">
    <w:p w14:paraId="306ACCEA" w14:textId="77777777" w:rsidR="00814479" w:rsidRPr="00667CD5" w:rsidRDefault="00814479" w:rsidP="00162224">
      <w:pPr>
        <w:pStyle w:val="FootnoteText"/>
        <w:rPr>
          <w:rFonts w:ascii="Garamond" w:hAnsi="Garamond"/>
          <w:lang w:val="fr-FR"/>
        </w:rPr>
      </w:pPr>
      <w:r w:rsidRPr="003B1071">
        <w:rPr>
          <w:rStyle w:val="FootnoteReference"/>
          <w:rFonts w:ascii="Garamond" w:hAnsi="Garamond"/>
        </w:rPr>
        <w:footnoteRef/>
      </w:r>
      <w:r w:rsidRPr="00667CD5">
        <w:rPr>
          <w:rFonts w:ascii="Garamond" w:hAnsi="Garamond"/>
          <w:lang w:val="fr-FR"/>
        </w:rPr>
        <w:t xml:space="preserve"> Donne, </w:t>
      </w:r>
      <w:r w:rsidRPr="00667CD5">
        <w:rPr>
          <w:rFonts w:ascii="Garamond" w:hAnsi="Garamond"/>
          <w:i/>
          <w:iCs/>
          <w:lang w:val="fr-FR"/>
        </w:rPr>
        <w:t xml:space="preserve">Sermons, </w:t>
      </w:r>
      <w:r w:rsidRPr="00667CD5">
        <w:rPr>
          <w:rFonts w:ascii="Garamond" w:hAnsi="Garamond"/>
          <w:lang w:val="fr-FR"/>
        </w:rPr>
        <w:t xml:space="preserve">VI.11, p. 229. </w:t>
      </w:r>
    </w:p>
  </w:footnote>
  <w:footnote w:id="743">
    <w:p w14:paraId="0C43EC67" w14:textId="77777777" w:rsidR="00814479" w:rsidRPr="00667CD5" w:rsidRDefault="00814479" w:rsidP="00162224">
      <w:pPr>
        <w:pStyle w:val="FootnoteText"/>
        <w:rPr>
          <w:rFonts w:ascii="Garamond" w:hAnsi="Garamond"/>
          <w:highlight w:val="yellow"/>
          <w:lang w:val="fr-FR"/>
        </w:rPr>
      </w:pPr>
      <w:r w:rsidRPr="003B1071">
        <w:rPr>
          <w:rStyle w:val="FootnoteReference"/>
          <w:rFonts w:ascii="Garamond" w:hAnsi="Garamond"/>
        </w:rPr>
        <w:footnoteRef/>
      </w:r>
      <w:r w:rsidRPr="00667CD5">
        <w:rPr>
          <w:rFonts w:ascii="Garamond" w:hAnsi="Garamond"/>
          <w:lang w:val="fr-FR"/>
        </w:rPr>
        <w:t xml:space="preserve"> Edinburgh, New College Library, MS PAT2, f. 1r  </w:t>
      </w:r>
    </w:p>
  </w:footnote>
  <w:footnote w:id="744">
    <w:p w14:paraId="24D0D228" w14:textId="77777777" w:rsidR="00814479" w:rsidRPr="00667CD5" w:rsidRDefault="00814479" w:rsidP="00162224">
      <w:pPr>
        <w:pStyle w:val="FootnoteText"/>
        <w:rPr>
          <w:rFonts w:ascii="Garamond" w:hAnsi="Garamond"/>
          <w:lang w:val="fr-FR"/>
        </w:rPr>
      </w:pPr>
      <w:r w:rsidRPr="003B1071">
        <w:rPr>
          <w:rStyle w:val="FootnoteReference"/>
          <w:rFonts w:ascii="Garamond" w:hAnsi="Garamond"/>
        </w:rPr>
        <w:footnoteRef/>
      </w:r>
      <w:r w:rsidRPr="00667CD5">
        <w:rPr>
          <w:rFonts w:ascii="Garamond" w:hAnsi="Garamond"/>
          <w:lang w:val="fr-FR"/>
        </w:rPr>
        <w:t xml:space="preserve"> Edward Rainbowe, </w:t>
      </w:r>
      <w:r w:rsidRPr="00667CD5">
        <w:rPr>
          <w:rFonts w:ascii="Garamond" w:hAnsi="Garamond"/>
          <w:i/>
          <w:lang w:val="fr-FR"/>
        </w:rPr>
        <w:t>A Sermon Preached at Walden in Essex, May 29</w:t>
      </w:r>
      <w:r w:rsidRPr="00667CD5">
        <w:rPr>
          <w:rFonts w:ascii="Garamond" w:hAnsi="Garamond"/>
          <w:i/>
          <w:vertAlign w:val="superscript"/>
          <w:lang w:val="fr-FR"/>
        </w:rPr>
        <w:t>th</w:t>
      </w:r>
      <w:r w:rsidRPr="00667CD5">
        <w:rPr>
          <w:rFonts w:ascii="Garamond" w:hAnsi="Garamond"/>
          <w:i/>
          <w:lang w:val="fr-FR"/>
        </w:rPr>
        <w:t xml:space="preserve"> </w:t>
      </w:r>
      <w:r w:rsidRPr="00667CD5">
        <w:rPr>
          <w:rFonts w:ascii="Garamond" w:hAnsi="Garamond"/>
          <w:lang w:val="fr-FR"/>
        </w:rPr>
        <w:t>(</w:t>
      </w:r>
      <w:proofErr w:type="gramStart"/>
      <w:r w:rsidRPr="00667CD5">
        <w:rPr>
          <w:rFonts w:ascii="Garamond" w:hAnsi="Garamond"/>
          <w:lang w:val="fr-FR"/>
        </w:rPr>
        <w:t>London:</w:t>
      </w:r>
      <w:proofErr w:type="gramEnd"/>
      <w:r w:rsidRPr="00667CD5">
        <w:rPr>
          <w:rFonts w:ascii="Garamond" w:hAnsi="Garamond"/>
          <w:lang w:val="fr-FR"/>
        </w:rPr>
        <w:t xml:space="preserve"> 1649) C3r-v. </w:t>
      </w:r>
    </w:p>
  </w:footnote>
  <w:footnote w:id="745">
    <w:p w14:paraId="7A1B1ED8" w14:textId="12A0A596"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Sebastiaan </w:t>
      </w:r>
      <w:r w:rsidRPr="003B1071">
        <w:rPr>
          <w:rFonts w:ascii="Garamond" w:hAnsi="Garamond" w:cs="Arial"/>
          <w:color w:val="000000"/>
          <w:shd w:val="clear" w:color="auto" w:fill="FFFFFF"/>
        </w:rPr>
        <w:t xml:space="preserve">Verweij, ‘Sermon Notes from John Donne in the Manuscripts of Francis Russell, Fourth Earl of Bedford’ in </w:t>
      </w:r>
      <w:r w:rsidRPr="003B1071">
        <w:rPr>
          <w:rFonts w:ascii="Garamond" w:hAnsi="Garamond" w:cs="Arial"/>
          <w:i/>
          <w:iCs/>
          <w:color w:val="000000"/>
          <w:shd w:val="clear" w:color="auto" w:fill="FFFFFF"/>
        </w:rPr>
        <w:t>ELR</w:t>
      </w:r>
      <w:r w:rsidRPr="003B1071">
        <w:rPr>
          <w:rFonts w:ascii="Garamond" w:hAnsi="Garamond" w:cs="Arial"/>
          <w:color w:val="000000"/>
          <w:shd w:val="clear" w:color="auto" w:fill="FFFFFF"/>
        </w:rPr>
        <w:t xml:space="preserve">, 46 (2016), 278–313 (p. 290). </w:t>
      </w:r>
    </w:p>
  </w:footnote>
  <w:footnote w:id="746">
    <w:p w14:paraId="7D7B4E4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r w:rsidRPr="003B1071">
        <w:rPr>
          <w:rFonts w:ascii="Garamond" w:hAnsi="Garamond"/>
          <w:i/>
          <w:iCs/>
        </w:rPr>
        <w:t xml:space="preserve">Sermons, </w:t>
      </w:r>
      <w:r w:rsidRPr="003B1071">
        <w:rPr>
          <w:rFonts w:ascii="Garamond" w:hAnsi="Garamond"/>
        </w:rPr>
        <w:t>VI.11, p. 224.</w:t>
      </w:r>
    </w:p>
  </w:footnote>
  <w:footnote w:id="747">
    <w:p w14:paraId="7E763BA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Peter E. McCullough, </w:t>
      </w:r>
      <w:bookmarkStart w:id="90" w:name="_Hlk532470465"/>
      <w:r w:rsidRPr="003B1071">
        <w:rPr>
          <w:rFonts w:ascii="Garamond" w:hAnsi="Garamond"/>
          <w:i/>
        </w:rPr>
        <w:t xml:space="preserve">Sermons at Court: Politics and religion in Elizabethan and Jacobean preaching </w:t>
      </w:r>
      <w:r w:rsidRPr="003B1071">
        <w:rPr>
          <w:rFonts w:ascii="Garamond" w:hAnsi="Garamond"/>
        </w:rPr>
        <w:t>(Cambridge: Cambridge University Press, 1998)</w:t>
      </w:r>
      <w:bookmarkEnd w:id="90"/>
      <w:r w:rsidRPr="003B1071">
        <w:rPr>
          <w:rFonts w:ascii="Garamond" w:hAnsi="Garamond"/>
        </w:rPr>
        <w:t>,</w:t>
      </w:r>
      <w:r w:rsidRPr="003B1071">
        <w:rPr>
          <w:rFonts w:ascii="Garamond" w:hAnsi="Garamond"/>
          <w:i/>
        </w:rPr>
        <w:t xml:space="preserve"> </w:t>
      </w:r>
      <w:r w:rsidRPr="003B1071">
        <w:rPr>
          <w:rFonts w:ascii="Garamond" w:hAnsi="Garamond"/>
        </w:rPr>
        <w:t>pp. 15-16.</w:t>
      </w:r>
    </w:p>
  </w:footnote>
  <w:footnote w:id="748">
    <w:p w14:paraId="18DC45E0" w14:textId="37FD37EB"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r w:rsidRPr="003B1071">
        <w:rPr>
          <w:rFonts w:ascii="Garamond" w:hAnsi="Garamond"/>
          <w:i/>
        </w:rPr>
        <w:t xml:space="preserve">The letters of John Chamberline, </w:t>
      </w:r>
      <w:r w:rsidRPr="003B1071">
        <w:rPr>
          <w:rFonts w:ascii="Garamond" w:hAnsi="Garamond"/>
        </w:rPr>
        <w:t xml:space="preserve">ed. </w:t>
      </w:r>
      <w:r w:rsidR="008F16FC">
        <w:rPr>
          <w:rFonts w:ascii="Garamond" w:hAnsi="Garamond"/>
        </w:rPr>
        <w:t xml:space="preserve">by </w:t>
      </w:r>
      <w:r w:rsidRPr="003B1071">
        <w:rPr>
          <w:rFonts w:ascii="Garamond" w:hAnsi="Garamond"/>
        </w:rPr>
        <w:t>N.E. McClure (1939) II p. 470,</w:t>
      </w:r>
      <w:r w:rsidR="008F16FC">
        <w:rPr>
          <w:rFonts w:ascii="Garamond" w:hAnsi="Garamond"/>
        </w:rPr>
        <w:t xml:space="preserve"> ci</w:t>
      </w:r>
      <w:r w:rsidRPr="003B1071">
        <w:rPr>
          <w:rFonts w:ascii="Garamond" w:hAnsi="Garamond"/>
        </w:rPr>
        <w:t xml:space="preserve">ted in McCullough, </w:t>
      </w:r>
      <w:r w:rsidRPr="003B1071">
        <w:rPr>
          <w:rFonts w:ascii="Garamond" w:hAnsi="Garamond"/>
          <w:i/>
          <w:iCs/>
        </w:rPr>
        <w:t xml:space="preserve">Sermons at Court, </w:t>
      </w:r>
      <w:r w:rsidRPr="003B1071">
        <w:rPr>
          <w:rFonts w:ascii="Garamond" w:hAnsi="Garamond"/>
        </w:rPr>
        <w:t>p. 21.</w:t>
      </w:r>
    </w:p>
  </w:footnote>
  <w:footnote w:id="749">
    <w:p w14:paraId="557156C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McCullough, </w:t>
      </w:r>
      <w:r w:rsidRPr="003B1071">
        <w:rPr>
          <w:rFonts w:ascii="Garamond" w:hAnsi="Garamond"/>
          <w:i/>
          <w:iCs/>
        </w:rPr>
        <w:t xml:space="preserve">Sermons at Court, </w:t>
      </w:r>
      <w:r w:rsidRPr="003B1071">
        <w:rPr>
          <w:rFonts w:ascii="Garamond" w:hAnsi="Garamond"/>
        </w:rPr>
        <w:t xml:space="preserve">p. 21. </w:t>
      </w:r>
    </w:p>
  </w:footnote>
  <w:footnote w:id="750">
    <w:p w14:paraId="7819DC5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Cited in Verweiji, p. 291. </w:t>
      </w:r>
    </w:p>
  </w:footnote>
  <w:footnote w:id="751">
    <w:p w14:paraId="1325DDBB" w14:textId="77777777" w:rsidR="00814479" w:rsidRPr="00667CD5" w:rsidRDefault="00814479" w:rsidP="00162224">
      <w:pPr>
        <w:pStyle w:val="FootnoteText"/>
        <w:rPr>
          <w:rFonts w:ascii="Garamond" w:hAnsi="Garamond"/>
        </w:rPr>
      </w:pPr>
      <w:r w:rsidRPr="003B1071">
        <w:rPr>
          <w:rStyle w:val="FootnoteReference"/>
          <w:rFonts w:ascii="Garamond" w:hAnsi="Garamond"/>
        </w:rPr>
        <w:footnoteRef/>
      </w:r>
      <w:r w:rsidRPr="00667CD5">
        <w:rPr>
          <w:rFonts w:ascii="Garamond" w:hAnsi="Garamond"/>
        </w:rPr>
        <w:t xml:space="preserve"> Donne, </w:t>
      </w:r>
      <w:r w:rsidRPr="00667CD5">
        <w:rPr>
          <w:rFonts w:ascii="Garamond" w:hAnsi="Garamond"/>
          <w:i/>
        </w:rPr>
        <w:t xml:space="preserve">Sermons, </w:t>
      </w:r>
      <w:r w:rsidRPr="00667CD5">
        <w:rPr>
          <w:rFonts w:ascii="Garamond" w:hAnsi="Garamond"/>
        </w:rPr>
        <w:t xml:space="preserve">VI.11, p. 223. </w:t>
      </w:r>
    </w:p>
  </w:footnote>
  <w:footnote w:id="752">
    <w:p w14:paraId="2EB7FB5E" w14:textId="77777777" w:rsidR="00814479" w:rsidRPr="00667CD5" w:rsidRDefault="00814479" w:rsidP="00162224">
      <w:pPr>
        <w:pStyle w:val="FootnoteText"/>
        <w:rPr>
          <w:rFonts w:ascii="Garamond" w:hAnsi="Garamond"/>
        </w:rPr>
      </w:pPr>
      <w:r w:rsidRPr="003B1071">
        <w:rPr>
          <w:rStyle w:val="FootnoteReference"/>
          <w:rFonts w:ascii="Garamond" w:hAnsi="Garamond"/>
        </w:rPr>
        <w:footnoteRef/>
      </w:r>
      <w:r w:rsidRPr="00667CD5">
        <w:rPr>
          <w:rFonts w:ascii="Garamond" w:hAnsi="Garamond"/>
        </w:rPr>
        <w:t xml:space="preserve"> Donne, </w:t>
      </w:r>
      <w:r w:rsidRPr="00667CD5">
        <w:rPr>
          <w:rFonts w:ascii="Garamond" w:hAnsi="Garamond"/>
          <w:i/>
          <w:iCs/>
        </w:rPr>
        <w:t xml:space="preserve">Sermons, </w:t>
      </w:r>
      <w:r w:rsidRPr="00667CD5">
        <w:rPr>
          <w:rFonts w:ascii="Garamond" w:hAnsi="Garamond"/>
        </w:rPr>
        <w:t xml:space="preserve">VII.16, p. 393. </w:t>
      </w:r>
    </w:p>
  </w:footnote>
  <w:footnote w:id="753">
    <w:p w14:paraId="633313F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Hunt, pp. 68-81 for a discussion of notetaking practices. </w:t>
      </w:r>
    </w:p>
  </w:footnote>
  <w:footnote w:id="754">
    <w:p w14:paraId="39921498"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iCs/>
          <w:lang w:val="fr-FR"/>
        </w:rPr>
        <w:t xml:space="preserve">Sermons, </w:t>
      </w:r>
      <w:r w:rsidRPr="003B1071">
        <w:rPr>
          <w:rFonts w:ascii="Garamond" w:hAnsi="Garamond"/>
          <w:lang w:val="fr-FR"/>
        </w:rPr>
        <w:t xml:space="preserve">VII.16, p. 393. </w:t>
      </w:r>
    </w:p>
  </w:footnote>
  <w:footnote w:id="755">
    <w:p w14:paraId="342CDC98"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iCs/>
          <w:lang w:val="fr-FR"/>
        </w:rPr>
        <w:t xml:space="preserve">Sermons, </w:t>
      </w:r>
      <w:r w:rsidRPr="003B1071">
        <w:rPr>
          <w:rFonts w:ascii="Garamond" w:hAnsi="Garamond"/>
          <w:lang w:val="fr-FR"/>
        </w:rPr>
        <w:t xml:space="preserve">VII.16, p. 394. </w:t>
      </w:r>
    </w:p>
  </w:footnote>
  <w:footnote w:id="756">
    <w:p w14:paraId="381770BC"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iCs/>
          <w:lang w:val="fr-FR"/>
        </w:rPr>
        <w:t xml:space="preserve">Sermons, </w:t>
      </w:r>
      <w:r w:rsidRPr="003B1071">
        <w:rPr>
          <w:rFonts w:ascii="Garamond" w:hAnsi="Garamond"/>
          <w:lang w:val="fr-FR"/>
        </w:rPr>
        <w:t xml:space="preserve">VI.11, p. 223. </w:t>
      </w:r>
    </w:p>
  </w:footnote>
  <w:footnote w:id="757">
    <w:p w14:paraId="764CBB01"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iCs/>
          <w:lang w:val="fr-FR"/>
        </w:rPr>
        <w:t xml:space="preserve">Sermons, </w:t>
      </w:r>
      <w:r w:rsidRPr="003B1071">
        <w:rPr>
          <w:rFonts w:ascii="Garamond" w:hAnsi="Garamond"/>
          <w:lang w:val="fr-FR"/>
        </w:rPr>
        <w:t>VI.11, p. 223.</w:t>
      </w:r>
    </w:p>
  </w:footnote>
  <w:footnote w:id="758">
    <w:p w14:paraId="78AF05FA"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Marsh, pp. 10-11. </w:t>
      </w:r>
    </w:p>
  </w:footnote>
  <w:footnote w:id="759">
    <w:p w14:paraId="6D854852" w14:textId="77777777" w:rsidR="00814479" w:rsidRPr="00667CD5" w:rsidRDefault="00814479" w:rsidP="00162224">
      <w:pPr>
        <w:pStyle w:val="FootnoteText"/>
        <w:rPr>
          <w:rFonts w:ascii="Garamond" w:hAnsi="Garamond"/>
          <w:lang w:val="fr-FR"/>
        </w:rPr>
      </w:pPr>
      <w:r w:rsidRPr="003B1071">
        <w:rPr>
          <w:rStyle w:val="FootnoteReference"/>
          <w:rFonts w:ascii="Garamond" w:hAnsi="Garamond"/>
        </w:rPr>
        <w:footnoteRef/>
      </w:r>
      <w:r w:rsidRPr="00667CD5">
        <w:rPr>
          <w:rFonts w:ascii="Garamond" w:hAnsi="Garamond"/>
          <w:lang w:val="fr-FR"/>
        </w:rPr>
        <w:t xml:space="preserve"> Francis Bacon, </w:t>
      </w:r>
      <w:r w:rsidRPr="00667CD5">
        <w:rPr>
          <w:rFonts w:ascii="Garamond" w:hAnsi="Garamond"/>
          <w:i/>
          <w:lang w:val="fr-FR"/>
        </w:rPr>
        <w:t xml:space="preserve">The Works of Francis Bacon </w:t>
      </w:r>
      <w:r w:rsidRPr="00667CD5">
        <w:rPr>
          <w:rFonts w:ascii="Garamond" w:hAnsi="Garamond"/>
          <w:lang w:val="fr-FR"/>
        </w:rPr>
        <w:t>(</w:t>
      </w:r>
      <w:proofErr w:type="gramStart"/>
      <w:r w:rsidRPr="00667CD5">
        <w:rPr>
          <w:rFonts w:ascii="Garamond" w:hAnsi="Garamond"/>
          <w:lang w:val="fr-FR"/>
        </w:rPr>
        <w:t>London:</w:t>
      </w:r>
      <w:proofErr w:type="gramEnd"/>
      <w:r w:rsidRPr="00667CD5">
        <w:rPr>
          <w:rFonts w:ascii="Garamond" w:hAnsi="Garamond"/>
          <w:lang w:val="fr-FR"/>
        </w:rPr>
        <w:t xml:space="preserve"> Longmans, 1868), pp. 66-8.</w:t>
      </w:r>
    </w:p>
  </w:footnote>
  <w:footnote w:id="760">
    <w:p w14:paraId="2D345F69" w14:textId="77777777" w:rsidR="00814479" w:rsidRPr="003B1071" w:rsidRDefault="00814479" w:rsidP="00162224">
      <w:pPr>
        <w:pStyle w:val="FootnoteText"/>
        <w:rPr>
          <w:rFonts w:ascii="Garamond" w:hAnsi="Garamond"/>
          <w:lang w:val="sv-SE"/>
        </w:rPr>
      </w:pPr>
      <w:r w:rsidRPr="003B1071">
        <w:rPr>
          <w:rStyle w:val="FootnoteReference"/>
          <w:rFonts w:ascii="Garamond" w:hAnsi="Garamond"/>
        </w:rPr>
        <w:footnoteRef/>
      </w:r>
      <w:r w:rsidRPr="003B1071">
        <w:rPr>
          <w:rFonts w:ascii="Garamond" w:hAnsi="Garamond"/>
          <w:lang w:val="sv-SE"/>
        </w:rPr>
        <w:t xml:space="preserve"> Donne, </w:t>
      </w:r>
      <w:r w:rsidRPr="003B1071">
        <w:rPr>
          <w:rFonts w:ascii="Garamond" w:hAnsi="Garamond"/>
          <w:i/>
          <w:lang w:val="sv-SE"/>
        </w:rPr>
        <w:t xml:space="preserve">Sermons, </w:t>
      </w:r>
      <w:r w:rsidRPr="003B1071">
        <w:rPr>
          <w:rFonts w:ascii="Garamond" w:hAnsi="Garamond"/>
          <w:lang w:val="sv-SE"/>
        </w:rPr>
        <w:t xml:space="preserve">VI.11, p. 223. </w:t>
      </w:r>
    </w:p>
  </w:footnote>
  <w:footnote w:id="761">
    <w:p w14:paraId="4D3D0F18" w14:textId="77777777" w:rsidR="00814479" w:rsidRPr="00667CD5" w:rsidRDefault="00814479" w:rsidP="00162224">
      <w:pPr>
        <w:pStyle w:val="FootnoteText"/>
        <w:rPr>
          <w:rFonts w:ascii="Garamond" w:hAnsi="Garamond"/>
        </w:rPr>
      </w:pPr>
      <w:r w:rsidRPr="003B1071">
        <w:rPr>
          <w:rStyle w:val="FootnoteReference"/>
          <w:rFonts w:ascii="Garamond" w:hAnsi="Garamond"/>
        </w:rPr>
        <w:footnoteRef/>
      </w:r>
      <w:r w:rsidRPr="00667CD5">
        <w:rPr>
          <w:rFonts w:ascii="Garamond" w:hAnsi="Garamond"/>
        </w:rPr>
        <w:t xml:space="preserve"> Bacon, p. 55. </w:t>
      </w:r>
    </w:p>
  </w:footnote>
  <w:footnote w:id="762">
    <w:p w14:paraId="3A78DE4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John N. Wall, ‘Virtual Paul’s Cross: The Experience of Public Preaching after the reformation’ in </w:t>
      </w:r>
      <w:r w:rsidRPr="003B1071">
        <w:rPr>
          <w:rFonts w:ascii="Garamond" w:hAnsi="Garamond"/>
          <w:i/>
        </w:rPr>
        <w:t xml:space="preserve">Paul’s Cross and the Culture of Persuasion </w:t>
      </w:r>
      <w:r w:rsidRPr="003B1071">
        <w:rPr>
          <w:rFonts w:ascii="Garamond" w:hAnsi="Garamond"/>
        </w:rPr>
        <w:t>(Boston: Brill, 2014),</w:t>
      </w:r>
      <w:r w:rsidRPr="003B1071">
        <w:rPr>
          <w:rFonts w:ascii="Garamond" w:hAnsi="Garamond"/>
          <w:i/>
        </w:rPr>
        <w:t xml:space="preserve"> </w:t>
      </w:r>
      <w:r w:rsidRPr="003B1071">
        <w:rPr>
          <w:rFonts w:ascii="Garamond" w:hAnsi="Garamond"/>
        </w:rPr>
        <w:t xml:space="preserve">pp. 61-92. </w:t>
      </w:r>
    </w:p>
  </w:footnote>
  <w:footnote w:id="763">
    <w:p w14:paraId="49F49D2A"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Bernard, </w:t>
      </w:r>
      <w:r w:rsidRPr="003B1071">
        <w:rPr>
          <w:rFonts w:ascii="Garamond" w:hAnsi="Garamond"/>
          <w:i/>
          <w:iCs/>
          <w:lang w:val="fr-FR"/>
        </w:rPr>
        <w:t xml:space="preserve">Shepherd, </w:t>
      </w:r>
      <w:r w:rsidRPr="003B1071">
        <w:rPr>
          <w:rFonts w:ascii="Garamond" w:hAnsi="Garamond"/>
          <w:lang w:val="fr-FR"/>
        </w:rPr>
        <w:t xml:space="preserve">p. 97. </w:t>
      </w:r>
    </w:p>
  </w:footnote>
  <w:footnote w:id="764">
    <w:p w14:paraId="483E3DC2"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lang w:val="fr-FR"/>
        </w:rPr>
        <w:t xml:space="preserve">Sermons, </w:t>
      </w:r>
      <w:r w:rsidRPr="003B1071">
        <w:rPr>
          <w:rFonts w:ascii="Garamond" w:hAnsi="Garamond"/>
          <w:lang w:val="fr-FR"/>
        </w:rPr>
        <w:t xml:space="preserve">VI.11, p. 223. </w:t>
      </w:r>
    </w:p>
  </w:footnote>
  <w:footnote w:id="765">
    <w:p w14:paraId="16D40BBA"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iCs/>
          <w:lang w:val="fr-FR"/>
        </w:rPr>
        <w:t xml:space="preserve">Sermons, </w:t>
      </w:r>
      <w:r w:rsidRPr="003B1071">
        <w:rPr>
          <w:rFonts w:ascii="Garamond" w:hAnsi="Garamond"/>
          <w:lang w:val="fr-FR"/>
        </w:rPr>
        <w:t xml:space="preserve">VII.16, p. 408. </w:t>
      </w:r>
    </w:p>
  </w:footnote>
  <w:footnote w:id="766">
    <w:p w14:paraId="5FD2A6A6" w14:textId="77777777" w:rsidR="00814479" w:rsidRPr="00667CD5" w:rsidRDefault="00814479" w:rsidP="00162224">
      <w:pPr>
        <w:pStyle w:val="FootnoteText"/>
        <w:rPr>
          <w:rFonts w:ascii="Garamond" w:hAnsi="Garamond"/>
          <w:lang w:val="fr-FR"/>
        </w:rPr>
      </w:pPr>
      <w:r w:rsidRPr="003B1071">
        <w:rPr>
          <w:rStyle w:val="FootnoteReference"/>
          <w:rFonts w:ascii="Garamond" w:hAnsi="Garamond"/>
        </w:rPr>
        <w:footnoteRef/>
      </w:r>
      <w:r w:rsidRPr="00667CD5">
        <w:rPr>
          <w:rFonts w:ascii="Garamond" w:hAnsi="Garamond"/>
          <w:lang w:val="fr-FR"/>
        </w:rPr>
        <w:t xml:space="preserve"> Donne, </w:t>
      </w:r>
      <w:r w:rsidRPr="00667CD5">
        <w:rPr>
          <w:rFonts w:ascii="Garamond" w:hAnsi="Garamond"/>
          <w:i/>
          <w:lang w:val="fr-FR"/>
        </w:rPr>
        <w:t xml:space="preserve">Sermons, </w:t>
      </w:r>
      <w:r w:rsidRPr="00667CD5">
        <w:rPr>
          <w:rFonts w:ascii="Garamond" w:hAnsi="Garamond"/>
          <w:lang w:val="fr-FR"/>
        </w:rPr>
        <w:t xml:space="preserve">VII.16, p. 232.  </w:t>
      </w:r>
    </w:p>
  </w:footnote>
  <w:footnote w:id="767">
    <w:p w14:paraId="2F50247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Donne himself seems to be repeating this language from an earlier sermon, part of his Lincoln’s Inn series on Psalm 38. In the sermon on Psalm 38.2, her writes, ‘We can scare express the number, scarce sound the diseases of mans body… They stick to us so, as that hey passe by </w:t>
      </w:r>
      <w:r w:rsidRPr="003B1071">
        <w:rPr>
          <w:rFonts w:ascii="Garamond" w:hAnsi="Garamond"/>
          <w:i/>
          <w:iCs/>
        </w:rPr>
        <w:t xml:space="preserve">inheritance, </w:t>
      </w:r>
      <w:r w:rsidRPr="003B1071">
        <w:rPr>
          <w:rFonts w:ascii="Garamond" w:hAnsi="Garamond"/>
        </w:rPr>
        <w:t xml:space="preserve">and last more generations in families, then the inheritance it selfe does; and when no land, no Manor, when no title, no honour descends upon the heir, the stone, or the gout descends upon him’. </w:t>
      </w:r>
      <w:r w:rsidRPr="003B1071">
        <w:rPr>
          <w:rFonts w:ascii="Garamond" w:hAnsi="Garamond"/>
          <w:i/>
        </w:rPr>
        <w:t>Sermons,</w:t>
      </w:r>
      <w:r w:rsidRPr="003B1071">
        <w:rPr>
          <w:rFonts w:ascii="Garamond" w:hAnsi="Garamond"/>
        </w:rPr>
        <w:t xml:space="preserve"> II.1 pp. 62-3. </w:t>
      </w:r>
    </w:p>
  </w:footnote>
  <w:footnote w:id="768">
    <w:p w14:paraId="3093D43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William Higford, </w:t>
      </w:r>
      <w:r w:rsidRPr="003B1071">
        <w:rPr>
          <w:rFonts w:ascii="Garamond" w:eastAsia="Calibri" w:hAnsi="Garamond" w:cs="Times New Roman"/>
          <w:i/>
        </w:rPr>
        <w:t xml:space="preserve">Institutions of a Gentleman, or Advice to his Grandson in Three Parts, Part I </w:t>
      </w:r>
      <w:r w:rsidRPr="003B1071">
        <w:rPr>
          <w:rFonts w:ascii="Garamond" w:eastAsia="Calibri" w:hAnsi="Garamond" w:cs="Times New Roman"/>
        </w:rPr>
        <w:t>(London: 1658),</w:t>
      </w:r>
      <w:r w:rsidRPr="003B1071">
        <w:rPr>
          <w:rFonts w:ascii="Garamond" w:hAnsi="Garamond"/>
        </w:rPr>
        <w:t xml:space="preserve"> pp. 3-4.  </w:t>
      </w:r>
    </w:p>
  </w:footnote>
  <w:footnote w:id="769">
    <w:p w14:paraId="32419D9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Bod. Ms Eg Hist b.192/2 fol.4, cited in McCullough, </w:t>
      </w:r>
      <w:r w:rsidRPr="003B1071">
        <w:rPr>
          <w:rFonts w:ascii="Garamond" w:hAnsi="Garamond"/>
          <w:i/>
          <w:iCs/>
        </w:rPr>
        <w:t>Sermons at Court</w:t>
      </w:r>
      <w:r w:rsidRPr="003B1071">
        <w:rPr>
          <w:rFonts w:ascii="Garamond" w:hAnsi="Garamond"/>
        </w:rPr>
        <w:t xml:space="preserve">, p. 22. The Whitehall chapel was refurbished in 1621-2 under the Deanship of Lancelot Andrewes. The Spanish marriage negotiations saw the introduction of a large silver crucifix and the repainting of the Tudor ceiling and wall murals, pp. 33-4. </w:t>
      </w:r>
    </w:p>
  </w:footnote>
  <w:footnote w:id="770">
    <w:p w14:paraId="1A47B8F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Donne, </w:t>
      </w:r>
      <w:r w:rsidRPr="003B1071">
        <w:rPr>
          <w:rFonts w:ascii="Garamond" w:hAnsi="Garamond"/>
          <w:i/>
          <w:iCs/>
        </w:rPr>
        <w:t xml:space="preserve">Sermons, </w:t>
      </w:r>
      <w:r w:rsidRPr="003B1071">
        <w:rPr>
          <w:rFonts w:ascii="Garamond" w:hAnsi="Garamond"/>
        </w:rPr>
        <w:t xml:space="preserve">II.2, p. 73. </w:t>
      </w:r>
    </w:p>
  </w:footnote>
  <w:footnote w:id="771">
    <w:p w14:paraId="4C8FD96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Cited in Robert Whalen, </w:t>
      </w:r>
      <w:r w:rsidRPr="003B1071">
        <w:rPr>
          <w:rFonts w:ascii="Garamond" w:hAnsi="Garamond"/>
          <w:i/>
        </w:rPr>
        <w:t xml:space="preserve">The Poetry of Immanence </w:t>
      </w:r>
      <w:r w:rsidRPr="003B1071">
        <w:rPr>
          <w:rFonts w:ascii="Garamond" w:hAnsi="Garamond"/>
        </w:rPr>
        <w:t xml:space="preserve">(Toronto: University of Toronto Press, 2002), p. 7. </w:t>
      </w:r>
    </w:p>
  </w:footnote>
  <w:footnote w:id="772">
    <w:p w14:paraId="459375E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Jeffrey </w:t>
      </w:r>
      <w:r w:rsidRPr="003B1071">
        <w:rPr>
          <w:rFonts w:ascii="Garamond" w:eastAsia="Calibri" w:hAnsi="Garamond" w:cs="Times New Roman"/>
        </w:rPr>
        <w:t xml:space="preserve">Johnson, </w:t>
      </w:r>
      <w:r w:rsidRPr="003B1071">
        <w:rPr>
          <w:rFonts w:ascii="Garamond" w:hAnsi="Garamond"/>
          <w:i/>
          <w:iCs/>
        </w:rPr>
        <w:t xml:space="preserve">The Theology of John Donne </w:t>
      </w:r>
      <w:r w:rsidRPr="003B1071">
        <w:rPr>
          <w:rFonts w:ascii="Garamond" w:hAnsi="Garamond"/>
          <w:iCs/>
        </w:rPr>
        <w:t>(</w:t>
      </w:r>
      <w:r w:rsidRPr="003B1071">
        <w:rPr>
          <w:rFonts w:ascii="Garamond" w:hAnsi="Garamond"/>
        </w:rPr>
        <w:t>Cambridge: D.S. Brewer, 1991),</w:t>
      </w:r>
      <w:r w:rsidRPr="003B1071">
        <w:rPr>
          <w:rFonts w:ascii="Garamond" w:eastAsia="Calibri" w:hAnsi="Garamond" w:cs="Times New Roman"/>
        </w:rPr>
        <w:t xml:space="preserve"> p. 140. </w:t>
      </w:r>
    </w:p>
  </w:footnote>
  <w:footnote w:id="773">
    <w:p w14:paraId="451E9E3E"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iCs/>
          <w:lang w:val="fr-FR"/>
        </w:rPr>
        <w:t xml:space="preserve">Sermons, </w:t>
      </w:r>
      <w:r w:rsidRPr="003B1071">
        <w:rPr>
          <w:rFonts w:ascii="Garamond" w:hAnsi="Garamond"/>
          <w:lang w:val="fr-FR"/>
        </w:rPr>
        <w:t xml:space="preserve">VII.11, p. 294.  </w:t>
      </w:r>
    </w:p>
  </w:footnote>
  <w:footnote w:id="774">
    <w:p w14:paraId="42A99860"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iCs/>
          <w:lang w:val="fr-FR"/>
        </w:rPr>
        <w:t xml:space="preserve">Sermons, </w:t>
      </w:r>
      <w:r w:rsidRPr="003B1071">
        <w:rPr>
          <w:rFonts w:ascii="Garamond" w:hAnsi="Garamond"/>
          <w:lang w:val="fr-FR"/>
        </w:rPr>
        <w:t xml:space="preserve">VII.16, p. 400. </w:t>
      </w:r>
    </w:p>
  </w:footnote>
  <w:footnote w:id="775">
    <w:p w14:paraId="7F476B4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Hugh Adlington’s forthcoming </w:t>
      </w:r>
      <w:r w:rsidRPr="003B1071">
        <w:rPr>
          <w:rFonts w:ascii="Garamond" w:hAnsi="Garamond"/>
          <w:i/>
        </w:rPr>
        <w:t>John Donne's Books: Reading, Writing and the Uses of Knowledge</w:t>
      </w:r>
      <w:r w:rsidRPr="003B1071">
        <w:rPr>
          <w:rFonts w:ascii="Garamond" w:hAnsi="Garamond"/>
        </w:rPr>
        <w:t xml:space="preserve"> (Oxford: Oxford University Press) similarly is predicated on the idea that we can recreate the man from his library. </w:t>
      </w:r>
    </w:p>
  </w:footnote>
  <w:footnote w:id="776">
    <w:p w14:paraId="71EB327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Donne, </w:t>
      </w:r>
      <w:r w:rsidRPr="003B1071">
        <w:rPr>
          <w:rFonts w:ascii="Garamond" w:hAnsi="Garamond"/>
          <w:i/>
          <w:iCs/>
        </w:rPr>
        <w:t xml:space="preserve">Sermons, </w:t>
      </w:r>
      <w:r w:rsidRPr="003B1071">
        <w:rPr>
          <w:rFonts w:ascii="Garamond" w:hAnsi="Garamond"/>
        </w:rPr>
        <w:t xml:space="preserve">VI.11, p. 227. </w:t>
      </w:r>
    </w:p>
  </w:footnote>
  <w:footnote w:id="777">
    <w:p w14:paraId="66FB2D5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From the middle ages, </w:t>
      </w:r>
      <w:r w:rsidRPr="003B1071">
        <w:rPr>
          <w:rFonts w:ascii="Garamond" w:hAnsi="Garamond"/>
          <w:i/>
        </w:rPr>
        <w:t xml:space="preserve">florilegia </w:t>
      </w:r>
      <w:r w:rsidRPr="003B1071">
        <w:rPr>
          <w:rFonts w:ascii="Garamond" w:hAnsi="Garamond"/>
        </w:rPr>
        <w:t xml:space="preserve">were volumes in which individuals collected together extracts from classical authors, or </w:t>
      </w:r>
      <w:r w:rsidRPr="003B1071">
        <w:rPr>
          <w:rFonts w:ascii="Garamond" w:hAnsi="Garamond"/>
          <w:i/>
        </w:rPr>
        <w:t xml:space="preserve">flores philosophum </w:t>
      </w:r>
      <w:r w:rsidRPr="003B1071">
        <w:rPr>
          <w:rFonts w:ascii="Garamond" w:hAnsi="Garamond"/>
        </w:rPr>
        <w:t>(flowers of philosophy) in large volumes, taking quotations from plays, prose and poetry. The relationship between text and plants can also be seen in the posey-posy-poetry pun that reoccurs in the period. See Moss, pp. 24-5.</w:t>
      </w:r>
    </w:p>
  </w:footnote>
  <w:footnote w:id="778">
    <w:p w14:paraId="4D0701B3" w14:textId="77777777" w:rsidR="00814479" w:rsidRPr="00667CD5" w:rsidRDefault="00814479" w:rsidP="00162224">
      <w:pPr>
        <w:pStyle w:val="FootnoteText"/>
        <w:rPr>
          <w:rFonts w:ascii="Garamond" w:hAnsi="Garamond"/>
        </w:rPr>
      </w:pPr>
      <w:r w:rsidRPr="003B1071">
        <w:rPr>
          <w:rStyle w:val="FootnoteReference"/>
          <w:rFonts w:ascii="Garamond" w:hAnsi="Garamond"/>
        </w:rPr>
        <w:footnoteRef/>
      </w:r>
      <w:r w:rsidRPr="00667CD5">
        <w:rPr>
          <w:rFonts w:ascii="Garamond" w:hAnsi="Garamond"/>
        </w:rPr>
        <w:t xml:space="preserve"> Donne, </w:t>
      </w:r>
      <w:r w:rsidRPr="00667CD5">
        <w:rPr>
          <w:rFonts w:ascii="Garamond" w:hAnsi="Garamond"/>
          <w:i/>
          <w:iCs/>
        </w:rPr>
        <w:t xml:space="preserve">Sermons, </w:t>
      </w:r>
      <w:r w:rsidRPr="00667CD5">
        <w:rPr>
          <w:rFonts w:ascii="Garamond" w:hAnsi="Garamond"/>
        </w:rPr>
        <w:t xml:space="preserve">VI.11, p. 223. </w:t>
      </w:r>
    </w:p>
  </w:footnote>
  <w:footnote w:id="779">
    <w:p w14:paraId="20D9187B" w14:textId="77777777" w:rsidR="00814479" w:rsidRPr="00667CD5" w:rsidRDefault="00814479" w:rsidP="00162224">
      <w:pPr>
        <w:pStyle w:val="FootnoteText"/>
        <w:rPr>
          <w:rFonts w:ascii="Garamond" w:hAnsi="Garamond"/>
        </w:rPr>
      </w:pPr>
      <w:r w:rsidRPr="003B1071">
        <w:rPr>
          <w:rStyle w:val="FootnoteReference"/>
          <w:rFonts w:ascii="Garamond" w:hAnsi="Garamond"/>
        </w:rPr>
        <w:footnoteRef/>
      </w:r>
      <w:r w:rsidRPr="00667CD5">
        <w:rPr>
          <w:rFonts w:ascii="Garamond" w:hAnsi="Garamond"/>
        </w:rPr>
        <w:t xml:space="preserve"> Donne, </w:t>
      </w:r>
      <w:r w:rsidRPr="00667CD5">
        <w:rPr>
          <w:rFonts w:ascii="Garamond" w:hAnsi="Garamond"/>
          <w:i/>
          <w:iCs/>
        </w:rPr>
        <w:t xml:space="preserve">Sermons, </w:t>
      </w:r>
      <w:r w:rsidRPr="00667CD5">
        <w:rPr>
          <w:rFonts w:ascii="Garamond" w:hAnsi="Garamond"/>
        </w:rPr>
        <w:t xml:space="preserve">II.11, p. 237. </w:t>
      </w:r>
    </w:p>
  </w:footnote>
  <w:footnote w:id="780">
    <w:p w14:paraId="438CE21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t>
      </w:r>
      <w:bookmarkStart w:id="93" w:name="_Hlk532384386"/>
      <w:r w:rsidRPr="003B1071">
        <w:rPr>
          <w:rFonts w:ascii="Garamond" w:hAnsi="Garamond"/>
        </w:rPr>
        <w:t xml:space="preserve">Joan Webber, </w:t>
      </w:r>
      <w:r w:rsidRPr="003B1071">
        <w:rPr>
          <w:rFonts w:ascii="Garamond" w:hAnsi="Garamond"/>
          <w:i/>
        </w:rPr>
        <w:t>Contrary Music</w:t>
      </w:r>
      <w:r w:rsidRPr="003B1071">
        <w:rPr>
          <w:rFonts w:ascii="Garamond" w:hAnsi="Garamond"/>
        </w:rPr>
        <w:t xml:space="preserve"> (Madison: University of Wisconsin Press, 1963)</w:t>
      </w:r>
      <w:bookmarkEnd w:id="93"/>
      <w:r w:rsidRPr="003B1071">
        <w:rPr>
          <w:rFonts w:ascii="Garamond" w:hAnsi="Garamond"/>
        </w:rPr>
        <w:t xml:space="preserve">, p. 22. </w:t>
      </w:r>
    </w:p>
  </w:footnote>
  <w:footnote w:id="781">
    <w:p w14:paraId="0ECADADC" w14:textId="77777777" w:rsidR="00814479" w:rsidRPr="003B1071" w:rsidRDefault="00814479" w:rsidP="00162224">
      <w:pPr>
        <w:pStyle w:val="FootnoteText"/>
        <w:rPr>
          <w:rFonts w:ascii="Garamond" w:hAnsi="Garamond"/>
          <w:highlight w:val="yellow"/>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iCs/>
          <w:lang w:val="fr-FR"/>
        </w:rPr>
        <w:t xml:space="preserve">Sermons, </w:t>
      </w:r>
      <w:r w:rsidRPr="003B1071">
        <w:rPr>
          <w:rFonts w:ascii="Garamond" w:hAnsi="Garamond"/>
          <w:lang w:val="fr-FR"/>
        </w:rPr>
        <w:t xml:space="preserve">II.11, p. 237. </w:t>
      </w:r>
    </w:p>
  </w:footnote>
  <w:footnote w:id="782">
    <w:p w14:paraId="173AF47A"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iCs/>
          <w:lang w:val="fr-FR"/>
        </w:rPr>
        <w:t xml:space="preserve">Sermons, </w:t>
      </w:r>
      <w:r w:rsidRPr="003B1071">
        <w:rPr>
          <w:rFonts w:ascii="Garamond" w:hAnsi="Garamond"/>
          <w:lang w:val="fr-FR"/>
        </w:rPr>
        <w:t xml:space="preserve">II.11, p. 238.  </w:t>
      </w:r>
    </w:p>
  </w:footnote>
  <w:footnote w:id="783">
    <w:p w14:paraId="4BC1BBE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Ronald Hutton, </w:t>
      </w:r>
      <w:r w:rsidRPr="003B1071">
        <w:rPr>
          <w:rFonts w:ascii="Garamond" w:hAnsi="Garamond"/>
          <w:i/>
        </w:rPr>
        <w:t xml:space="preserve">The Rise and Fall of Merry England: The Ritual Year 1400-1700 </w:t>
      </w:r>
      <w:r w:rsidRPr="003B1071">
        <w:rPr>
          <w:rFonts w:ascii="Garamond" w:hAnsi="Garamond"/>
        </w:rPr>
        <w:t xml:space="preserve">(Oxford: Oxford University Press, 1994) pp. 182-6. </w:t>
      </w:r>
    </w:p>
  </w:footnote>
  <w:footnote w:id="784">
    <w:p w14:paraId="6252164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Hengchen Dai, Katherine L. Milkman, and Jason Riis, ‘Put Your Imperfections Behind You: Temporal Landmarks Spur Goal Initiation When They Signal New Beginnings’ in </w:t>
      </w:r>
      <w:r w:rsidRPr="003B1071">
        <w:rPr>
          <w:rFonts w:ascii="Garamond" w:hAnsi="Garamond"/>
          <w:i/>
        </w:rPr>
        <w:t xml:space="preserve">Psychological Science, </w:t>
      </w:r>
      <w:r w:rsidRPr="003B1071">
        <w:rPr>
          <w:rFonts w:ascii="Garamond" w:hAnsi="Garamond"/>
        </w:rPr>
        <w:t xml:space="preserve">26.12 (November 2015), 1927-1936. </w:t>
      </w:r>
    </w:p>
  </w:footnote>
  <w:footnote w:id="785">
    <w:p w14:paraId="022DBD0C"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Hengchen et al, p. 1927. </w:t>
      </w:r>
    </w:p>
  </w:footnote>
  <w:footnote w:id="786">
    <w:p w14:paraId="2FBA36A0" w14:textId="1EFCE9F8"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proofErr w:type="spellStart"/>
      <w:r w:rsidRPr="003B1071">
        <w:rPr>
          <w:rFonts w:ascii="Garamond" w:hAnsi="Garamond"/>
          <w:i/>
          <w:lang w:val="fr-FR"/>
        </w:rPr>
        <w:t>Devotions</w:t>
      </w:r>
      <w:proofErr w:type="spellEnd"/>
      <w:r w:rsidRPr="003B1071">
        <w:rPr>
          <w:rFonts w:ascii="Garamond" w:hAnsi="Garamond"/>
          <w:i/>
          <w:lang w:val="fr-FR"/>
        </w:rPr>
        <w:t xml:space="preserve"> on Emergent Occasion</w:t>
      </w:r>
      <w:r w:rsidR="00475FC6">
        <w:rPr>
          <w:rFonts w:ascii="Garamond" w:hAnsi="Garamond"/>
          <w:i/>
          <w:lang w:val="fr-FR"/>
        </w:rPr>
        <w:t>s</w:t>
      </w:r>
      <w:r w:rsidRPr="003B1071">
        <w:rPr>
          <w:rFonts w:ascii="Garamond" w:hAnsi="Garamond"/>
          <w:lang w:val="fr-FR"/>
        </w:rPr>
        <w:t xml:space="preserve"> (</w:t>
      </w:r>
      <w:proofErr w:type="gramStart"/>
      <w:r w:rsidRPr="003B1071">
        <w:rPr>
          <w:rFonts w:ascii="Garamond" w:hAnsi="Garamond"/>
          <w:lang w:val="fr-FR"/>
        </w:rPr>
        <w:t>London:</w:t>
      </w:r>
      <w:proofErr w:type="gramEnd"/>
      <w:r w:rsidRPr="003B1071">
        <w:rPr>
          <w:rFonts w:ascii="Garamond" w:hAnsi="Garamond"/>
          <w:lang w:val="fr-FR"/>
        </w:rPr>
        <w:t xml:space="preserve"> McGill-</w:t>
      </w:r>
      <w:proofErr w:type="spellStart"/>
      <w:r w:rsidRPr="003B1071">
        <w:rPr>
          <w:rFonts w:ascii="Garamond" w:hAnsi="Garamond"/>
          <w:lang w:val="fr-FR"/>
        </w:rPr>
        <w:t>Queen’s</w:t>
      </w:r>
      <w:proofErr w:type="spellEnd"/>
      <w:r w:rsidRPr="003B1071">
        <w:rPr>
          <w:rFonts w:ascii="Garamond" w:hAnsi="Garamond"/>
          <w:lang w:val="fr-FR"/>
        </w:rPr>
        <w:t xml:space="preserve"> </w:t>
      </w:r>
      <w:proofErr w:type="spellStart"/>
      <w:r w:rsidRPr="003B1071">
        <w:rPr>
          <w:rFonts w:ascii="Garamond" w:hAnsi="Garamond"/>
          <w:lang w:val="fr-FR"/>
        </w:rPr>
        <w:t>University</w:t>
      </w:r>
      <w:proofErr w:type="spellEnd"/>
      <w:r w:rsidRPr="003B1071">
        <w:rPr>
          <w:rFonts w:ascii="Garamond" w:hAnsi="Garamond"/>
          <w:lang w:val="fr-FR"/>
        </w:rPr>
        <w:t xml:space="preserve"> </w:t>
      </w:r>
      <w:proofErr w:type="spellStart"/>
      <w:r w:rsidRPr="003B1071">
        <w:rPr>
          <w:rFonts w:ascii="Garamond" w:hAnsi="Garamond"/>
          <w:lang w:val="fr-FR"/>
        </w:rPr>
        <w:t>Press</w:t>
      </w:r>
      <w:proofErr w:type="spellEnd"/>
      <w:r w:rsidRPr="003B1071">
        <w:rPr>
          <w:rFonts w:ascii="Garamond" w:hAnsi="Garamond"/>
          <w:lang w:val="fr-FR"/>
        </w:rPr>
        <w:t>, 1975),</w:t>
      </w:r>
      <w:r w:rsidRPr="003B1071">
        <w:rPr>
          <w:rFonts w:ascii="Garamond" w:hAnsi="Garamond"/>
          <w:i/>
          <w:lang w:val="fr-FR"/>
        </w:rPr>
        <w:t xml:space="preserve"> </w:t>
      </w:r>
      <w:r w:rsidRPr="003B1071">
        <w:rPr>
          <w:rFonts w:ascii="Garamond" w:hAnsi="Garamond"/>
          <w:lang w:val="fr-FR"/>
        </w:rPr>
        <w:t xml:space="preserve">p. 87. Donne, </w:t>
      </w:r>
      <w:r w:rsidRPr="003B1071">
        <w:rPr>
          <w:rFonts w:ascii="Garamond" w:hAnsi="Garamond"/>
          <w:i/>
          <w:lang w:val="fr-FR"/>
        </w:rPr>
        <w:t xml:space="preserve">Sermons, </w:t>
      </w:r>
      <w:r w:rsidRPr="003B1071">
        <w:rPr>
          <w:rFonts w:ascii="Garamond" w:hAnsi="Garamond"/>
          <w:lang w:val="fr-FR"/>
        </w:rPr>
        <w:t xml:space="preserve">II.11, p. 245. </w:t>
      </w:r>
    </w:p>
  </w:footnote>
  <w:footnote w:id="787">
    <w:p w14:paraId="15CE53A0" w14:textId="77777777" w:rsidR="00814479" w:rsidRPr="00667CD5" w:rsidRDefault="00814479" w:rsidP="00162224">
      <w:pPr>
        <w:pStyle w:val="FootnoteText"/>
        <w:rPr>
          <w:rFonts w:ascii="Garamond" w:hAnsi="Garamond"/>
          <w:lang w:val="fr-FR"/>
        </w:rPr>
      </w:pPr>
      <w:r w:rsidRPr="003B1071">
        <w:rPr>
          <w:rStyle w:val="FootnoteReference"/>
          <w:rFonts w:ascii="Garamond" w:hAnsi="Garamond"/>
        </w:rPr>
        <w:footnoteRef/>
      </w:r>
      <w:r w:rsidRPr="00667CD5">
        <w:rPr>
          <w:rFonts w:ascii="Garamond" w:hAnsi="Garamond"/>
          <w:lang w:val="fr-FR"/>
        </w:rPr>
        <w:t xml:space="preserve"> J. Wall, pp. 84-6.</w:t>
      </w:r>
    </w:p>
  </w:footnote>
  <w:footnote w:id="788">
    <w:p w14:paraId="276ACDC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667CD5">
        <w:rPr>
          <w:rFonts w:ascii="Garamond" w:hAnsi="Garamond"/>
          <w:lang w:val="fr-FR"/>
        </w:rPr>
        <w:t xml:space="preserve"> Donne, </w:t>
      </w:r>
      <w:r w:rsidRPr="00667CD5">
        <w:rPr>
          <w:rFonts w:ascii="Garamond" w:hAnsi="Garamond"/>
          <w:i/>
          <w:iCs/>
          <w:lang w:val="fr-FR"/>
        </w:rPr>
        <w:t xml:space="preserve">Sermons, </w:t>
      </w:r>
      <w:r w:rsidRPr="00667CD5">
        <w:rPr>
          <w:rFonts w:ascii="Garamond" w:hAnsi="Garamond"/>
          <w:lang w:val="fr-FR"/>
        </w:rPr>
        <w:t xml:space="preserve">II.11, p. 245. </w:t>
      </w:r>
      <w:r w:rsidRPr="003B1071">
        <w:rPr>
          <w:rFonts w:ascii="Garamond" w:hAnsi="Garamond"/>
        </w:rPr>
        <w:t xml:space="preserve">It is perhaps noteworthy that in Potter &amp; Simpson version of this sermon based on the manuscript accounts of the Ellesmere and the Wilfred Merton Manuscripts marks a paragraph break at this point, suggesting that in the sermon as performed this was a natural pause point. </w:t>
      </w:r>
    </w:p>
  </w:footnote>
  <w:footnote w:id="789">
    <w:p w14:paraId="47655563"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lang w:val="fr-FR"/>
        </w:rPr>
        <w:t xml:space="preserve">Sermons, </w:t>
      </w:r>
      <w:r w:rsidRPr="003B1071">
        <w:rPr>
          <w:rFonts w:ascii="Garamond" w:hAnsi="Garamond"/>
          <w:lang w:val="fr-FR"/>
        </w:rPr>
        <w:t xml:space="preserve">II.11, p. 245. </w:t>
      </w:r>
    </w:p>
  </w:footnote>
  <w:footnote w:id="790">
    <w:p w14:paraId="158987BE"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lang w:val="fr-FR"/>
        </w:rPr>
        <w:t xml:space="preserve">Sermons, </w:t>
      </w:r>
      <w:r w:rsidRPr="003B1071">
        <w:rPr>
          <w:rFonts w:ascii="Garamond" w:hAnsi="Garamond"/>
          <w:lang w:val="fr-FR"/>
        </w:rPr>
        <w:t xml:space="preserve">II.11, p. 245. </w:t>
      </w:r>
    </w:p>
  </w:footnote>
  <w:footnote w:id="791">
    <w:p w14:paraId="5829302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Sullivan, pp. 11-39. </w:t>
      </w:r>
    </w:p>
  </w:footnote>
  <w:footnote w:id="792">
    <w:p w14:paraId="3F2947D9" w14:textId="77777777" w:rsidR="00814479" w:rsidRPr="003B1071" w:rsidRDefault="00814479" w:rsidP="00162224">
      <w:pPr>
        <w:pStyle w:val="FootnoteText"/>
        <w:rPr>
          <w:rFonts w:ascii="Garamond" w:hAnsi="Garamond"/>
          <w:u w:val="single"/>
        </w:rPr>
      </w:pPr>
      <w:r w:rsidRPr="003B1071">
        <w:rPr>
          <w:rStyle w:val="FootnoteReference"/>
          <w:rFonts w:ascii="Garamond" w:hAnsi="Garamond"/>
        </w:rPr>
        <w:footnoteRef/>
      </w:r>
      <w:r w:rsidRPr="003B1071">
        <w:rPr>
          <w:rFonts w:ascii="Garamond" w:hAnsi="Garamond"/>
        </w:rPr>
        <w:t xml:space="preserve"> William Loe, </w:t>
      </w:r>
      <w:r w:rsidRPr="003B1071">
        <w:rPr>
          <w:rFonts w:ascii="Garamond" w:hAnsi="Garamond"/>
          <w:i/>
        </w:rPr>
        <w:t xml:space="preserve">Merchant Reall, </w:t>
      </w:r>
      <w:r w:rsidRPr="003B1071">
        <w:rPr>
          <w:rFonts w:ascii="Garamond" w:hAnsi="Garamond"/>
        </w:rPr>
        <w:t xml:space="preserve">p. 22, cited in Sullivan, p. 41. </w:t>
      </w:r>
    </w:p>
  </w:footnote>
  <w:footnote w:id="793">
    <w:p w14:paraId="2DB6171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Daniel Price, </w:t>
      </w:r>
      <w:r w:rsidRPr="003B1071">
        <w:rPr>
          <w:rFonts w:ascii="Garamond" w:hAnsi="Garamond"/>
          <w:i/>
          <w:iCs/>
        </w:rPr>
        <w:t xml:space="preserve">The Marchant: A Sermon </w:t>
      </w:r>
      <w:r w:rsidRPr="003B1071">
        <w:rPr>
          <w:rFonts w:ascii="Garamond" w:hAnsi="Garamond"/>
        </w:rPr>
        <w:t>(Oxford: 1608)</w:t>
      </w:r>
      <w:r w:rsidRPr="003B1071">
        <w:rPr>
          <w:rFonts w:ascii="Garamond" w:hAnsi="Garamond"/>
          <w:i/>
          <w:iCs/>
        </w:rPr>
        <w:t xml:space="preserve">, </w:t>
      </w:r>
      <w:r w:rsidRPr="003B1071">
        <w:rPr>
          <w:rFonts w:ascii="Garamond" w:hAnsi="Garamond"/>
          <w:iCs/>
        </w:rPr>
        <w:t xml:space="preserve">p. 6. </w:t>
      </w:r>
    </w:p>
  </w:footnote>
  <w:footnote w:id="794">
    <w:p w14:paraId="3DA09D3B"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lang w:val="fr-FR"/>
        </w:rPr>
        <w:t>Sermons</w:t>
      </w:r>
      <w:r w:rsidRPr="003B1071">
        <w:rPr>
          <w:rFonts w:ascii="Garamond" w:hAnsi="Garamond"/>
          <w:lang w:val="fr-FR"/>
        </w:rPr>
        <w:t xml:space="preserve"> II.11, pp. 248-9.  </w:t>
      </w:r>
    </w:p>
  </w:footnote>
  <w:footnote w:id="795">
    <w:p w14:paraId="55BCAC09"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lang w:val="fr-FR"/>
        </w:rPr>
        <w:t xml:space="preserve">Sermons </w:t>
      </w:r>
      <w:r w:rsidRPr="003B1071">
        <w:rPr>
          <w:rFonts w:ascii="Garamond" w:hAnsi="Garamond"/>
          <w:lang w:val="fr-FR"/>
        </w:rPr>
        <w:t xml:space="preserve">II.11, p. 249. </w:t>
      </w:r>
    </w:p>
  </w:footnote>
  <w:footnote w:id="796">
    <w:p w14:paraId="4220B9A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As well as the revised version in </w:t>
      </w:r>
      <w:r w:rsidRPr="003B1071">
        <w:rPr>
          <w:rFonts w:ascii="Garamond" w:hAnsi="Garamond"/>
          <w:i/>
        </w:rPr>
        <w:t xml:space="preserve">XXVI Sermons, </w:t>
      </w:r>
      <w:r w:rsidRPr="003B1071">
        <w:rPr>
          <w:rFonts w:ascii="Garamond" w:hAnsi="Garamond"/>
        </w:rPr>
        <w:t xml:space="preserve">copies of this sermon appear in Ashmolean Manuscript 781, the Dowden Manuscript, the Ellesmere Manuscript, the Lothian Manuscript, the Dobell Manuscript, Harley 6359 and the Wilfred Merton Manuscript, in addition to a pirated printed text in </w:t>
      </w:r>
      <w:r w:rsidRPr="003B1071">
        <w:rPr>
          <w:rFonts w:ascii="Garamond" w:hAnsi="Garamond"/>
          <w:i/>
        </w:rPr>
        <w:t xml:space="preserve">Sapientia Clamentis </w:t>
      </w:r>
      <w:r w:rsidRPr="003B1071">
        <w:rPr>
          <w:rFonts w:ascii="Garamond" w:hAnsi="Garamond"/>
        </w:rPr>
        <w:t xml:space="preserve">(1638). </w:t>
      </w:r>
    </w:p>
  </w:footnote>
  <w:footnote w:id="797">
    <w:p w14:paraId="7C7FE49B" w14:textId="618CF4E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Do</w:t>
      </w:r>
      <w:r>
        <w:rPr>
          <w:rFonts w:ascii="Garamond" w:hAnsi="Garamond"/>
        </w:rPr>
        <w:t>n</w:t>
      </w:r>
      <w:r w:rsidRPr="003B1071">
        <w:rPr>
          <w:rFonts w:ascii="Garamond" w:hAnsi="Garamond"/>
        </w:rPr>
        <w:t xml:space="preserve">ne, </w:t>
      </w:r>
      <w:r w:rsidRPr="003B1071">
        <w:rPr>
          <w:rFonts w:ascii="Garamond" w:hAnsi="Garamond"/>
          <w:i/>
        </w:rPr>
        <w:t xml:space="preserve">Sermons, </w:t>
      </w:r>
      <w:r w:rsidRPr="003B1071">
        <w:rPr>
          <w:rFonts w:ascii="Garamond" w:hAnsi="Garamond"/>
        </w:rPr>
        <w:t xml:space="preserve">II.11, p. 390. This version printed in </w:t>
      </w:r>
      <w:r w:rsidRPr="003B1071">
        <w:rPr>
          <w:rFonts w:ascii="Garamond" w:hAnsi="Garamond"/>
          <w:i/>
        </w:rPr>
        <w:t xml:space="preserve">P&amp;S </w:t>
      </w:r>
      <w:r w:rsidRPr="003B1071">
        <w:rPr>
          <w:rFonts w:ascii="Garamond" w:hAnsi="Garamond"/>
        </w:rPr>
        <w:t xml:space="preserve">is based on the text in the Ellesmere and the Wilfred Merton Manuscript. For contrast, the revised edition in </w:t>
      </w:r>
      <w:r w:rsidRPr="003B1071">
        <w:rPr>
          <w:rFonts w:ascii="Garamond" w:hAnsi="Garamond"/>
          <w:i/>
        </w:rPr>
        <w:t xml:space="preserve">XXVI Sermons </w:t>
      </w:r>
      <w:r w:rsidRPr="003B1071">
        <w:rPr>
          <w:rFonts w:ascii="Garamond" w:hAnsi="Garamond"/>
        </w:rPr>
        <w:t xml:space="preserve">ends on a more positive, hopeful note: ‘where we shall end, and yet begin but then; where we shall have continually rest, and yet never grow lazie; where we shall be stronger to resist, and yet have no enemy; where we shall live and never die, where we shall meet and never part’, </w:t>
      </w:r>
      <w:r w:rsidRPr="003B1071">
        <w:rPr>
          <w:rFonts w:ascii="Garamond" w:hAnsi="Garamond"/>
          <w:i/>
        </w:rPr>
        <w:t xml:space="preserve">Sermons, </w:t>
      </w:r>
      <w:r w:rsidRPr="003B1071">
        <w:rPr>
          <w:rFonts w:ascii="Garamond" w:hAnsi="Garamond"/>
        </w:rPr>
        <w:t xml:space="preserve">II.11, p. 249. </w:t>
      </w:r>
    </w:p>
  </w:footnote>
  <w:footnote w:id="798">
    <w:p w14:paraId="51720871"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Donne, </w:t>
      </w:r>
      <w:r w:rsidRPr="003B1071">
        <w:rPr>
          <w:rFonts w:ascii="Garamond" w:hAnsi="Garamond"/>
          <w:i/>
        </w:rPr>
        <w:t xml:space="preserve">Sermons, </w:t>
      </w:r>
      <w:r w:rsidRPr="003B1071">
        <w:rPr>
          <w:rFonts w:ascii="Garamond" w:hAnsi="Garamond"/>
        </w:rPr>
        <w:t xml:space="preserve">II.12. Simpson reports that this sermon ‘has a puzzling heading’. It is described in </w:t>
      </w:r>
      <w:r w:rsidRPr="003B1071">
        <w:rPr>
          <w:rFonts w:ascii="Garamond" w:hAnsi="Garamond"/>
          <w:i/>
        </w:rPr>
        <w:t xml:space="preserve">XXVI Sermons </w:t>
      </w:r>
      <w:r w:rsidRPr="003B1071">
        <w:rPr>
          <w:rFonts w:ascii="Garamond" w:hAnsi="Garamond"/>
        </w:rPr>
        <w:t xml:space="preserve">as ‘Two Sermons’, and yet there is no second. </w:t>
      </w:r>
    </w:p>
  </w:footnote>
  <w:footnote w:id="799">
    <w:p w14:paraId="1EBAB3E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Donne, </w:t>
      </w:r>
      <w:r w:rsidRPr="003B1071">
        <w:rPr>
          <w:rFonts w:ascii="Garamond" w:hAnsi="Garamond"/>
          <w:i/>
        </w:rPr>
        <w:t xml:space="preserve">Sermons, </w:t>
      </w:r>
      <w:r w:rsidRPr="003B1071">
        <w:rPr>
          <w:rFonts w:ascii="Garamond" w:hAnsi="Garamond"/>
        </w:rPr>
        <w:t xml:space="preserve">II.12, p. 250. </w:t>
      </w:r>
    </w:p>
  </w:footnote>
  <w:footnote w:id="800">
    <w:p w14:paraId="7B93E753" w14:textId="67A8850A"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Augustine, </w:t>
      </w:r>
      <w:r w:rsidRPr="003B1071">
        <w:rPr>
          <w:rFonts w:ascii="Garamond" w:hAnsi="Garamond"/>
          <w:i/>
          <w:iCs/>
        </w:rPr>
        <w:t>The Confessions</w:t>
      </w:r>
      <w:r w:rsidRPr="003B1071">
        <w:rPr>
          <w:rFonts w:ascii="Garamond" w:hAnsi="Garamond"/>
          <w:iCs/>
        </w:rPr>
        <w:t xml:space="preserve"> (Oxford: Oxford University Press, 2008)</w:t>
      </w:r>
      <w:r w:rsidRPr="003B1071">
        <w:rPr>
          <w:rFonts w:ascii="Garamond" w:hAnsi="Garamond"/>
          <w:i/>
        </w:rPr>
        <w:t xml:space="preserve"> </w:t>
      </w:r>
      <w:r w:rsidRPr="003B1071">
        <w:rPr>
          <w:rFonts w:ascii="Garamond" w:hAnsi="Garamond"/>
        </w:rPr>
        <w:t xml:space="preserve">Book 11, 27:36.   </w:t>
      </w:r>
    </w:p>
  </w:footnote>
  <w:footnote w:id="801">
    <w:p w14:paraId="741E4F8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Cram, pp. 189-212. </w:t>
      </w:r>
    </w:p>
  </w:footnote>
  <w:footnote w:id="802">
    <w:p w14:paraId="49DD583D" w14:textId="77777777" w:rsidR="00814479" w:rsidRPr="003B1071" w:rsidRDefault="00814479" w:rsidP="00162224">
      <w:pPr>
        <w:pStyle w:val="FootnoteText"/>
        <w:rPr>
          <w:rFonts w:ascii="Garamond" w:hAnsi="Garamond"/>
          <w:i/>
        </w:rPr>
      </w:pPr>
      <w:r w:rsidRPr="003B1071">
        <w:rPr>
          <w:rStyle w:val="FootnoteReference"/>
          <w:rFonts w:ascii="Garamond" w:hAnsi="Garamond"/>
        </w:rPr>
        <w:footnoteRef/>
      </w:r>
      <w:r w:rsidRPr="003B1071">
        <w:rPr>
          <w:rFonts w:ascii="Garamond" w:hAnsi="Garamond"/>
        </w:rPr>
        <w:t xml:space="preserve"> See George Lakoff and Mark Johnston, </w:t>
      </w:r>
      <w:r w:rsidRPr="003B1071">
        <w:rPr>
          <w:rFonts w:ascii="Garamond" w:hAnsi="Garamond"/>
          <w:i/>
        </w:rPr>
        <w:t xml:space="preserve">Metaphors We Live By </w:t>
      </w:r>
      <w:r w:rsidRPr="003B1071">
        <w:rPr>
          <w:rFonts w:ascii="Garamond" w:hAnsi="Garamond"/>
        </w:rPr>
        <w:t>(Chicago: University of Chicago Press, 1980).</w:t>
      </w:r>
    </w:p>
  </w:footnote>
  <w:footnote w:id="803">
    <w:p w14:paraId="4B8EFB8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Barry Dainton, </w:t>
      </w:r>
      <w:r w:rsidRPr="003B1071">
        <w:rPr>
          <w:rFonts w:ascii="Garamond" w:hAnsi="Garamond"/>
          <w:i/>
        </w:rPr>
        <w:t xml:space="preserve">The Phenomenal Self </w:t>
      </w:r>
      <w:r w:rsidRPr="003B1071">
        <w:rPr>
          <w:rFonts w:ascii="Garamond" w:hAnsi="Garamond"/>
          <w:iCs/>
        </w:rPr>
        <w:t>(Oxford: Oxford University Press, 2008),</w:t>
      </w:r>
      <w:r w:rsidRPr="003B1071">
        <w:rPr>
          <w:rFonts w:ascii="Garamond" w:hAnsi="Garamond"/>
          <w:i/>
        </w:rPr>
        <w:t xml:space="preserve"> </w:t>
      </w:r>
      <w:r w:rsidRPr="003B1071">
        <w:rPr>
          <w:rFonts w:ascii="Garamond" w:hAnsi="Garamond"/>
          <w:iCs/>
        </w:rPr>
        <w:t>p. 52</w:t>
      </w:r>
      <w:r w:rsidRPr="003B1071">
        <w:rPr>
          <w:rFonts w:ascii="Garamond" w:hAnsi="Garamond"/>
        </w:rPr>
        <w:t xml:space="preserve">. </w:t>
      </w:r>
    </w:p>
  </w:footnote>
  <w:footnote w:id="804">
    <w:p w14:paraId="4754E61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Cram, p. 192.  </w:t>
      </w:r>
    </w:p>
  </w:footnote>
  <w:footnote w:id="805">
    <w:p w14:paraId="1F0C4EC9" w14:textId="7AEF3AEB"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Heather </w:t>
      </w:r>
      <w:bookmarkStart w:id="97" w:name="_Hlk532376012"/>
      <w:r w:rsidRPr="003B1071">
        <w:rPr>
          <w:rFonts w:ascii="Garamond" w:hAnsi="Garamond"/>
        </w:rPr>
        <w:t xml:space="preserve">Dubrow, </w:t>
      </w:r>
      <w:r w:rsidRPr="003B1071">
        <w:rPr>
          <w:rFonts w:ascii="Garamond" w:hAnsi="Garamond"/>
          <w:i/>
        </w:rPr>
        <w:t xml:space="preserve">Deixis in the Early Modern English Lyric: Unsettling Spatial Anchors Like ‘Here,’ ‘This,’ ‘Come’ </w:t>
      </w:r>
      <w:r w:rsidRPr="003B1071">
        <w:rPr>
          <w:rFonts w:ascii="Garamond" w:hAnsi="Garamond"/>
        </w:rPr>
        <w:t>(Basingstoke: Palgrave Macmillan, 2015)</w:t>
      </w:r>
      <w:bookmarkEnd w:id="97"/>
      <w:r w:rsidRPr="003B1071">
        <w:rPr>
          <w:rFonts w:ascii="Garamond" w:hAnsi="Garamond"/>
          <w:i/>
        </w:rPr>
        <w:t xml:space="preserve"> </w:t>
      </w:r>
      <w:bookmarkStart w:id="98" w:name="_Hlk532376554"/>
      <w:r w:rsidRPr="003B1071">
        <w:rPr>
          <w:rFonts w:ascii="Garamond" w:hAnsi="Garamond"/>
        </w:rPr>
        <w:t xml:space="preserve">Danielle A. Hilaire, ‘The Grammar of Salvation and the Poetics of Possibility in Donne's Holy Sonnets’ in </w:t>
      </w:r>
      <w:r w:rsidRPr="003B1071">
        <w:rPr>
          <w:rFonts w:ascii="Garamond" w:hAnsi="Garamond"/>
          <w:i/>
        </w:rPr>
        <w:t>Studies in Philology</w:t>
      </w:r>
      <w:r w:rsidRPr="003B1071">
        <w:rPr>
          <w:rFonts w:ascii="Garamond" w:hAnsi="Garamond"/>
        </w:rPr>
        <w:t>, 114.3 (2017), 591-608.</w:t>
      </w:r>
    </w:p>
    <w:bookmarkEnd w:id="98"/>
  </w:footnote>
  <w:footnote w:id="806">
    <w:p w14:paraId="3637389B" w14:textId="46B43EEF"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This sonnet was 3</w:t>
      </w:r>
      <w:r w:rsidRPr="003B1071">
        <w:rPr>
          <w:rFonts w:ascii="Garamond" w:hAnsi="Garamond"/>
          <w:vertAlign w:val="superscript"/>
        </w:rPr>
        <w:t>rd</w:t>
      </w:r>
      <w:r w:rsidRPr="003B1071">
        <w:rPr>
          <w:rFonts w:ascii="Garamond" w:hAnsi="Garamond"/>
        </w:rPr>
        <w:t xml:space="preserve"> in the 1633 edition of Donne’s poems and 6</w:t>
      </w:r>
      <w:r w:rsidRPr="003B1071">
        <w:rPr>
          <w:rFonts w:ascii="Garamond" w:hAnsi="Garamond"/>
          <w:vertAlign w:val="superscript"/>
        </w:rPr>
        <w:t>th</w:t>
      </w:r>
      <w:r w:rsidRPr="003B1071">
        <w:rPr>
          <w:rFonts w:ascii="Garamond" w:hAnsi="Garamond"/>
        </w:rPr>
        <w:t xml:space="preserve"> in the 1635. Donne, </w:t>
      </w:r>
      <w:r w:rsidRPr="003B1071">
        <w:rPr>
          <w:rFonts w:ascii="Garamond" w:hAnsi="Garamond"/>
          <w:i/>
        </w:rPr>
        <w:t xml:space="preserve">Poems </w:t>
      </w:r>
      <w:r w:rsidRPr="003B1071">
        <w:rPr>
          <w:rFonts w:ascii="Garamond" w:hAnsi="Garamond"/>
          <w:iCs/>
        </w:rPr>
        <w:t xml:space="preserve">(London: Dent, 1985) </w:t>
      </w:r>
      <w:r w:rsidRPr="003B1071">
        <w:rPr>
          <w:rFonts w:ascii="Garamond" w:hAnsi="Garamond"/>
        </w:rPr>
        <w:t xml:space="preserve">pp. 437-8.   </w:t>
      </w:r>
    </w:p>
  </w:footnote>
  <w:footnote w:id="807">
    <w:p w14:paraId="7F836600" w14:textId="77777777" w:rsidR="00814479" w:rsidRPr="003B1071" w:rsidRDefault="00814479" w:rsidP="00162224">
      <w:pPr>
        <w:pStyle w:val="FootnoteText"/>
        <w:rPr>
          <w:rFonts w:ascii="Garamond" w:hAnsi="Garamond"/>
          <w:highlight w:val="cyan"/>
        </w:rPr>
      </w:pPr>
      <w:r w:rsidRPr="003B1071">
        <w:rPr>
          <w:rStyle w:val="FootnoteReference"/>
          <w:rFonts w:ascii="Garamond" w:hAnsi="Garamond"/>
        </w:rPr>
        <w:footnoteRef/>
      </w:r>
      <w:r w:rsidRPr="003B1071">
        <w:rPr>
          <w:rFonts w:ascii="Garamond" w:hAnsi="Garamond"/>
        </w:rPr>
        <w:t xml:space="preserve"> Heather Dubrow, </w:t>
      </w:r>
      <w:bookmarkStart w:id="99" w:name="_Hlk532376982"/>
      <w:r w:rsidRPr="003B1071">
        <w:rPr>
          <w:rFonts w:ascii="Garamond" w:hAnsi="Garamond"/>
        </w:rPr>
        <w:t>‘Hark: Flashlights, Flashpoints, Flashfloods in Donne’s Poetry’ in John Donne Society Conference, University of Lausanne, 29</w:t>
      </w:r>
      <w:r w:rsidRPr="003B1071">
        <w:rPr>
          <w:rFonts w:ascii="Garamond" w:hAnsi="Garamond"/>
          <w:vertAlign w:val="superscript"/>
        </w:rPr>
        <w:t>th</w:t>
      </w:r>
      <w:r w:rsidRPr="003B1071">
        <w:rPr>
          <w:rFonts w:ascii="Garamond" w:hAnsi="Garamond"/>
        </w:rPr>
        <w:t xml:space="preserve"> June 2018. </w:t>
      </w:r>
      <w:bookmarkEnd w:id="99"/>
    </w:p>
  </w:footnote>
  <w:footnote w:id="808">
    <w:p w14:paraId="6EED0A1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Donne, </w:t>
      </w:r>
      <w:r w:rsidRPr="003B1071">
        <w:rPr>
          <w:rFonts w:ascii="Garamond" w:hAnsi="Garamond"/>
          <w:i/>
        </w:rPr>
        <w:t xml:space="preserve">Poems, </w:t>
      </w:r>
      <w:r w:rsidRPr="003B1071">
        <w:rPr>
          <w:rFonts w:ascii="Garamond" w:hAnsi="Garamond"/>
        </w:rPr>
        <w:t xml:space="preserve">pp. 437-8. </w:t>
      </w:r>
    </w:p>
  </w:footnote>
  <w:footnote w:id="809">
    <w:p w14:paraId="16A899A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Richard Bernard gave directions for the types of hand gestures and bodily movements a preacher could use to express </w:t>
      </w:r>
      <w:proofErr w:type="gramStart"/>
      <w:r w:rsidRPr="003B1071">
        <w:rPr>
          <w:rFonts w:ascii="Garamond" w:hAnsi="Garamond"/>
        </w:rPr>
        <w:t>particular points</w:t>
      </w:r>
      <w:proofErr w:type="gramEnd"/>
      <w:r w:rsidRPr="003B1071">
        <w:rPr>
          <w:rFonts w:ascii="Garamond" w:hAnsi="Garamond"/>
        </w:rPr>
        <w:t xml:space="preserve"> to the congregation, see Bernard, </w:t>
      </w:r>
      <w:r w:rsidRPr="003B1071">
        <w:rPr>
          <w:rFonts w:ascii="Garamond" w:hAnsi="Garamond"/>
          <w:i/>
          <w:iCs/>
        </w:rPr>
        <w:t xml:space="preserve">Shepherd, </w:t>
      </w:r>
      <w:r w:rsidRPr="003B1071">
        <w:rPr>
          <w:rFonts w:ascii="Garamond" w:hAnsi="Garamond"/>
        </w:rPr>
        <w:t xml:space="preserve">Book 1, pp. 33-9.  </w:t>
      </w:r>
    </w:p>
  </w:footnote>
  <w:footnote w:id="810">
    <w:p w14:paraId="5D1C57CA" w14:textId="77777777" w:rsidR="00814479" w:rsidRPr="00667CD5" w:rsidRDefault="00814479" w:rsidP="00162224">
      <w:pPr>
        <w:pStyle w:val="FootnoteText"/>
        <w:rPr>
          <w:rFonts w:ascii="Garamond" w:hAnsi="Garamond"/>
          <w:lang w:val="fr-FR"/>
        </w:rPr>
      </w:pPr>
      <w:r w:rsidRPr="003B1071">
        <w:rPr>
          <w:rStyle w:val="FootnoteReference"/>
          <w:rFonts w:ascii="Garamond" w:hAnsi="Garamond"/>
        </w:rPr>
        <w:footnoteRef/>
      </w:r>
      <w:r w:rsidRPr="00667CD5">
        <w:rPr>
          <w:rFonts w:ascii="Garamond" w:hAnsi="Garamond"/>
          <w:lang w:val="fr-FR"/>
        </w:rPr>
        <w:t xml:space="preserve"> Donne, </w:t>
      </w:r>
      <w:r w:rsidRPr="00667CD5">
        <w:rPr>
          <w:rFonts w:ascii="Garamond" w:hAnsi="Garamond"/>
          <w:i/>
          <w:lang w:val="fr-FR"/>
        </w:rPr>
        <w:t xml:space="preserve">Sermons, </w:t>
      </w:r>
      <w:r w:rsidRPr="00667CD5">
        <w:rPr>
          <w:rFonts w:ascii="Garamond" w:hAnsi="Garamond"/>
          <w:lang w:val="fr-FR"/>
        </w:rPr>
        <w:t xml:space="preserve">II.12, pp. 250-1. </w:t>
      </w:r>
    </w:p>
  </w:footnote>
  <w:footnote w:id="811">
    <w:p w14:paraId="2360C756" w14:textId="77777777" w:rsidR="00814479" w:rsidRPr="00667CD5" w:rsidRDefault="00814479" w:rsidP="00162224">
      <w:pPr>
        <w:pStyle w:val="FootnoteText"/>
        <w:rPr>
          <w:rFonts w:ascii="Garamond" w:hAnsi="Garamond"/>
          <w:lang w:val="fr-FR"/>
        </w:rPr>
      </w:pPr>
      <w:r w:rsidRPr="003B1071">
        <w:rPr>
          <w:rStyle w:val="FootnoteReference"/>
          <w:rFonts w:ascii="Garamond" w:hAnsi="Garamond"/>
        </w:rPr>
        <w:footnoteRef/>
      </w:r>
      <w:r w:rsidRPr="00667CD5">
        <w:rPr>
          <w:rFonts w:ascii="Garamond" w:hAnsi="Garamond"/>
          <w:lang w:val="fr-FR"/>
        </w:rPr>
        <w:t xml:space="preserve"> Donne, </w:t>
      </w:r>
      <w:r w:rsidRPr="00667CD5">
        <w:rPr>
          <w:rFonts w:ascii="Garamond" w:hAnsi="Garamond"/>
          <w:i/>
          <w:lang w:val="fr-FR"/>
        </w:rPr>
        <w:t xml:space="preserve">Sermons, </w:t>
      </w:r>
      <w:r w:rsidRPr="00667CD5">
        <w:rPr>
          <w:rFonts w:ascii="Garamond" w:hAnsi="Garamond"/>
          <w:lang w:val="fr-FR"/>
        </w:rPr>
        <w:t xml:space="preserve">II.12, pp. 251. </w:t>
      </w:r>
    </w:p>
  </w:footnote>
  <w:footnote w:id="812">
    <w:p w14:paraId="52CBF7BF" w14:textId="643A08B8" w:rsidR="00814479" w:rsidRPr="003B1071" w:rsidRDefault="00814479" w:rsidP="00162224">
      <w:pPr>
        <w:pStyle w:val="NoSpacing"/>
        <w:rPr>
          <w:rFonts w:ascii="Garamond" w:hAnsi="Garamond"/>
          <w:sz w:val="20"/>
          <w:szCs w:val="20"/>
        </w:rPr>
      </w:pPr>
      <w:r w:rsidRPr="003B1071">
        <w:rPr>
          <w:rStyle w:val="FootnoteReference"/>
          <w:rFonts w:ascii="Garamond" w:hAnsi="Garamond"/>
          <w:sz w:val="20"/>
          <w:szCs w:val="20"/>
        </w:rPr>
        <w:footnoteRef/>
      </w:r>
      <w:r w:rsidRPr="003B1071">
        <w:rPr>
          <w:rFonts w:ascii="Garamond" w:hAnsi="Garamond"/>
          <w:sz w:val="20"/>
          <w:szCs w:val="20"/>
        </w:rPr>
        <w:t xml:space="preserve"> ‘inchoation, n.’ </w:t>
      </w:r>
      <w:r w:rsidRPr="003B1071">
        <w:rPr>
          <w:rFonts w:ascii="Garamond" w:hAnsi="Garamond"/>
          <w:i/>
          <w:sz w:val="20"/>
          <w:szCs w:val="20"/>
        </w:rPr>
        <w:t xml:space="preserve">OED </w:t>
      </w:r>
      <w:r w:rsidRPr="003B1071">
        <w:rPr>
          <w:rFonts w:ascii="Garamond" w:hAnsi="Garamond"/>
          <w:i/>
        </w:rPr>
        <w:t>on</w:t>
      </w:r>
      <w:r>
        <w:rPr>
          <w:rFonts w:ascii="Garamond" w:hAnsi="Garamond"/>
          <w:i/>
        </w:rPr>
        <w:t>l</w:t>
      </w:r>
      <w:r w:rsidRPr="003B1071">
        <w:rPr>
          <w:rFonts w:ascii="Garamond" w:hAnsi="Garamond"/>
          <w:i/>
        </w:rPr>
        <w:t xml:space="preserve">ine, </w:t>
      </w:r>
      <w:r w:rsidRPr="003B1071">
        <w:rPr>
          <w:rFonts w:ascii="Garamond" w:hAnsi="Garamond"/>
        </w:rPr>
        <w:t>Oxford University Press</w:t>
      </w:r>
      <w:r w:rsidRPr="003B1071">
        <w:rPr>
          <w:rFonts w:ascii="Garamond" w:hAnsi="Garamond"/>
          <w:i/>
          <w:sz w:val="20"/>
          <w:szCs w:val="20"/>
        </w:rPr>
        <w:t xml:space="preserve">. </w:t>
      </w:r>
      <w:r w:rsidRPr="003B1071">
        <w:rPr>
          <w:rFonts w:ascii="Garamond" w:hAnsi="Garamond"/>
          <w:sz w:val="20"/>
          <w:szCs w:val="20"/>
        </w:rPr>
        <w:t xml:space="preserve">The first recorded use of ‘inchoation’ as a reference to a specific part of a word is give as 1661, but it is likely that Donne’s usage predates this. </w:t>
      </w:r>
    </w:p>
  </w:footnote>
  <w:footnote w:id="813">
    <w:p w14:paraId="75EC3B7E"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lang w:val="fr-FR"/>
        </w:rPr>
        <w:t xml:space="preserve">Sermons, </w:t>
      </w:r>
      <w:r w:rsidRPr="003B1071">
        <w:rPr>
          <w:rFonts w:ascii="Garamond" w:hAnsi="Garamond"/>
          <w:lang w:val="fr-FR"/>
        </w:rPr>
        <w:t xml:space="preserve">II.11, p. 240. </w:t>
      </w:r>
    </w:p>
  </w:footnote>
  <w:footnote w:id="814">
    <w:p w14:paraId="02B33A34"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lang w:val="fr-FR"/>
        </w:rPr>
        <w:t xml:space="preserve">Sermons, </w:t>
      </w:r>
      <w:r w:rsidRPr="003B1071">
        <w:rPr>
          <w:rFonts w:ascii="Garamond" w:hAnsi="Garamond"/>
          <w:lang w:val="fr-FR"/>
        </w:rPr>
        <w:t xml:space="preserve">II.11, p. 240. </w:t>
      </w:r>
    </w:p>
  </w:footnote>
  <w:footnote w:id="815">
    <w:p w14:paraId="30CC7FE2"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lang w:val="fr-FR"/>
        </w:rPr>
        <w:t xml:space="preserve">Sermons, </w:t>
      </w:r>
      <w:r w:rsidRPr="003B1071">
        <w:rPr>
          <w:rFonts w:ascii="Garamond" w:hAnsi="Garamond"/>
          <w:lang w:val="fr-FR"/>
        </w:rPr>
        <w:t xml:space="preserve">II.11, p. 241. </w:t>
      </w:r>
    </w:p>
  </w:footnote>
  <w:footnote w:id="816">
    <w:p w14:paraId="3052D447"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lang w:val="fr-FR"/>
        </w:rPr>
        <w:t xml:space="preserve">Sermons, </w:t>
      </w:r>
      <w:r w:rsidRPr="003B1071">
        <w:rPr>
          <w:rFonts w:ascii="Garamond" w:hAnsi="Garamond"/>
          <w:lang w:val="fr-FR"/>
        </w:rPr>
        <w:t xml:space="preserve">II.11, pp. 243-4. </w:t>
      </w:r>
    </w:p>
  </w:footnote>
  <w:footnote w:id="817">
    <w:p w14:paraId="74A663BC"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lang w:val="fr-FR"/>
        </w:rPr>
        <w:t xml:space="preserve">Sermons, </w:t>
      </w:r>
      <w:r w:rsidRPr="003B1071">
        <w:rPr>
          <w:rFonts w:ascii="Garamond" w:hAnsi="Garamond"/>
          <w:lang w:val="fr-FR"/>
        </w:rPr>
        <w:t xml:space="preserve">II.12, p. 267. </w:t>
      </w:r>
    </w:p>
  </w:footnote>
  <w:footnote w:id="818">
    <w:p w14:paraId="2E4D0920"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lang w:val="fr-FR"/>
        </w:rPr>
        <w:t xml:space="preserve">Sermons, </w:t>
      </w:r>
      <w:r w:rsidRPr="003B1071">
        <w:rPr>
          <w:rFonts w:ascii="Garamond" w:hAnsi="Garamond"/>
          <w:lang w:val="fr-FR"/>
        </w:rPr>
        <w:t xml:space="preserve">II.12, p. 267. </w:t>
      </w:r>
    </w:p>
  </w:footnote>
  <w:footnote w:id="819">
    <w:p w14:paraId="5C63E4C5"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lang w:val="fr-FR"/>
        </w:rPr>
        <w:t xml:space="preserve">Sermons, </w:t>
      </w:r>
      <w:r w:rsidRPr="003B1071">
        <w:rPr>
          <w:rFonts w:ascii="Garamond" w:hAnsi="Garamond"/>
          <w:lang w:val="fr-FR"/>
        </w:rPr>
        <w:t xml:space="preserve">II.12, p. 267. </w:t>
      </w:r>
    </w:p>
  </w:footnote>
  <w:footnote w:id="820">
    <w:p w14:paraId="7F4C32BA"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lang w:val="fr-FR"/>
        </w:rPr>
        <w:t xml:space="preserve">Sermons, </w:t>
      </w:r>
      <w:r w:rsidRPr="003B1071">
        <w:rPr>
          <w:rFonts w:ascii="Garamond" w:hAnsi="Garamond"/>
          <w:lang w:val="fr-FR"/>
        </w:rPr>
        <w:t xml:space="preserve">II.12, p. 286. </w:t>
      </w:r>
    </w:p>
  </w:footnote>
  <w:footnote w:id="821">
    <w:p w14:paraId="29430F9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Rigney, ‘Stationers Stall’, p. 194. </w:t>
      </w:r>
    </w:p>
  </w:footnote>
  <w:footnote w:id="822">
    <w:p w14:paraId="0CBAF898"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T.S. Eliot, </w:t>
      </w:r>
      <w:r w:rsidRPr="003B1071">
        <w:rPr>
          <w:rFonts w:ascii="Garamond" w:hAnsi="Garamond"/>
          <w:i/>
          <w:iCs/>
        </w:rPr>
        <w:t xml:space="preserve">Four Quartets </w:t>
      </w:r>
      <w:r w:rsidRPr="003B1071">
        <w:rPr>
          <w:rFonts w:ascii="Garamond" w:hAnsi="Garamond"/>
        </w:rPr>
        <w:t xml:space="preserve">(New York: Harcourt, 1971), p. 53. </w:t>
      </w:r>
    </w:p>
  </w:footnote>
  <w:footnote w:id="823">
    <w:p w14:paraId="7BDF8AA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Trevor Cooper, ‘The sack that never happened: Little Gidding, puritan soldiers, and the making of a myth’ in </w:t>
      </w:r>
      <w:r w:rsidRPr="003B1071">
        <w:rPr>
          <w:rFonts w:ascii="Garamond" w:hAnsi="Garamond"/>
          <w:i/>
          <w:iCs/>
        </w:rPr>
        <w:t>The Seventeenth Century</w:t>
      </w:r>
      <w:r w:rsidRPr="003B1071">
        <w:rPr>
          <w:rFonts w:ascii="Garamond" w:hAnsi="Garamond"/>
        </w:rPr>
        <w:t xml:space="preserve">, 31.3 (2016) 261-284.  </w:t>
      </w:r>
    </w:p>
  </w:footnote>
  <w:footnote w:id="824">
    <w:p w14:paraId="49D7F62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Shakespeare, </w:t>
      </w:r>
      <w:r w:rsidRPr="003B1071">
        <w:rPr>
          <w:rFonts w:ascii="Garamond" w:hAnsi="Garamond"/>
          <w:i/>
          <w:iCs/>
        </w:rPr>
        <w:t xml:space="preserve">Sonnets, </w:t>
      </w:r>
      <w:r w:rsidRPr="003B1071">
        <w:rPr>
          <w:rFonts w:ascii="Garamond" w:hAnsi="Garamond"/>
        </w:rPr>
        <w:t xml:space="preserve">p. 79. </w:t>
      </w:r>
    </w:p>
  </w:footnote>
  <w:footnote w:id="825">
    <w:p w14:paraId="7D0BE26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Eliot, </w:t>
      </w:r>
      <w:r w:rsidRPr="003B1071">
        <w:rPr>
          <w:rFonts w:ascii="Garamond" w:hAnsi="Garamond"/>
          <w:i/>
          <w:iCs/>
        </w:rPr>
        <w:t xml:space="preserve">Four Quartets, </w:t>
      </w:r>
      <w:r w:rsidRPr="003B1071">
        <w:rPr>
          <w:rFonts w:ascii="Garamond" w:hAnsi="Garamond"/>
        </w:rPr>
        <w:t xml:space="preserve">p. 55.  </w:t>
      </w:r>
    </w:p>
  </w:footnote>
  <w:footnote w:id="826">
    <w:p w14:paraId="4BF9834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Waller and Quinones.   </w:t>
      </w:r>
    </w:p>
  </w:footnote>
  <w:footnote w:id="827">
    <w:p w14:paraId="3E2D159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Andrew Marvell, </w:t>
      </w:r>
      <w:r w:rsidRPr="003B1071">
        <w:rPr>
          <w:rFonts w:ascii="Garamond" w:hAnsi="Garamond"/>
          <w:i/>
          <w:iCs/>
        </w:rPr>
        <w:t xml:space="preserve">The Poems </w:t>
      </w:r>
      <w:r w:rsidRPr="003B1071">
        <w:rPr>
          <w:rFonts w:ascii="Garamond" w:hAnsi="Garamond"/>
        </w:rPr>
        <w:t xml:space="preserve">(London: Pearson Longman, 2007), pp. 75-6. </w:t>
      </w:r>
    </w:p>
  </w:footnote>
  <w:footnote w:id="828">
    <w:p w14:paraId="62A194B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Thomas Fale, </w:t>
      </w:r>
      <w:r w:rsidRPr="003B1071">
        <w:rPr>
          <w:rFonts w:ascii="Garamond" w:hAnsi="Garamond"/>
          <w:i/>
        </w:rPr>
        <w:t xml:space="preserve">Horologiographia </w:t>
      </w:r>
      <w:r w:rsidRPr="003B1071">
        <w:rPr>
          <w:rFonts w:ascii="Garamond" w:hAnsi="Garamond"/>
        </w:rPr>
        <w:t xml:space="preserve">(London: 1593). Reprinted 1626, 1627, 1633 and 1652 by both Felix Kyngston and Thomas Orwin. </w:t>
      </w:r>
    </w:p>
  </w:footnote>
  <w:footnote w:id="829">
    <w:p w14:paraId="6BD4564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Fale, A2r. </w:t>
      </w:r>
    </w:p>
  </w:footnote>
  <w:footnote w:id="830">
    <w:p w14:paraId="4BFDC08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Mayr, p. 4. </w:t>
      </w:r>
    </w:p>
  </w:footnote>
  <w:footnote w:id="831">
    <w:p w14:paraId="60D098E5" w14:textId="4335C020"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w:t>
      </w:r>
      <w:r w:rsidRPr="003B1071">
        <w:rPr>
          <w:rFonts w:ascii="Garamond" w:hAnsi="Garamond"/>
        </w:rPr>
        <w:fldChar w:fldCharType="begin"/>
      </w:r>
      <w:r w:rsidRPr="003B1071">
        <w:rPr>
          <w:rFonts w:ascii="Garamond" w:hAnsi="Garamond"/>
        </w:rPr>
        <w:instrText xml:space="preserve"> REF _Ref528226994 \h  \* MERGEFORMAT </w:instrText>
      </w:r>
      <w:r w:rsidRPr="003B1071">
        <w:rPr>
          <w:rFonts w:ascii="Garamond" w:hAnsi="Garamond"/>
        </w:rPr>
      </w:r>
      <w:r w:rsidRPr="003B1071">
        <w:rPr>
          <w:rFonts w:ascii="Garamond" w:hAnsi="Garamond"/>
        </w:rPr>
        <w:fldChar w:fldCharType="separate"/>
      </w:r>
      <w:r w:rsidRPr="003B1071">
        <w:rPr>
          <w:rFonts w:ascii="Garamond" w:hAnsi="Garamond"/>
        </w:rPr>
        <w:t xml:space="preserve">Figure </w:t>
      </w:r>
      <w:r w:rsidRPr="003B1071">
        <w:rPr>
          <w:rFonts w:ascii="Garamond" w:hAnsi="Garamond"/>
          <w:noProof/>
        </w:rPr>
        <w:t>64</w:t>
      </w:r>
      <w:r w:rsidRPr="003B1071">
        <w:rPr>
          <w:rFonts w:ascii="Garamond" w:hAnsi="Garamond"/>
        </w:rPr>
        <w:t xml:space="preserve"> A Table of the equation of days </w:t>
      </w:r>
      <w:r w:rsidRPr="003B1071">
        <w:rPr>
          <w:rFonts w:ascii="Garamond" w:hAnsi="Garamond"/>
          <w:iCs/>
        </w:rPr>
        <w:t>(London:</w:t>
      </w:r>
      <w:r w:rsidRPr="003B1071">
        <w:rPr>
          <w:rFonts w:ascii="Garamond" w:hAnsi="Garamond"/>
          <w:iCs/>
          <w:sz w:val="24"/>
          <w:szCs w:val="24"/>
        </w:rPr>
        <w:t xml:space="preserve"> </w:t>
      </w:r>
      <w:r w:rsidRPr="003B1071">
        <w:rPr>
          <w:rFonts w:ascii="Garamond" w:hAnsi="Garamond"/>
        </w:rPr>
        <w:t>1684</w:t>
      </w:r>
      <w:r w:rsidRPr="003B1071">
        <w:rPr>
          <w:rFonts w:ascii="Garamond" w:hAnsi="Garamond"/>
          <w:sz w:val="24"/>
          <w:szCs w:val="24"/>
        </w:rPr>
        <w:t>)</w:t>
      </w:r>
      <w:r w:rsidRPr="003B1071">
        <w:rPr>
          <w:rFonts w:ascii="Garamond" w:hAnsi="Garamond"/>
        </w:rPr>
        <w:fldChar w:fldCharType="end"/>
      </w:r>
    </w:p>
  </w:footnote>
  <w:footnote w:id="832">
    <w:p w14:paraId="3D86617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Fale, A2v.  </w:t>
      </w:r>
    </w:p>
  </w:footnote>
  <w:footnote w:id="833">
    <w:p w14:paraId="67559E4B"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Fale, A2v-A3r. </w:t>
      </w:r>
    </w:p>
  </w:footnote>
  <w:footnote w:id="834">
    <w:p w14:paraId="5AA68673" w14:textId="0BDF3084"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Karl Marx, </w:t>
      </w:r>
      <w:r w:rsidRPr="003B1071">
        <w:rPr>
          <w:rFonts w:ascii="Garamond" w:hAnsi="Garamond"/>
          <w:i/>
        </w:rPr>
        <w:t xml:space="preserve">Capital Vol. 1 </w:t>
      </w:r>
      <w:r w:rsidRPr="003B1071">
        <w:rPr>
          <w:rFonts w:ascii="Garamond" w:hAnsi="Garamond"/>
        </w:rPr>
        <w:t xml:space="preserve">(London: Penguin Books, 1990), p. 129. </w:t>
      </w:r>
    </w:p>
  </w:footnote>
  <w:footnote w:id="835">
    <w:p w14:paraId="4180D68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Fale, A4r.</w:t>
      </w:r>
    </w:p>
  </w:footnote>
  <w:footnote w:id="836">
    <w:p w14:paraId="06B1B57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Skouen, pp. 1-4.</w:t>
      </w:r>
    </w:p>
  </w:footnote>
  <w:footnote w:id="837">
    <w:p w14:paraId="6A8C066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Skouen, pp. 14-15. </w:t>
      </w:r>
    </w:p>
  </w:footnote>
  <w:footnote w:id="838">
    <w:p w14:paraId="18DD70C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w:t>
      </w:r>
      <w:r w:rsidRPr="003B1071">
        <w:rPr>
          <w:rFonts w:ascii="Garamond" w:hAnsi="Garamond"/>
          <w:bCs/>
        </w:rPr>
        <w:t>Faraday, pp. 1-28</w:t>
      </w:r>
    </w:p>
  </w:footnote>
  <w:footnote w:id="839">
    <w:p w14:paraId="023C95A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Clark and Chalmers, pp. 30-31. </w:t>
      </w:r>
    </w:p>
  </w:footnote>
  <w:footnote w:id="840">
    <w:p w14:paraId="6946F2B3" w14:textId="4B82FB4B"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Jay L. Halio describes Touchstone as the play’s ‘time-keeper’, see Jay L. Halio, </w:t>
      </w:r>
      <w:r>
        <w:rPr>
          <w:rFonts w:ascii="Garamond" w:hAnsi="Garamond"/>
        </w:rPr>
        <w:t>‘“</w:t>
      </w:r>
      <w:r w:rsidRPr="003B1071">
        <w:rPr>
          <w:rFonts w:ascii="Garamond" w:hAnsi="Garamond"/>
        </w:rPr>
        <w:t>No Clock in the Forest</w:t>
      </w:r>
      <w:r>
        <w:rPr>
          <w:rFonts w:ascii="Garamond" w:hAnsi="Garamond"/>
        </w:rPr>
        <w:t>”</w:t>
      </w:r>
      <w:r w:rsidRPr="003B1071">
        <w:rPr>
          <w:rFonts w:ascii="Garamond" w:hAnsi="Garamond"/>
        </w:rPr>
        <w:t xml:space="preserve">: Time in </w:t>
      </w:r>
      <w:r w:rsidRPr="003B1071">
        <w:rPr>
          <w:rFonts w:ascii="Garamond" w:hAnsi="Garamond"/>
          <w:i/>
        </w:rPr>
        <w:t>As You Like It</w:t>
      </w:r>
      <w:r w:rsidRPr="003B1071">
        <w:rPr>
          <w:rFonts w:ascii="Garamond" w:hAnsi="Garamond"/>
        </w:rPr>
        <w:t xml:space="preserve">’ in </w:t>
      </w:r>
      <w:r w:rsidRPr="003B1071">
        <w:rPr>
          <w:rFonts w:ascii="Garamond" w:hAnsi="Garamond"/>
          <w:i/>
        </w:rPr>
        <w:t xml:space="preserve">Studies in English Literature, 1500-1900, </w:t>
      </w:r>
      <w:r w:rsidRPr="003B1071">
        <w:rPr>
          <w:rFonts w:ascii="Garamond" w:hAnsi="Garamond"/>
        </w:rPr>
        <w:t xml:space="preserve">2.2 (Spring 1962), 197-207 (p. 203). </w:t>
      </w:r>
    </w:p>
  </w:footnote>
  <w:footnote w:id="841">
    <w:p w14:paraId="61D9A999"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William Shakespeare, </w:t>
      </w:r>
      <w:r w:rsidRPr="003B1071">
        <w:rPr>
          <w:rFonts w:ascii="Garamond" w:hAnsi="Garamond"/>
          <w:i/>
        </w:rPr>
        <w:t xml:space="preserve">As You Like It </w:t>
      </w:r>
      <w:r w:rsidRPr="003B1071">
        <w:rPr>
          <w:rFonts w:ascii="Garamond" w:hAnsi="Garamond"/>
        </w:rPr>
        <w:t>(Oxford: Oxford University Press, 2008),</w:t>
      </w:r>
      <w:r w:rsidRPr="003B1071">
        <w:rPr>
          <w:rFonts w:ascii="Garamond" w:hAnsi="Garamond"/>
          <w:i/>
        </w:rPr>
        <w:t xml:space="preserve"> </w:t>
      </w:r>
      <w:r w:rsidRPr="003B1071">
        <w:rPr>
          <w:rFonts w:ascii="Garamond" w:hAnsi="Garamond"/>
        </w:rPr>
        <w:t xml:space="preserve">III.ii.319. </w:t>
      </w:r>
    </w:p>
  </w:footnote>
  <w:footnote w:id="842">
    <w:p w14:paraId="764C4AFD"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Mayr, p. 53. </w:t>
      </w:r>
    </w:p>
  </w:footnote>
  <w:footnote w:id="843">
    <w:p w14:paraId="67E5C824"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Mayr, p. 124. </w:t>
      </w:r>
    </w:p>
  </w:footnote>
  <w:footnote w:id="844">
    <w:p w14:paraId="753BED35"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Mayr, pp. 125-6.  </w:t>
      </w:r>
    </w:p>
  </w:footnote>
  <w:footnote w:id="845">
    <w:p w14:paraId="17080C2F"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iCs/>
        </w:rPr>
        <w:t xml:space="preserve">Poems, </w:t>
      </w:r>
      <w:r w:rsidRPr="003B1071">
        <w:rPr>
          <w:rFonts w:ascii="Garamond" w:hAnsi="Garamond"/>
        </w:rPr>
        <w:t>pp. 50-</w:t>
      </w:r>
      <w:proofErr w:type="gramStart"/>
      <w:r w:rsidRPr="003B1071">
        <w:rPr>
          <w:rFonts w:ascii="Garamond" w:hAnsi="Garamond"/>
        </w:rPr>
        <w:t>62,</w:t>
      </w:r>
      <w:r w:rsidRPr="003B1071">
        <w:rPr>
          <w:rFonts w:ascii="Garamond" w:hAnsi="Garamond"/>
          <w:i/>
          <w:iCs/>
        </w:rPr>
        <w:t xml:space="preserve"> </w:t>
      </w:r>
      <w:r w:rsidRPr="003B1071">
        <w:rPr>
          <w:rFonts w:ascii="Garamond" w:hAnsi="Garamond"/>
        </w:rPr>
        <w:t xml:space="preserve"> ll.</w:t>
      </w:r>
      <w:proofErr w:type="gramEnd"/>
      <w:r w:rsidRPr="003B1071">
        <w:rPr>
          <w:rFonts w:ascii="Garamond" w:hAnsi="Garamond"/>
        </w:rPr>
        <w:t xml:space="preserve"> 453-5 </w:t>
      </w:r>
    </w:p>
  </w:footnote>
  <w:footnote w:id="846">
    <w:p w14:paraId="2AC8195A"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Herbert, </w:t>
      </w:r>
      <w:r w:rsidRPr="003B1071">
        <w:rPr>
          <w:rFonts w:ascii="Garamond" w:hAnsi="Garamond"/>
          <w:i/>
          <w:iCs/>
        </w:rPr>
        <w:t xml:space="preserve">Poems, </w:t>
      </w:r>
      <w:r w:rsidRPr="003B1071">
        <w:rPr>
          <w:rFonts w:ascii="Garamond" w:hAnsi="Garamond"/>
        </w:rPr>
        <w:t xml:space="preserve">pp. 231-2. </w:t>
      </w:r>
    </w:p>
  </w:footnote>
  <w:footnote w:id="847">
    <w:p w14:paraId="598166F6"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Richard Corbett, </w:t>
      </w:r>
      <w:r w:rsidRPr="003B1071">
        <w:rPr>
          <w:rFonts w:ascii="Garamond" w:hAnsi="Garamond"/>
          <w:i/>
          <w:iCs/>
        </w:rPr>
        <w:t xml:space="preserve">Poems </w:t>
      </w:r>
      <w:r w:rsidRPr="003B1071">
        <w:rPr>
          <w:rFonts w:ascii="Garamond" w:hAnsi="Garamond"/>
        </w:rPr>
        <w:t xml:space="preserve">(London: 1647) pp. 28-9.  </w:t>
      </w:r>
    </w:p>
  </w:footnote>
  <w:footnote w:id="848">
    <w:p w14:paraId="5457E054" w14:textId="77777777" w:rsidR="00814479" w:rsidRPr="003B1071" w:rsidRDefault="00814479" w:rsidP="00162224">
      <w:pPr>
        <w:pStyle w:val="FootnoteText"/>
        <w:rPr>
          <w:rFonts w:ascii="Garamond" w:hAnsi="Garamond"/>
          <w:i/>
        </w:rPr>
      </w:pPr>
      <w:r w:rsidRPr="003B1071">
        <w:rPr>
          <w:rStyle w:val="FootnoteReference"/>
          <w:rFonts w:ascii="Garamond" w:hAnsi="Garamond"/>
        </w:rPr>
        <w:footnoteRef/>
      </w:r>
      <w:r w:rsidRPr="003B1071">
        <w:rPr>
          <w:rFonts w:ascii="Garamond" w:hAnsi="Garamond"/>
        </w:rPr>
        <w:t xml:space="preserve"> N. Cranfield, ‘Corbett, Richard (1582–1635), bishop of Oxford and of Norwich, and poet’ in </w:t>
      </w:r>
      <w:r w:rsidRPr="003B1071">
        <w:rPr>
          <w:rFonts w:ascii="Garamond" w:hAnsi="Garamond"/>
          <w:i/>
        </w:rPr>
        <w:t xml:space="preserve">ODNB. </w:t>
      </w:r>
    </w:p>
  </w:footnote>
  <w:footnote w:id="849">
    <w:p w14:paraId="4A45E51C"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Corbett, pp. 28-9. </w:t>
      </w:r>
    </w:p>
  </w:footnote>
  <w:footnote w:id="850">
    <w:p w14:paraId="767340E7"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Sidney, </w:t>
      </w:r>
      <w:r w:rsidRPr="003B1071">
        <w:rPr>
          <w:rFonts w:ascii="Garamond" w:hAnsi="Garamond"/>
          <w:i/>
          <w:iCs/>
        </w:rPr>
        <w:t xml:space="preserve">Psalms, </w:t>
      </w:r>
      <w:r w:rsidRPr="003B1071">
        <w:rPr>
          <w:rFonts w:ascii="Garamond" w:hAnsi="Garamond"/>
        </w:rPr>
        <w:t xml:space="preserve">pp. 120-121. </w:t>
      </w:r>
    </w:p>
  </w:footnote>
  <w:footnote w:id="851">
    <w:p w14:paraId="3E8DE70A"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Herbert, </w:t>
      </w:r>
      <w:r w:rsidRPr="003B1071">
        <w:rPr>
          <w:rFonts w:ascii="Garamond" w:hAnsi="Garamond"/>
          <w:i/>
          <w:iCs/>
          <w:lang w:val="fr-FR"/>
        </w:rPr>
        <w:t xml:space="preserve">Poems, </w:t>
      </w:r>
      <w:r w:rsidRPr="003B1071">
        <w:rPr>
          <w:rFonts w:ascii="Garamond" w:hAnsi="Garamond"/>
          <w:lang w:val="fr-FR"/>
        </w:rPr>
        <w:t>pp. 271-273.</w:t>
      </w:r>
    </w:p>
  </w:footnote>
  <w:footnote w:id="852">
    <w:p w14:paraId="64E52DB1" w14:textId="77777777" w:rsidR="00814479" w:rsidRPr="003B1071" w:rsidRDefault="00814479" w:rsidP="00162224">
      <w:pPr>
        <w:pStyle w:val="FootnoteText"/>
        <w:rPr>
          <w:rFonts w:ascii="Garamond" w:hAnsi="Garamond"/>
          <w:lang w:val="fr-FR"/>
        </w:rPr>
      </w:pPr>
      <w:r w:rsidRPr="003B1071">
        <w:rPr>
          <w:rStyle w:val="FootnoteReference"/>
          <w:rFonts w:ascii="Garamond" w:hAnsi="Garamond"/>
        </w:rPr>
        <w:footnoteRef/>
      </w:r>
      <w:r w:rsidRPr="003B1071">
        <w:rPr>
          <w:rFonts w:ascii="Garamond" w:hAnsi="Garamond"/>
          <w:lang w:val="fr-FR"/>
        </w:rPr>
        <w:t xml:space="preserve"> Donne, </w:t>
      </w:r>
      <w:r w:rsidRPr="003B1071">
        <w:rPr>
          <w:rFonts w:ascii="Garamond" w:hAnsi="Garamond"/>
          <w:i/>
          <w:iCs/>
          <w:lang w:val="fr-FR"/>
        </w:rPr>
        <w:t xml:space="preserve">Sermons, </w:t>
      </w:r>
      <w:r w:rsidRPr="003B1071">
        <w:rPr>
          <w:rFonts w:ascii="Garamond" w:hAnsi="Garamond"/>
          <w:lang w:val="fr-FR"/>
        </w:rPr>
        <w:t>VII.1 p. 60.</w:t>
      </w:r>
    </w:p>
  </w:footnote>
  <w:footnote w:id="853">
    <w:p w14:paraId="4716CEF2"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See Tina Skouen, pp. 17-22 for a fuller discussion of this. </w:t>
      </w:r>
    </w:p>
  </w:footnote>
  <w:footnote w:id="854">
    <w:p w14:paraId="510DE61E"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Fale, A4r.  </w:t>
      </w:r>
    </w:p>
  </w:footnote>
  <w:footnote w:id="855">
    <w:p w14:paraId="1D41DC53"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Chapman, ‘Marking Time’, p. 1206. </w:t>
      </w:r>
    </w:p>
  </w:footnote>
  <w:footnote w:id="856">
    <w:p w14:paraId="02AE2450" w14:textId="77777777" w:rsidR="00814479" w:rsidRPr="003B1071" w:rsidRDefault="00814479" w:rsidP="00162224">
      <w:pPr>
        <w:pStyle w:val="FootnoteText"/>
        <w:rPr>
          <w:rFonts w:ascii="Garamond" w:hAnsi="Garamond"/>
        </w:rPr>
      </w:pPr>
      <w:r w:rsidRPr="003B1071">
        <w:rPr>
          <w:rStyle w:val="FootnoteReference"/>
          <w:rFonts w:ascii="Garamond" w:hAnsi="Garamond"/>
        </w:rPr>
        <w:footnoteRef/>
      </w:r>
      <w:r w:rsidRPr="003B1071">
        <w:rPr>
          <w:rFonts w:ascii="Garamond" w:hAnsi="Garamond"/>
        </w:rPr>
        <w:t xml:space="preserve"> Osborn b 182, transcribed in Havens, pp. 146-7.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AA0D7F"/>
    <w:multiLevelType w:val="hybridMultilevel"/>
    <w:tmpl w:val="3CE46626"/>
    <w:lvl w:ilvl="0" w:tplc="2CC626A8">
      <w:start w:val="4"/>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D749CD"/>
    <w:multiLevelType w:val="hybridMultilevel"/>
    <w:tmpl w:val="E7986566"/>
    <w:lvl w:ilvl="0" w:tplc="8D100B18">
      <w:start w:val="1"/>
      <w:numFmt w:val="lowerRoman"/>
      <w:lvlText w:val="%1."/>
      <w:lvlJc w:val="left"/>
      <w:pPr>
        <w:ind w:left="1080" w:hanging="72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AFD49E6"/>
    <w:multiLevelType w:val="hybridMultilevel"/>
    <w:tmpl w:val="B3766BCA"/>
    <w:lvl w:ilvl="0" w:tplc="73EA7B88">
      <w:numFmt w:val="bullet"/>
      <w:lvlText w:val=""/>
      <w:lvlJc w:val="left"/>
      <w:pPr>
        <w:ind w:left="1140" w:hanging="360"/>
      </w:pPr>
      <w:rPr>
        <w:rFonts w:ascii="Symbol" w:eastAsiaTheme="minorEastAsia" w:hAnsi="Symbol" w:cstheme="minorBidi" w:hint="default"/>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abstractNum w:abstractNumId="3" w15:restartNumberingAfterBreak="0">
    <w:nsid w:val="0B3E7554"/>
    <w:multiLevelType w:val="hybridMultilevel"/>
    <w:tmpl w:val="579A0BB2"/>
    <w:lvl w:ilvl="0" w:tplc="0AD8637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B4C0605"/>
    <w:multiLevelType w:val="hybridMultilevel"/>
    <w:tmpl w:val="CC86D304"/>
    <w:lvl w:ilvl="0" w:tplc="2C2C1A86">
      <w:numFmt w:val="bullet"/>
      <w:lvlText w:val=""/>
      <w:lvlJc w:val="left"/>
      <w:pPr>
        <w:ind w:left="720" w:hanging="360"/>
      </w:pPr>
      <w:rPr>
        <w:rFonts w:ascii="Wingdings" w:eastAsiaTheme="minorHAnsi" w:hAnsi="Wingdings" w:cstheme="minorBidi" w:hint="default"/>
        <w:i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DC500FC"/>
    <w:multiLevelType w:val="hybridMultilevel"/>
    <w:tmpl w:val="A704DCE0"/>
    <w:lvl w:ilvl="0" w:tplc="DC2C403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E632AC0"/>
    <w:multiLevelType w:val="hybridMultilevel"/>
    <w:tmpl w:val="87A64F5E"/>
    <w:lvl w:ilvl="0" w:tplc="08E4800A">
      <w:numFmt w:val="bullet"/>
      <w:lvlText w:val=""/>
      <w:lvlJc w:val="left"/>
      <w:pPr>
        <w:ind w:left="720" w:hanging="360"/>
      </w:pPr>
      <w:rPr>
        <w:rFonts w:ascii="Wingdings" w:eastAsiaTheme="minorHAnsi" w:hAnsi="Wingdings" w:cstheme="minorBidi" w:hint="default"/>
        <w:i/>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F334652"/>
    <w:multiLevelType w:val="hybridMultilevel"/>
    <w:tmpl w:val="B2C007B4"/>
    <w:lvl w:ilvl="0" w:tplc="4DD65DEC">
      <w:start w:val="1"/>
      <w:numFmt w:val="lowerRoman"/>
      <w:lvlText w:val="%1."/>
      <w:lvlJc w:val="left"/>
      <w:pPr>
        <w:ind w:left="770" w:hanging="720"/>
      </w:pPr>
      <w:rPr>
        <w:rFonts w:hint="default"/>
      </w:rPr>
    </w:lvl>
    <w:lvl w:ilvl="1" w:tplc="08090019" w:tentative="1">
      <w:start w:val="1"/>
      <w:numFmt w:val="lowerLetter"/>
      <w:lvlText w:val="%2."/>
      <w:lvlJc w:val="left"/>
      <w:pPr>
        <w:ind w:left="1130" w:hanging="360"/>
      </w:pPr>
    </w:lvl>
    <w:lvl w:ilvl="2" w:tplc="0809001B" w:tentative="1">
      <w:start w:val="1"/>
      <w:numFmt w:val="lowerRoman"/>
      <w:lvlText w:val="%3."/>
      <w:lvlJc w:val="right"/>
      <w:pPr>
        <w:ind w:left="1850" w:hanging="180"/>
      </w:pPr>
    </w:lvl>
    <w:lvl w:ilvl="3" w:tplc="0809000F" w:tentative="1">
      <w:start w:val="1"/>
      <w:numFmt w:val="decimal"/>
      <w:lvlText w:val="%4."/>
      <w:lvlJc w:val="left"/>
      <w:pPr>
        <w:ind w:left="2570" w:hanging="360"/>
      </w:pPr>
    </w:lvl>
    <w:lvl w:ilvl="4" w:tplc="08090019" w:tentative="1">
      <w:start w:val="1"/>
      <w:numFmt w:val="lowerLetter"/>
      <w:lvlText w:val="%5."/>
      <w:lvlJc w:val="left"/>
      <w:pPr>
        <w:ind w:left="3290" w:hanging="360"/>
      </w:pPr>
    </w:lvl>
    <w:lvl w:ilvl="5" w:tplc="0809001B" w:tentative="1">
      <w:start w:val="1"/>
      <w:numFmt w:val="lowerRoman"/>
      <w:lvlText w:val="%6."/>
      <w:lvlJc w:val="right"/>
      <w:pPr>
        <w:ind w:left="4010" w:hanging="180"/>
      </w:pPr>
    </w:lvl>
    <w:lvl w:ilvl="6" w:tplc="0809000F" w:tentative="1">
      <w:start w:val="1"/>
      <w:numFmt w:val="decimal"/>
      <w:lvlText w:val="%7."/>
      <w:lvlJc w:val="left"/>
      <w:pPr>
        <w:ind w:left="4730" w:hanging="360"/>
      </w:pPr>
    </w:lvl>
    <w:lvl w:ilvl="7" w:tplc="08090019" w:tentative="1">
      <w:start w:val="1"/>
      <w:numFmt w:val="lowerLetter"/>
      <w:lvlText w:val="%8."/>
      <w:lvlJc w:val="left"/>
      <w:pPr>
        <w:ind w:left="5450" w:hanging="360"/>
      </w:pPr>
    </w:lvl>
    <w:lvl w:ilvl="8" w:tplc="0809001B" w:tentative="1">
      <w:start w:val="1"/>
      <w:numFmt w:val="lowerRoman"/>
      <w:lvlText w:val="%9."/>
      <w:lvlJc w:val="right"/>
      <w:pPr>
        <w:ind w:left="6170" w:hanging="180"/>
      </w:pPr>
    </w:lvl>
  </w:abstractNum>
  <w:abstractNum w:abstractNumId="8" w15:restartNumberingAfterBreak="0">
    <w:nsid w:val="0F433D34"/>
    <w:multiLevelType w:val="hybridMultilevel"/>
    <w:tmpl w:val="9558EBAC"/>
    <w:lvl w:ilvl="0" w:tplc="5F0223D8">
      <w:start w:val="1"/>
      <w:numFmt w:val="upperRoman"/>
      <w:lvlText w:val="%1."/>
      <w:lvlJc w:val="left"/>
      <w:pPr>
        <w:ind w:left="1800" w:hanging="720"/>
      </w:pPr>
      <w:rPr>
        <w:rFonts w:hint="default"/>
        <w:i w:val="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 w15:restartNumberingAfterBreak="0">
    <w:nsid w:val="120E4A2E"/>
    <w:multiLevelType w:val="hybridMultilevel"/>
    <w:tmpl w:val="A52C141E"/>
    <w:lvl w:ilvl="0" w:tplc="E8FA6900">
      <w:numFmt w:val="bullet"/>
      <w:lvlText w:val=""/>
      <w:lvlJc w:val="left"/>
      <w:pPr>
        <w:ind w:left="720" w:hanging="360"/>
      </w:pPr>
      <w:rPr>
        <w:rFonts w:ascii="Wingdings" w:eastAsiaTheme="minorHAnsi" w:hAnsi="Wingdings" w:cstheme="minorBidi" w:hint="default"/>
        <w:i/>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2877FEF"/>
    <w:multiLevelType w:val="hybridMultilevel"/>
    <w:tmpl w:val="10E48008"/>
    <w:lvl w:ilvl="0" w:tplc="7BC6DF24">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1F73274E"/>
    <w:multiLevelType w:val="hybridMultilevel"/>
    <w:tmpl w:val="3D485A1C"/>
    <w:lvl w:ilvl="0" w:tplc="70169E28">
      <w:start w:val="1"/>
      <w:numFmt w:val="lowerRoman"/>
      <w:lvlText w:val="%1."/>
      <w:lvlJc w:val="left"/>
      <w:pPr>
        <w:ind w:left="1440" w:hanging="720"/>
      </w:pPr>
      <w:rPr>
        <w:rFonts w:hint="default"/>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1FA70515"/>
    <w:multiLevelType w:val="hybridMultilevel"/>
    <w:tmpl w:val="28AEDE2A"/>
    <w:lvl w:ilvl="0" w:tplc="37DA2C26">
      <w:numFmt w:val="bullet"/>
      <w:lvlText w:val=""/>
      <w:lvlJc w:val="left"/>
      <w:pPr>
        <w:ind w:left="1080" w:hanging="360"/>
      </w:pPr>
      <w:rPr>
        <w:rFonts w:ascii="Wingdings" w:eastAsiaTheme="minorEastAsia" w:hAnsi="Wingdings"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21EB5AF3"/>
    <w:multiLevelType w:val="hybridMultilevel"/>
    <w:tmpl w:val="EF9E1A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303687F"/>
    <w:multiLevelType w:val="hybridMultilevel"/>
    <w:tmpl w:val="39668FE8"/>
    <w:lvl w:ilvl="0" w:tplc="6DA4A632">
      <w:start w:val="14"/>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7B6543"/>
    <w:multiLevelType w:val="hybridMultilevel"/>
    <w:tmpl w:val="02CEE00A"/>
    <w:lvl w:ilvl="0" w:tplc="5384522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4B2420C"/>
    <w:multiLevelType w:val="multilevel"/>
    <w:tmpl w:val="FAD43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5802817"/>
    <w:multiLevelType w:val="hybridMultilevel"/>
    <w:tmpl w:val="349A434E"/>
    <w:lvl w:ilvl="0" w:tplc="EAAEA9BC">
      <w:start w:val="1"/>
      <w:numFmt w:val="upperRoman"/>
      <w:lvlText w:val="%1."/>
      <w:lvlJc w:val="left"/>
      <w:pPr>
        <w:ind w:left="1080" w:hanging="72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35318DB"/>
    <w:multiLevelType w:val="hybridMultilevel"/>
    <w:tmpl w:val="1DA0F85C"/>
    <w:lvl w:ilvl="0" w:tplc="BA387CE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4761908"/>
    <w:multiLevelType w:val="hybridMultilevel"/>
    <w:tmpl w:val="F072E408"/>
    <w:lvl w:ilvl="0" w:tplc="0A1EA50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4D60B9A"/>
    <w:multiLevelType w:val="hybridMultilevel"/>
    <w:tmpl w:val="3E86FB30"/>
    <w:lvl w:ilvl="0" w:tplc="F3BC1D6C">
      <w:numFmt w:val="bullet"/>
      <w:lvlText w:val="-"/>
      <w:lvlJc w:val="left"/>
      <w:pPr>
        <w:ind w:left="1069" w:hanging="360"/>
      </w:pPr>
      <w:rPr>
        <w:rFonts w:ascii="Garamond" w:eastAsiaTheme="minorEastAsia" w:hAnsi="Garamond" w:cstheme="minorBidi"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21" w15:restartNumberingAfterBreak="0">
    <w:nsid w:val="4AEF6F46"/>
    <w:multiLevelType w:val="hybridMultilevel"/>
    <w:tmpl w:val="21762C98"/>
    <w:lvl w:ilvl="0" w:tplc="ED1CEB44">
      <w:start w:val="1"/>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B6F2924"/>
    <w:multiLevelType w:val="hybridMultilevel"/>
    <w:tmpl w:val="CDE67538"/>
    <w:lvl w:ilvl="0" w:tplc="89540726">
      <w:start w:val="1"/>
      <w:numFmt w:val="upperRoman"/>
      <w:pStyle w:val="Heading2"/>
      <w:lvlText w:val="%1."/>
      <w:lvlJc w:val="left"/>
      <w:pPr>
        <w:ind w:left="1080" w:hanging="720"/>
      </w:pPr>
      <w:rPr>
        <w:rFonts w:hint="default"/>
        <w:i w:val="0"/>
        <w:i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DA90311"/>
    <w:multiLevelType w:val="hybridMultilevel"/>
    <w:tmpl w:val="0B72967C"/>
    <w:lvl w:ilvl="0" w:tplc="0C0EB6A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1B14378"/>
    <w:multiLevelType w:val="hybridMultilevel"/>
    <w:tmpl w:val="02249952"/>
    <w:lvl w:ilvl="0" w:tplc="16B2EE98">
      <w:start w:val="1"/>
      <w:numFmt w:val="upperRoman"/>
      <w:lvlText w:val="%1."/>
      <w:lvlJc w:val="left"/>
      <w:pPr>
        <w:ind w:left="1080" w:hanging="720"/>
      </w:pPr>
      <w:rPr>
        <w:rFonts w:cstheme="majorBidi"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3CE3FAF"/>
    <w:multiLevelType w:val="hybridMultilevel"/>
    <w:tmpl w:val="8A4E32CA"/>
    <w:lvl w:ilvl="0" w:tplc="7DE2AB3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5752457"/>
    <w:multiLevelType w:val="hybridMultilevel"/>
    <w:tmpl w:val="9C6A0EF8"/>
    <w:lvl w:ilvl="0" w:tplc="8AF09C3E">
      <w:numFmt w:val="bullet"/>
      <w:lvlText w:val="-"/>
      <w:lvlJc w:val="left"/>
      <w:pPr>
        <w:ind w:left="720" w:hanging="3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8EF06C9"/>
    <w:multiLevelType w:val="hybridMultilevel"/>
    <w:tmpl w:val="B3DCA260"/>
    <w:lvl w:ilvl="0" w:tplc="2660795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C311A88"/>
    <w:multiLevelType w:val="hybridMultilevel"/>
    <w:tmpl w:val="8016732C"/>
    <w:lvl w:ilvl="0" w:tplc="97D8E332">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DFB3EF4"/>
    <w:multiLevelType w:val="hybridMultilevel"/>
    <w:tmpl w:val="E8A8299C"/>
    <w:lvl w:ilvl="0" w:tplc="0976305E">
      <w:numFmt w:val="bullet"/>
      <w:lvlText w:val=""/>
      <w:lvlJc w:val="left"/>
      <w:pPr>
        <w:ind w:left="720" w:hanging="360"/>
      </w:pPr>
      <w:rPr>
        <w:rFonts w:ascii="Wingdings" w:eastAsiaTheme="minorEastAsia"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4C2446A"/>
    <w:multiLevelType w:val="hybridMultilevel"/>
    <w:tmpl w:val="BE1A7F64"/>
    <w:lvl w:ilvl="0" w:tplc="8AF09C3E">
      <w:numFmt w:val="bullet"/>
      <w:lvlText w:val="-"/>
      <w:lvlJc w:val="left"/>
      <w:pPr>
        <w:ind w:left="720" w:hanging="3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8276C14"/>
    <w:multiLevelType w:val="hybridMultilevel"/>
    <w:tmpl w:val="9392BAA0"/>
    <w:lvl w:ilvl="0" w:tplc="0D98C77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A0B7EBB"/>
    <w:multiLevelType w:val="hybridMultilevel"/>
    <w:tmpl w:val="8D4283CE"/>
    <w:lvl w:ilvl="0" w:tplc="8AF09C3E">
      <w:numFmt w:val="bullet"/>
      <w:lvlText w:val="-"/>
      <w:lvlJc w:val="left"/>
      <w:pPr>
        <w:ind w:left="720" w:hanging="3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AA32E0A"/>
    <w:multiLevelType w:val="hybridMultilevel"/>
    <w:tmpl w:val="84E844B8"/>
    <w:lvl w:ilvl="0" w:tplc="7BC23BB8">
      <w:start w:val="5"/>
      <w:numFmt w:val="upp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 w15:restartNumberingAfterBreak="0">
    <w:nsid w:val="6BB3116B"/>
    <w:multiLevelType w:val="hybridMultilevel"/>
    <w:tmpl w:val="2C401214"/>
    <w:lvl w:ilvl="0" w:tplc="A83E025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CE96634"/>
    <w:multiLevelType w:val="hybridMultilevel"/>
    <w:tmpl w:val="D8249B70"/>
    <w:lvl w:ilvl="0" w:tplc="DB76DAF0">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FBA0205"/>
    <w:multiLevelType w:val="hybridMultilevel"/>
    <w:tmpl w:val="34B433DA"/>
    <w:lvl w:ilvl="0" w:tplc="385ECA7A">
      <w:numFmt w:val="bullet"/>
      <w:lvlText w:val="-"/>
      <w:lvlJc w:val="left"/>
      <w:pPr>
        <w:ind w:left="1080" w:hanging="360"/>
      </w:pPr>
      <w:rPr>
        <w:rFonts w:ascii="Garamond" w:eastAsiaTheme="minorEastAsia" w:hAnsi="Garamond" w:cstheme="maj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703A2C21"/>
    <w:multiLevelType w:val="hybridMultilevel"/>
    <w:tmpl w:val="9FBA3164"/>
    <w:lvl w:ilvl="0" w:tplc="2ADC8C2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19E790C"/>
    <w:multiLevelType w:val="hybridMultilevel"/>
    <w:tmpl w:val="B172F478"/>
    <w:lvl w:ilvl="0" w:tplc="51C8EDF6">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4F82154"/>
    <w:multiLevelType w:val="hybridMultilevel"/>
    <w:tmpl w:val="793EA1E8"/>
    <w:lvl w:ilvl="0" w:tplc="76A4F382">
      <w:numFmt w:val="bullet"/>
      <w:lvlText w:val="-"/>
      <w:lvlJc w:val="left"/>
      <w:pPr>
        <w:ind w:left="720" w:hanging="360"/>
      </w:pPr>
      <w:rPr>
        <w:rFonts w:ascii="Garamond" w:eastAsiaTheme="minorHAnsi" w:hAnsi="Garamond" w:cstheme="minorBidi" w:hint="default"/>
        <w:i/>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5674D99"/>
    <w:multiLevelType w:val="hybridMultilevel"/>
    <w:tmpl w:val="176A9948"/>
    <w:lvl w:ilvl="0" w:tplc="AC90BD48">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85C2413"/>
    <w:multiLevelType w:val="hybridMultilevel"/>
    <w:tmpl w:val="DABABFDC"/>
    <w:lvl w:ilvl="0" w:tplc="26ACF2F8">
      <w:start w:val="1"/>
      <w:numFmt w:val="upperRoman"/>
      <w:lvlText w:val="%1."/>
      <w:lvlJc w:val="left"/>
      <w:pPr>
        <w:ind w:left="1440" w:hanging="720"/>
      </w:pPr>
      <w:rPr>
        <w:rFonts w:hint="default"/>
        <w:i w:val="0"/>
        <w:sz w:val="28"/>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2" w15:restartNumberingAfterBreak="0">
    <w:nsid w:val="7A2C42F6"/>
    <w:multiLevelType w:val="hybridMultilevel"/>
    <w:tmpl w:val="35428920"/>
    <w:lvl w:ilvl="0" w:tplc="8AF09C3E">
      <w:numFmt w:val="bullet"/>
      <w:lvlText w:val="-"/>
      <w:lvlJc w:val="left"/>
      <w:pPr>
        <w:ind w:left="720" w:hanging="3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E433595"/>
    <w:multiLevelType w:val="hybridMultilevel"/>
    <w:tmpl w:val="6AE2C558"/>
    <w:lvl w:ilvl="0" w:tplc="F5F2F2D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2"/>
  </w:num>
  <w:num w:numId="2">
    <w:abstractNumId w:val="26"/>
  </w:num>
  <w:num w:numId="3">
    <w:abstractNumId w:val="13"/>
  </w:num>
  <w:num w:numId="4">
    <w:abstractNumId w:val="30"/>
  </w:num>
  <w:num w:numId="5">
    <w:abstractNumId w:val="42"/>
  </w:num>
  <w:num w:numId="6">
    <w:abstractNumId w:val="29"/>
  </w:num>
  <w:num w:numId="7">
    <w:abstractNumId w:val="12"/>
  </w:num>
  <w:num w:numId="8">
    <w:abstractNumId w:val="2"/>
  </w:num>
  <w:num w:numId="9">
    <w:abstractNumId w:val="20"/>
  </w:num>
  <w:num w:numId="10">
    <w:abstractNumId w:val="36"/>
  </w:num>
  <w:num w:numId="11">
    <w:abstractNumId w:val="22"/>
  </w:num>
  <w:num w:numId="12">
    <w:abstractNumId w:val="19"/>
  </w:num>
  <w:num w:numId="13">
    <w:abstractNumId w:val="18"/>
  </w:num>
  <w:num w:numId="14">
    <w:abstractNumId w:val="33"/>
  </w:num>
  <w:num w:numId="15">
    <w:abstractNumId w:val="0"/>
  </w:num>
  <w:num w:numId="16">
    <w:abstractNumId w:val="14"/>
  </w:num>
  <w:num w:numId="17">
    <w:abstractNumId w:val="34"/>
  </w:num>
  <w:num w:numId="18">
    <w:abstractNumId w:val="21"/>
  </w:num>
  <w:num w:numId="19">
    <w:abstractNumId w:val="24"/>
  </w:num>
  <w:num w:numId="20">
    <w:abstractNumId w:val="31"/>
  </w:num>
  <w:num w:numId="21">
    <w:abstractNumId w:val="7"/>
  </w:num>
  <w:num w:numId="22">
    <w:abstractNumId w:val="23"/>
  </w:num>
  <w:num w:numId="23">
    <w:abstractNumId w:val="40"/>
  </w:num>
  <w:num w:numId="24">
    <w:abstractNumId w:val="37"/>
  </w:num>
  <w:num w:numId="25">
    <w:abstractNumId w:val="17"/>
  </w:num>
  <w:num w:numId="26">
    <w:abstractNumId w:val="3"/>
  </w:num>
  <w:num w:numId="27">
    <w:abstractNumId w:val="35"/>
  </w:num>
  <w:num w:numId="28">
    <w:abstractNumId w:val="38"/>
  </w:num>
  <w:num w:numId="29">
    <w:abstractNumId w:val="41"/>
  </w:num>
  <w:num w:numId="30">
    <w:abstractNumId w:val="8"/>
  </w:num>
  <w:num w:numId="31">
    <w:abstractNumId w:val="43"/>
  </w:num>
  <w:num w:numId="32">
    <w:abstractNumId w:val="10"/>
  </w:num>
  <w:num w:numId="33">
    <w:abstractNumId w:val="5"/>
  </w:num>
  <w:num w:numId="34">
    <w:abstractNumId w:val="1"/>
  </w:num>
  <w:num w:numId="35">
    <w:abstractNumId w:val="25"/>
  </w:num>
  <w:num w:numId="36">
    <w:abstractNumId w:val="15"/>
  </w:num>
  <w:num w:numId="37">
    <w:abstractNumId w:val="27"/>
  </w:num>
  <w:num w:numId="38">
    <w:abstractNumId w:val="4"/>
  </w:num>
  <w:num w:numId="39">
    <w:abstractNumId w:val="6"/>
  </w:num>
  <w:num w:numId="40">
    <w:abstractNumId w:val="9"/>
  </w:num>
  <w:num w:numId="41">
    <w:abstractNumId w:val="39"/>
  </w:num>
  <w:num w:numId="42">
    <w:abstractNumId w:val="16"/>
  </w:num>
  <w:num w:numId="43">
    <w:abstractNumId w:val="28"/>
  </w:num>
  <w:num w:numId="4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hideSpelling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4458"/>
    <w:rsid w:val="0002406D"/>
    <w:rsid w:val="0003164D"/>
    <w:rsid w:val="00033FA1"/>
    <w:rsid w:val="00094FAC"/>
    <w:rsid w:val="000A7B31"/>
    <w:rsid w:val="000B19D1"/>
    <w:rsid w:val="0010251F"/>
    <w:rsid w:val="001117A3"/>
    <w:rsid w:val="00112F08"/>
    <w:rsid w:val="00124458"/>
    <w:rsid w:val="00130726"/>
    <w:rsid w:val="00161762"/>
    <w:rsid w:val="00162224"/>
    <w:rsid w:val="00164AB4"/>
    <w:rsid w:val="00190813"/>
    <w:rsid w:val="001B0073"/>
    <w:rsid w:val="001B2473"/>
    <w:rsid w:val="001C28BB"/>
    <w:rsid w:val="001C4EDF"/>
    <w:rsid w:val="001D01B8"/>
    <w:rsid w:val="001F1F6B"/>
    <w:rsid w:val="00220117"/>
    <w:rsid w:val="00222826"/>
    <w:rsid w:val="00251319"/>
    <w:rsid w:val="00276F4F"/>
    <w:rsid w:val="00280C2E"/>
    <w:rsid w:val="00284281"/>
    <w:rsid w:val="002874EF"/>
    <w:rsid w:val="00290BDE"/>
    <w:rsid w:val="002C1C51"/>
    <w:rsid w:val="002C2583"/>
    <w:rsid w:val="002D2E5D"/>
    <w:rsid w:val="002F1250"/>
    <w:rsid w:val="00302817"/>
    <w:rsid w:val="003037D2"/>
    <w:rsid w:val="00324A2C"/>
    <w:rsid w:val="00364892"/>
    <w:rsid w:val="00364C5B"/>
    <w:rsid w:val="00370939"/>
    <w:rsid w:val="0038415A"/>
    <w:rsid w:val="003A3DD2"/>
    <w:rsid w:val="003B1071"/>
    <w:rsid w:val="003B1277"/>
    <w:rsid w:val="003F6097"/>
    <w:rsid w:val="00410B15"/>
    <w:rsid w:val="00412BE9"/>
    <w:rsid w:val="00415E7C"/>
    <w:rsid w:val="00447637"/>
    <w:rsid w:val="00460BBC"/>
    <w:rsid w:val="00470D01"/>
    <w:rsid w:val="00475FC6"/>
    <w:rsid w:val="00487767"/>
    <w:rsid w:val="004915F3"/>
    <w:rsid w:val="004A155C"/>
    <w:rsid w:val="004B1F91"/>
    <w:rsid w:val="004D0185"/>
    <w:rsid w:val="004D0EBB"/>
    <w:rsid w:val="004E7112"/>
    <w:rsid w:val="004F590E"/>
    <w:rsid w:val="00505362"/>
    <w:rsid w:val="00531ACA"/>
    <w:rsid w:val="0056185D"/>
    <w:rsid w:val="00562A82"/>
    <w:rsid w:val="0056489A"/>
    <w:rsid w:val="00577666"/>
    <w:rsid w:val="005B54D5"/>
    <w:rsid w:val="005F0205"/>
    <w:rsid w:val="00607C70"/>
    <w:rsid w:val="00635464"/>
    <w:rsid w:val="00635BE5"/>
    <w:rsid w:val="006452E3"/>
    <w:rsid w:val="0065623B"/>
    <w:rsid w:val="00667CD5"/>
    <w:rsid w:val="00673797"/>
    <w:rsid w:val="00680BCB"/>
    <w:rsid w:val="0068763C"/>
    <w:rsid w:val="00695F95"/>
    <w:rsid w:val="006E61E8"/>
    <w:rsid w:val="0073611A"/>
    <w:rsid w:val="00745767"/>
    <w:rsid w:val="00747C8B"/>
    <w:rsid w:val="007524E0"/>
    <w:rsid w:val="00754BCA"/>
    <w:rsid w:val="00754EE3"/>
    <w:rsid w:val="007605D8"/>
    <w:rsid w:val="007820CF"/>
    <w:rsid w:val="007842D3"/>
    <w:rsid w:val="007A57F2"/>
    <w:rsid w:val="007C61A3"/>
    <w:rsid w:val="0080077A"/>
    <w:rsid w:val="00802BA0"/>
    <w:rsid w:val="00805301"/>
    <w:rsid w:val="00814479"/>
    <w:rsid w:val="00837A65"/>
    <w:rsid w:val="00873027"/>
    <w:rsid w:val="00890080"/>
    <w:rsid w:val="00896124"/>
    <w:rsid w:val="008A565D"/>
    <w:rsid w:val="008A5703"/>
    <w:rsid w:val="008D7379"/>
    <w:rsid w:val="008F16FC"/>
    <w:rsid w:val="009029FD"/>
    <w:rsid w:val="00905894"/>
    <w:rsid w:val="009676CA"/>
    <w:rsid w:val="0097437A"/>
    <w:rsid w:val="00995EAF"/>
    <w:rsid w:val="009D7A6F"/>
    <w:rsid w:val="009E481A"/>
    <w:rsid w:val="00A213C4"/>
    <w:rsid w:val="00A304C2"/>
    <w:rsid w:val="00A3344F"/>
    <w:rsid w:val="00A437C1"/>
    <w:rsid w:val="00A46D38"/>
    <w:rsid w:val="00A721D6"/>
    <w:rsid w:val="00AE15EB"/>
    <w:rsid w:val="00B36C9E"/>
    <w:rsid w:val="00B42400"/>
    <w:rsid w:val="00B84CC9"/>
    <w:rsid w:val="00B86F13"/>
    <w:rsid w:val="00B92A78"/>
    <w:rsid w:val="00BA76A6"/>
    <w:rsid w:val="00BF285A"/>
    <w:rsid w:val="00C03F06"/>
    <w:rsid w:val="00C10A18"/>
    <w:rsid w:val="00C16C7F"/>
    <w:rsid w:val="00C2260A"/>
    <w:rsid w:val="00C56347"/>
    <w:rsid w:val="00C60B2D"/>
    <w:rsid w:val="00C620C8"/>
    <w:rsid w:val="00C66AB5"/>
    <w:rsid w:val="00C74935"/>
    <w:rsid w:val="00CB1140"/>
    <w:rsid w:val="00CD2FB9"/>
    <w:rsid w:val="00CE1C34"/>
    <w:rsid w:val="00D52CC3"/>
    <w:rsid w:val="00D61D15"/>
    <w:rsid w:val="00D87C83"/>
    <w:rsid w:val="00D937A1"/>
    <w:rsid w:val="00DB36C7"/>
    <w:rsid w:val="00DC335D"/>
    <w:rsid w:val="00DE1A23"/>
    <w:rsid w:val="00E012F6"/>
    <w:rsid w:val="00E04035"/>
    <w:rsid w:val="00E145C3"/>
    <w:rsid w:val="00E15F7B"/>
    <w:rsid w:val="00E27662"/>
    <w:rsid w:val="00E522BD"/>
    <w:rsid w:val="00E53E9D"/>
    <w:rsid w:val="00E74610"/>
    <w:rsid w:val="00E8723F"/>
    <w:rsid w:val="00E90D4F"/>
    <w:rsid w:val="00E9533A"/>
    <w:rsid w:val="00EA0E11"/>
    <w:rsid w:val="00EA1F4D"/>
    <w:rsid w:val="00ED0F4C"/>
    <w:rsid w:val="00EE6EE5"/>
    <w:rsid w:val="00EF40F4"/>
    <w:rsid w:val="00EF5027"/>
    <w:rsid w:val="00EF635C"/>
    <w:rsid w:val="00F27EB0"/>
    <w:rsid w:val="00F44CCD"/>
    <w:rsid w:val="00F52E42"/>
    <w:rsid w:val="00F60616"/>
    <w:rsid w:val="00F765DC"/>
    <w:rsid w:val="00F80AF0"/>
    <w:rsid w:val="00F847D6"/>
    <w:rsid w:val="00FA72DD"/>
    <w:rsid w:val="00FE1958"/>
    <w:rsid w:val="00FF3F09"/>
    <w:rsid w:val="00FF3FB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01AAB1"/>
  <w14:defaultImageDpi w14:val="32767"/>
  <w15:chartTrackingRefBased/>
  <w15:docId w15:val="{0F4558D3-E085-4AE1-948D-6B1C1B5D1B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62224"/>
    <w:pPr>
      <w:keepNext/>
      <w:keepLines/>
      <w:spacing w:before="240" w:line="259" w:lineRule="auto"/>
      <w:outlineLvl w:val="0"/>
    </w:pPr>
    <w:rPr>
      <w:rFonts w:asciiTheme="majorHAnsi" w:eastAsiaTheme="majorEastAsia" w:hAnsiTheme="majorHAnsi" w:cstheme="majorBidi"/>
      <w:color w:val="2F5496" w:themeColor="accent1" w:themeShade="BF"/>
      <w:sz w:val="32"/>
      <w:szCs w:val="32"/>
      <w:lang w:val="en-GB"/>
    </w:rPr>
  </w:style>
  <w:style w:type="paragraph" w:styleId="Heading2">
    <w:name w:val="heading 2"/>
    <w:basedOn w:val="Normal"/>
    <w:next w:val="Normal"/>
    <w:link w:val="Heading2Char"/>
    <w:uiPriority w:val="9"/>
    <w:unhideWhenUsed/>
    <w:qFormat/>
    <w:rsid w:val="00162224"/>
    <w:pPr>
      <w:keepNext/>
      <w:keepLines/>
      <w:numPr>
        <w:numId w:val="11"/>
      </w:numPr>
      <w:spacing w:before="40" w:line="360" w:lineRule="auto"/>
      <w:outlineLvl w:val="1"/>
    </w:pPr>
    <w:rPr>
      <w:rFonts w:ascii="Garamond" w:eastAsiaTheme="majorEastAsia" w:hAnsi="Garamond" w:cstheme="majorBidi"/>
      <w:b/>
      <w:bCs/>
      <w:i/>
      <w:lang w:val="en-GB"/>
    </w:rPr>
  </w:style>
  <w:style w:type="paragraph" w:styleId="Heading3">
    <w:name w:val="heading 3"/>
    <w:basedOn w:val="Normal"/>
    <w:next w:val="Normal"/>
    <w:link w:val="Heading3Char"/>
    <w:uiPriority w:val="9"/>
    <w:unhideWhenUsed/>
    <w:qFormat/>
    <w:rsid w:val="00162224"/>
    <w:pPr>
      <w:keepNext/>
      <w:keepLines/>
      <w:spacing w:before="40" w:line="259" w:lineRule="auto"/>
      <w:outlineLvl w:val="2"/>
    </w:pPr>
    <w:rPr>
      <w:rFonts w:asciiTheme="majorHAnsi" w:eastAsiaTheme="majorEastAsia" w:hAnsiTheme="majorHAnsi" w:cstheme="majorBidi"/>
      <w:color w:val="1F3763" w:themeColor="accent1" w:themeShade="7F"/>
      <w:lang w:val="en-GB"/>
    </w:rPr>
  </w:style>
  <w:style w:type="paragraph" w:styleId="Heading4">
    <w:name w:val="heading 4"/>
    <w:basedOn w:val="Normal"/>
    <w:next w:val="Normal"/>
    <w:link w:val="Heading4Char"/>
    <w:uiPriority w:val="9"/>
    <w:unhideWhenUsed/>
    <w:qFormat/>
    <w:rsid w:val="00162224"/>
    <w:pPr>
      <w:keepNext/>
      <w:keepLines/>
      <w:spacing w:before="40" w:line="259" w:lineRule="auto"/>
      <w:outlineLvl w:val="3"/>
    </w:pPr>
    <w:rPr>
      <w:rFonts w:asciiTheme="majorHAnsi" w:eastAsiaTheme="majorEastAsia" w:hAnsiTheme="majorHAnsi" w:cstheme="majorBidi"/>
      <w:i/>
      <w:iCs/>
      <w:color w:val="2F5496" w:themeColor="accent1" w:themeShade="BF"/>
      <w:sz w:val="22"/>
      <w:szCs w:val="22"/>
      <w:lang w:val="en-GB"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ate">
    <w:name w:val="Date"/>
    <w:basedOn w:val="Normal"/>
    <w:next w:val="Normal"/>
    <w:link w:val="DateChar"/>
    <w:uiPriority w:val="99"/>
    <w:semiHidden/>
    <w:unhideWhenUsed/>
    <w:rsid w:val="00DC335D"/>
  </w:style>
  <w:style w:type="character" w:customStyle="1" w:styleId="DateChar">
    <w:name w:val="Date Char"/>
    <w:basedOn w:val="DefaultParagraphFont"/>
    <w:link w:val="Date"/>
    <w:uiPriority w:val="99"/>
    <w:semiHidden/>
    <w:rsid w:val="00DC335D"/>
  </w:style>
  <w:style w:type="character" w:customStyle="1" w:styleId="Heading1Char">
    <w:name w:val="Heading 1 Char"/>
    <w:basedOn w:val="DefaultParagraphFont"/>
    <w:link w:val="Heading1"/>
    <w:uiPriority w:val="9"/>
    <w:rsid w:val="00162224"/>
    <w:rPr>
      <w:rFonts w:asciiTheme="majorHAnsi" w:eastAsiaTheme="majorEastAsia" w:hAnsiTheme="majorHAnsi" w:cstheme="majorBidi"/>
      <w:color w:val="2F5496" w:themeColor="accent1" w:themeShade="BF"/>
      <w:sz w:val="32"/>
      <w:szCs w:val="32"/>
      <w:lang w:val="en-GB"/>
    </w:rPr>
  </w:style>
  <w:style w:type="character" w:customStyle="1" w:styleId="Heading2Char">
    <w:name w:val="Heading 2 Char"/>
    <w:basedOn w:val="DefaultParagraphFont"/>
    <w:link w:val="Heading2"/>
    <w:uiPriority w:val="9"/>
    <w:rsid w:val="00162224"/>
    <w:rPr>
      <w:rFonts w:ascii="Garamond" w:eastAsiaTheme="majorEastAsia" w:hAnsi="Garamond" w:cstheme="majorBidi"/>
      <w:b/>
      <w:bCs/>
      <w:i/>
      <w:lang w:val="en-GB"/>
    </w:rPr>
  </w:style>
  <w:style w:type="character" w:customStyle="1" w:styleId="Heading3Char">
    <w:name w:val="Heading 3 Char"/>
    <w:basedOn w:val="DefaultParagraphFont"/>
    <w:link w:val="Heading3"/>
    <w:uiPriority w:val="9"/>
    <w:rsid w:val="00162224"/>
    <w:rPr>
      <w:rFonts w:asciiTheme="majorHAnsi" w:eastAsiaTheme="majorEastAsia" w:hAnsiTheme="majorHAnsi" w:cstheme="majorBidi"/>
      <w:color w:val="1F3763" w:themeColor="accent1" w:themeShade="7F"/>
      <w:lang w:val="en-GB"/>
    </w:rPr>
  </w:style>
  <w:style w:type="character" w:customStyle="1" w:styleId="Heading4Char">
    <w:name w:val="Heading 4 Char"/>
    <w:basedOn w:val="DefaultParagraphFont"/>
    <w:link w:val="Heading4"/>
    <w:uiPriority w:val="9"/>
    <w:rsid w:val="00162224"/>
    <w:rPr>
      <w:rFonts w:asciiTheme="majorHAnsi" w:eastAsiaTheme="majorEastAsia" w:hAnsiTheme="majorHAnsi" w:cstheme="majorBidi"/>
      <w:i/>
      <w:iCs/>
      <w:color w:val="2F5496" w:themeColor="accent1" w:themeShade="BF"/>
      <w:sz w:val="22"/>
      <w:szCs w:val="22"/>
      <w:lang w:val="en-GB" w:eastAsia="zh-CN"/>
    </w:rPr>
  </w:style>
  <w:style w:type="paragraph" w:styleId="FootnoteText">
    <w:name w:val="footnote text"/>
    <w:basedOn w:val="Normal"/>
    <w:link w:val="FootnoteTextChar"/>
    <w:uiPriority w:val="99"/>
    <w:unhideWhenUsed/>
    <w:rsid w:val="00162224"/>
    <w:rPr>
      <w:sz w:val="20"/>
      <w:szCs w:val="20"/>
      <w:lang w:val="en-GB"/>
    </w:rPr>
  </w:style>
  <w:style w:type="character" w:customStyle="1" w:styleId="FootnoteTextChar">
    <w:name w:val="Footnote Text Char"/>
    <w:basedOn w:val="DefaultParagraphFont"/>
    <w:link w:val="FootnoteText"/>
    <w:uiPriority w:val="99"/>
    <w:rsid w:val="00162224"/>
    <w:rPr>
      <w:sz w:val="20"/>
      <w:szCs w:val="20"/>
      <w:lang w:val="en-GB"/>
    </w:rPr>
  </w:style>
  <w:style w:type="character" w:styleId="FootnoteReference">
    <w:name w:val="footnote reference"/>
    <w:basedOn w:val="DefaultParagraphFont"/>
    <w:uiPriority w:val="99"/>
    <w:semiHidden/>
    <w:unhideWhenUsed/>
    <w:rsid w:val="00162224"/>
    <w:rPr>
      <w:vertAlign w:val="superscript"/>
    </w:rPr>
  </w:style>
  <w:style w:type="character" w:styleId="Hyperlink">
    <w:name w:val="Hyperlink"/>
    <w:basedOn w:val="DefaultParagraphFont"/>
    <w:uiPriority w:val="99"/>
    <w:unhideWhenUsed/>
    <w:rsid w:val="00162224"/>
    <w:rPr>
      <w:color w:val="0563C1" w:themeColor="hyperlink"/>
      <w:u w:val="single"/>
    </w:rPr>
  </w:style>
  <w:style w:type="character" w:styleId="CommentReference">
    <w:name w:val="annotation reference"/>
    <w:basedOn w:val="DefaultParagraphFont"/>
    <w:uiPriority w:val="99"/>
    <w:semiHidden/>
    <w:unhideWhenUsed/>
    <w:rsid w:val="00162224"/>
    <w:rPr>
      <w:sz w:val="16"/>
      <w:szCs w:val="16"/>
    </w:rPr>
  </w:style>
  <w:style w:type="paragraph" w:styleId="CommentText">
    <w:name w:val="annotation text"/>
    <w:basedOn w:val="Normal"/>
    <w:link w:val="CommentTextChar"/>
    <w:uiPriority w:val="99"/>
    <w:unhideWhenUsed/>
    <w:rsid w:val="00162224"/>
    <w:pPr>
      <w:spacing w:after="200"/>
    </w:pPr>
    <w:rPr>
      <w:rFonts w:eastAsiaTheme="minorEastAsia"/>
      <w:sz w:val="20"/>
      <w:szCs w:val="20"/>
      <w:lang w:val="en-GB" w:eastAsia="zh-CN"/>
    </w:rPr>
  </w:style>
  <w:style w:type="character" w:customStyle="1" w:styleId="CommentTextChar">
    <w:name w:val="Comment Text Char"/>
    <w:basedOn w:val="DefaultParagraphFont"/>
    <w:link w:val="CommentText"/>
    <w:uiPriority w:val="99"/>
    <w:rsid w:val="00162224"/>
    <w:rPr>
      <w:rFonts w:eastAsiaTheme="minorEastAsia"/>
      <w:sz w:val="20"/>
      <w:szCs w:val="20"/>
      <w:lang w:val="en-GB" w:eastAsia="zh-CN"/>
    </w:rPr>
  </w:style>
  <w:style w:type="paragraph" w:styleId="Footer">
    <w:name w:val="footer"/>
    <w:basedOn w:val="Normal"/>
    <w:link w:val="FooterChar"/>
    <w:uiPriority w:val="99"/>
    <w:unhideWhenUsed/>
    <w:rsid w:val="00162224"/>
    <w:pPr>
      <w:tabs>
        <w:tab w:val="center" w:pos="4513"/>
        <w:tab w:val="right" w:pos="9026"/>
      </w:tabs>
    </w:pPr>
    <w:rPr>
      <w:sz w:val="22"/>
      <w:szCs w:val="22"/>
      <w:lang w:val="en-GB"/>
    </w:rPr>
  </w:style>
  <w:style w:type="character" w:customStyle="1" w:styleId="FooterChar">
    <w:name w:val="Footer Char"/>
    <w:basedOn w:val="DefaultParagraphFont"/>
    <w:link w:val="Footer"/>
    <w:uiPriority w:val="99"/>
    <w:rsid w:val="00162224"/>
    <w:rPr>
      <w:sz w:val="22"/>
      <w:szCs w:val="22"/>
      <w:lang w:val="en-GB"/>
    </w:rPr>
  </w:style>
  <w:style w:type="paragraph" w:styleId="BalloonText">
    <w:name w:val="Balloon Text"/>
    <w:basedOn w:val="Normal"/>
    <w:link w:val="BalloonTextChar"/>
    <w:uiPriority w:val="99"/>
    <w:semiHidden/>
    <w:unhideWhenUsed/>
    <w:rsid w:val="00162224"/>
    <w:rPr>
      <w:rFonts w:ascii="Segoe UI" w:hAnsi="Segoe UI" w:cs="Segoe UI"/>
      <w:sz w:val="18"/>
      <w:szCs w:val="18"/>
      <w:lang w:val="en-GB"/>
    </w:rPr>
  </w:style>
  <w:style w:type="character" w:customStyle="1" w:styleId="BalloonTextChar">
    <w:name w:val="Balloon Text Char"/>
    <w:basedOn w:val="DefaultParagraphFont"/>
    <w:link w:val="BalloonText"/>
    <w:uiPriority w:val="99"/>
    <w:semiHidden/>
    <w:rsid w:val="00162224"/>
    <w:rPr>
      <w:rFonts w:ascii="Segoe UI" w:hAnsi="Segoe UI" w:cs="Segoe UI"/>
      <w:sz w:val="18"/>
      <w:szCs w:val="18"/>
      <w:lang w:val="en-GB"/>
    </w:rPr>
  </w:style>
  <w:style w:type="character" w:customStyle="1" w:styleId="apple-converted-space">
    <w:name w:val="apple-converted-space"/>
    <w:basedOn w:val="DefaultParagraphFont"/>
    <w:rsid w:val="00162224"/>
  </w:style>
  <w:style w:type="table" w:styleId="TableGrid">
    <w:name w:val="Table Grid"/>
    <w:basedOn w:val="TableNormal"/>
    <w:uiPriority w:val="39"/>
    <w:unhideWhenUsed/>
    <w:rsid w:val="00162224"/>
    <w:rPr>
      <w:rFonts w:eastAsiaTheme="minorEastAsia"/>
      <w:sz w:val="22"/>
      <w:szCs w:val="22"/>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62224"/>
    <w:pPr>
      <w:spacing w:after="200" w:line="276" w:lineRule="auto"/>
      <w:ind w:left="720"/>
      <w:contextualSpacing/>
    </w:pPr>
    <w:rPr>
      <w:rFonts w:eastAsiaTheme="minorEastAsia"/>
      <w:sz w:val="22"/>
      <w:szCs w:val="22"/>
      <w:lang w:val="en-GB" w:eastAsia="zh-CN"/>
    </w:rPr>
  </w:style>
  <w:style w:type="paragraph" w:styleId="Caption">
    <w:name w:val="caption"/>
    <w:basedOn w:val="Normal"/>
    <w:next w:val="Normal"/>
    <w:uiPriority w:val="35"/>
    <w:unhideWhenUsed/>
    <w:qFormat/>
    <w:rsid w:val="00162224"/>
    <w:pPr>
      <w:spacing w:after="200"/>
    </w:pPr>
    <w:rPr>
      <w:rFonts w:eastAsiaTheme="minorEastAsia"/>
      <w:i/>
      <w:iCs/>
      <w:color w:val="44546A" w:themeColor="text2"/>
      <w:sz w:val="18"/>
      <w:szCs w:val="18"/>
      <w:lang w:val="en-GB" w:eastAsia="zh-CN"/>
    </w:rPr>
  </w:style>
  <w:style w:type="paragraph" w:styleId="NoSpacing">
    <w:name w:val="No Spacing"/>
    <w:uiPriority w:val="1"/>
    <w:qFormat/>
    <w:rsid w:val="00162224"/>
    <w:rPr>
      <w:sz w:val="22"/>
      <w:szCs w:val="22"/>
      <w:lang w:val="en-GB"/>
    </w:rPr>
  </w:style>
  <w:style w:type="paragraph" w:styleId="Header">
    <w:name w:val="header"/>
    <w:basedOn w:val="Normal"/>
    <w:link w:val="HeaderChar"/>
    <w:uiPriority w:val="99"/>
    <w:unhideWhenUsed/>
    <w:rsid w:val="00162224"/>
    <w:pPr>
      <w:tabs>
        <w:tab w:val="center" w:pos="4513"/>
        <w:tab w:val="right" w:pos="9026"/>
      </w:tabs>
    </w:pPr>
    <w:rPr>
      <w:sz w:val="22"/>
      <w:szCs w:val="22"/>
      <w:lang w:val="en-GB"/>
    </w:rPr>
  </w:style>
  <w:style w:type="character" w:customStyle="1" w:styleId="HeaderChar">
    <w:name w:val="Header Char"/>
    <w:basedOn w:val="DefaultParagraphFont"/>
    <w:link w:val="Header"/>
    <w:uiPriority w:val="99"/>
    <w:rsid w:val="00162224"/>
    <w:rPr>
      <w:sz w:val="22"/>
      <w:szCs w:val="22"/>
      <w:lang w:val="en-GB"/>
    </w:rPr>
  </w:style>
  <w:style w:type="character" w:customStyle="1" w:styleId="UnresolvedMention1">
    <w:name w:val="Unresolved Mention1"/>
    <w:basedOn w:val="DefaultParagraphFont"/>
    <w:uiPriority w:val="99"/>
    <w:semiHidden/>
    <w:unhideWhenUsed/>
    <w:rsid w:val="00162224"/>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162224"/>
    <w:pPr>
      <w:spacing w:after="160"/>
    </w:pPr>
    <w:rPr>
      <w:rFonts w:eastAsiaTheme="minorHAnsi"/>
      <w:b/>
      <w:bCs/>
      <w:lang w:eastAsia="en-US"/>
    </w:rPr>
  </w:style>
  <w:style w:type="character" w:customStyle="1" w:styleId="CommentSubjectChar">
    <w:name w:val="Comment Subject Char"/>
    <w:basedOn w:val="CommentTextChar"/>
    <w:link w:val="CommentSubject"/>
    <w:uiPriority w:val="99"/>
    <w:semiHidden/>
    <w:rsid w:val="00162224"/>
    <w:rPr>
      <w:rFonts w:eastAsiaTheme="minorEastAsia"/>
      <w:b/>
      <w:bCs/>
      <w:sz w:val="20"/>
      <w:szCs w:val="20"/>
      <w:lang w:val="en-GB" w:eastAsia="zh-CN"/>
    </w:rPr>
  </w:style>
  <w:style w:type="paragraph" w:styleId="Title">
    <w:name w:val="Title"/>
    <w:basedOn w:val="Normal"/>
    <w:next w:val="Normal"/>
    <w:link w:val="TitleChar"/>
    <w:uiPriority w:val="10"/>
    <w:qFormat/>
    <w:rsid w:val="00162224"/>
    <w:pPr>
      <w:contextualSpacing/>
    </w:pPr>
    <w:rPr>
      <w:rFonts w:asciiTheme="majorHAnsi" w:eastAsiaTheme="majorEastAsia" w:hAnsiTheme="majorHAnsi" w:cstheme="majorBidi"/>
      <w:spacing w:val="-10"/>
      <w:kern w:val="28"/>
      <w:sz w:val="56"/>
      <w:szCs w:val="56"/>
      <w:lang w:val="en-GB" w:eastAsia="zh-CN"/>
    </w:rPr>
  </w:style>
  <w:style w:type="character" w:customStyle="1" w:styleId="TitleChar">
    <w:name w:val="Title Char"/>
    <w:basedOn w:val="DefaultParagraphFont"/>
    <w:link w:val="Title"/>
    <w:uiPriority w:val="10"/>
    <w:rsid w:val="00162224"/>
    <w:rPr>
      <w:rFonts w:asciiTheme="majorHAnsi" w:eastAsiaTheme="majorEastAsia" w:hAnsiTheme="majorHAnsi" w:cstheme="majorBidi"/>
      <w:spacing w:val="-10"/>
      <w:kern w:val="28"/>
      <w:sz w:val="56"/>
      <w:szCs w:val="56"/>
      <w:lang w:val="en-GB" w:eastAsia="zh-CN"/>
    </w:rPr>
  </w:style>
  <w:style w:type="paragraph" w:styleId="EndnoteText">
    <w:name w:val="endnote text"/>
    <w:basedOn w:val="Normal"/>
    <w:link w:val="EndnoteTextChar"/>
    <w:uiPriority w:val="99"/>
    <w:semiHidden/>
    <w:unhideWhenUsed/>
    <w:rsid w:val="00162224"/>
    <w:rPr>
      <w:rFonts w:eastAsiaTheme="minorEastAsia"/>
      <w:sz w:val="20"/>
      <w:szCs w:val="20"/>
      <w:lang w:val="en-GB" w:eastAsia="zh-CN"/>
    </w:rPr>
  </w:style>
  <w:style w:type="character" w:customStyle="1" w:styleId="EndnoteTextChar">
    <w:name w:val="Endnote Text Char"/>
    <w:basedOn w:val="DefaultParagraphFont"/>
    <w:link w:val="EndnoteText"/>
    <w:uiPriority w:val="99"/>
    <w:semiHidden/>
    <w:rsid w:val="00162224"/>
    <w:rPr>
      <w:rFonts w:eastAsiaTheme="minorEastAsia"/>
      <w:sz w:val="20"/>
      <w:szCs w:val="20"/>
      <w:lang w:val="en-GB" w:eastAsia="zh-CN"/>
    </w:rPr>
  </w:style>
  <w:style w:type="character" w:styleId="EndnoteReference">
    <w:name w:val="endnote reference"/>
    <w:basedOn w:val="DefaultParagraphFont"/>
    <w:uiPriority w:val="99"/>
    <w:semiHidden/>
    <w:unhideWhenUsed/>
    <w:rsid w:val="00162224"/>
    <w:rPr>
      <w:vertAlign w:val="superscript"/>
    </w:rPr>
  </w:style>
  <w:style w:type="character" w:customStyle="1" w:styleId="UnresolvedMention2">
    <w:name w:val="Unresolved Mention2"/>
    <w:basedOn w:val="DefaultParagraphFont"/>
    <w:uiPriority w:val="99"/>
    <w:semiHidden/>
    <w:unhideWhenUsed/>
    <w:rsid w:val="00162224"/>
    <w:rPr>
      <w:color w:val="808080"/>
      <w:shd w:val="clear" w:color="auto" w:fill="E6E6E6"/>
    </w:rPr>
  </w:style>
  <w:style w:type="paragraph" w:styleId="Revision">
    <w:name w:val="Revision"/>
    <w:hidden/>
    <w:uiPriority w:val="99"/>
    <w:semiHidden/>
    <w:rsid w:val="00162224"/>
    <w:rPr>
      <w:rFonts w:eastAsiaTheme="minorEastAsia"/>
      <w:sz w:val="22"/>
      <w:szCs w:val="22"/>
      <w:lang w:val="en-GB" w:eastAsia="zh-CN"/>
    </w:rPr>
  </w:style>
  <w:style w:type="character" w:customStyle="1" w:styleId="UnresolvedMention3">
    <w:name w:val="Unresolved Mention3"/>
    <w:basedOn w:val="DefaultParagraphFont"/>
    <w:uiPriority w:val="99"/>
    <w:semiHidden/>
    <w:unhideWhenUsed/>
    <w:rsid w:val="00162224"/>
    <w:rPr>
      <w:color w:val="605E5C"/>
      <w:shd w:val="clear" w:color="auto" w:fill="E1DFDD"/>
    </w:rPr>
  </w:style>
  <w:style w:type="numbering" w:customStyle="1" w:styleId="NoList1">
    <w:name w:val="No List1"/>
    <w:next w:val="NoList"/>
    <w:uiPriority w:val="99"/>
    <w:semiHidden/>
    <w:unhideWhenUsed/>
    <w:rsid w:val="00162224"/>
  </w:style>
  <w:style w:type="character" w:customStyle="1" w:styleId="UnresolvedMention4">
    <w:name w:val="Unresolved Mention4"/>
    <w:basedOn w:val="DefaultParagraphFont"/>
    <w:uiPriority w:val="99"/>
    <w:semiHidden/>
    <w:unhideWhenUsed/>
    <w:rsid w:val="00162224"/>
    <w:rPr>
      <w:color w:val="605E5C"/>
      <w:shd w:val="clear" w:color="auto" w:fill="E1DFDD"/>
    </w:rPr>
  </w:style>
  <w:style w:type="numbering" w:customStyle="1" w:styleId="NoList2">
    <w:name w:val="No List2"/>
    <w:next w:val="NoList"/>
    <w:uiPriority w:val="99"/>
    <w:semiHidden/>
    <w:unhideWhenUsed/>
    <w:rsid w:val="00162224"/>
  </w:style>
  <w:style w:type="numbering" w:customStyle="1" w:styleId="NoList11">
    <w:name w:val="No List11"/>
    <w:next w:val="NoList"/>
    <w:uiPriority w:val="99"/>
    <w:semiHidden/>
    <w:unhideWhenUsed/>
    <w:rsid w:val="00162224"/>
  </w:style>
  <w:style w:type="table" w:customStyle="1" w:styleId="TableGrid1">
    <w:name w:val="Table Grid1"/>
    <w:basedOn w:val="TableNormal"/>
    <w:next w:val="TableGrid"/>
    <w:uiPriority w:val="39"/>
    <w:unhideWhenUsed/>
    <w:rsid w:val="00162224"/>
    <w:rPr>
      <w:rFonts w:eastAsiaTheme="minorEastAsia"/>
      <w:sz w:val="22"/>
      <w:szCs w:val="22"/>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62224"/>
    <w:pPr>
      <w:outlineLvl w:val="9"/>
    </w:pPr>
    <w:rPr>
      <w:lang w:val="en-US"/>
    </w:rPr>
  </w:style>
  <w:style w:type="paragraph" w:styleId="TOC1">
    <w:name w:val="toc 1"/>
    <w:basedOn w:val="Normal"/>
    <w:next w:val="Normal"/>
    <w:autoRedefine/>
    <w:uiPriority w:val="39"/>
    <w:unhideWhenUsed/>
    <w:rsid w:val="00162224"/>
    <w:pPr>
      <w:spacing w:after="100" w:line="259" w:lineRule="auto"/>
    </w:pPr>
    <w:rPr>
      <w:sz w:val="22"/>
      <w:szCs w:val="22"/>
      <w:lang w:val="en-GB"/>
    </w:rPr>
  </w:style>
  <w:style w:type="paragraph" w:styleId="TOC2">
    <w:name w:val="toc 2"/>
    <w:basedOn w:val="Normal"/>
    <w:next w:val="Normal"/>
    <w:autoRedefine/>
    <w:uiPriority w:val="39"/>
    <w:unhideWhenUsed/>
    <w:rsid w:val="00162224"/>
    <w:pPr>
      <w:tabs>
        <w:tab w:val="left" w:pos="660"/>
        <w:tab w:val="right" w:leader="dot" w:pos="8165"/>
      </w:tabs>
      <w:spacing w:after="100" w:line="259" w:lineRule="auto"/>
      <w:ind w:left="220"/>
    </w:pPr>
    <w:rPr>
      <w:rFonts w:ascii="Garamond" w:eastAsia="SimSun" w:hAnsi="Garamond" w:cs="Times New Roman"/>
      <w:noProof/>
      <w:sz w:val="22"/>
      <w:szCs w:val="22"/>
      <w:lang w:val="en-GB"/>
    </w:rPr>
  </w:style>
  <w:style w:type="paragraph" w:styleId="TOC3">
    <w:name w:val="toc 3"/>
    <w:basedOn w:val="Normal"/>
    <w:next w:val="Normal"/>
    <w:autoRedefine/>
    <w:uiPriority w:val="39"/>
    <w:unhideWhenUsed/>
    <w:rsid w:val="00162224"/>
    <w:pPr>
      <w:spacing w:after="100" w:line="259" w:lineRule="auto"/>
      <w:ind w:left="440"/>
    </w:pPr>
    <w:rPr>
      <w:sz w:val="22"/>
      <w:szCs w:val="22"/>
      <w:lang w:val="en-GB"/>
    </w:rPr>
  </w:style>
  <w:style w:type="character" w:customStyle="1" w:styleId="UnresolvedMention5">
    <w:name w:val="Unresolved Mention5"/>
    <w:basedOn w:val="DefaultParagraphFont"/>
    <w:uiPriority w:val="99"/>
    <w:semiHidden/>
    <w:unhideWhenUsed/>
    <w:rsid w:val="00162224"/>
    <w:rPr>
      <w:color w:val="605E5C"/>
      <w:shd w:val="clear" w:color="auto" w:fill="E1DFDD"/>
    </w:rPr>
  </w:style>
  <w:style w:type="character" w:styleId="Emphasis">
    <w:name w:val="Emphasis"/>
    <w:basedOn w:val="DefaultParagraphFont"/>
    <w:uiPriority w:val="20"/>
    <w:qFormat/>
    <w:rsid w:val="00162224"/>
    <w:rPr>
      <w:i/>
      <w:iCs/>
    </w:rPr>
  </w:style>
  <w:style w:type="character" w:styleId="PlaceholderText">
    <w:name w:val="Placeholder Text"/>
    <w:basedOn w:val="DefaultParagraphFont"/>
    <w:uiPriority w:val="99"/>
    <w:semiHidden/>
    <w:rsid w:val="00162224"/>
    <w:rPr>
      <w:color w:val="808080"/>
    </w:rPr>
  </w:style>
  <w:style w:type="paragraph" w:styleId="HTMLPreformatted">
    <w:name w:val="HTML Preformatted"/>
    <w:basedOn w:val="Normal"/>
    <w:link w:val="HTMLPreformattedChar"/>
    <w:uiPriority w:val="99"/>
    <w:unhideWhenUsed/>
    <w:rsid w:val="00162224"/>
    <w:rPr>
      <w:rFonts w:ascii="Consolas" w:hAnsi="Consolas"/>
      <w:sz w:val="20"/>
      <w:szCs w:val="20"/>
      <w:lang w:val="en-GB"/>
    </w:rPr>
  </w:style>
  <w:style w:type="character" w:customStyle="1" w:styleId="HTMLPreformattedChar">
    <w:name w:val="HTML Preformatted Char"/>
    <w:basedOn w:val="DefaultParagraphFont"/>
    <w:link w:val="HTMLPreformatted"/>
    <w:uiPriority w:val="99"/>
    <w:rsid w:val="00162224"/>
    <w:rPr>
      <w:rFonts w:ascii="Consolas" w:hAnsi="Consolas"/>
      <w:sz w:val="20"/>
      <w:szCs w:val="20"/>
      <w:lang w:val="en-GB"/>
    </w:rPr>
  </w:style>
  <w:style w:type="character" w:styleId="FollowedHyperlink">
    <w:name w:val="FollowedHyperlink"/>
    <w:basedOn w:val="DefaultParagraphFont"/>
    <w:uiPriority w:val="99"/>
    <w:semiHidden/>
    <w:unhideWhenUsed/>
    <w:rsid w:val="00162224"/>
    <w:rPr>
      <w:color w:val="954F72"/>
      <w:u w:val="single"/>
    </w:rPr>
  </w:style>
  <w:style w:type="paragraph" w:customStyle="1" w:styleId="msonormal0">
    <w:name w:val="msonormal"/>
    <w:basedOn w:val="Normal"/>
    <w:rsid w:val="00162224"/>
    <w:pPr>
      <w:spacing w:before="100" w:beforeAutospacing="1" w:after="100" w:afterAutospacing="1"/>
    </w:pPr>
    <w:rPr>
      <w:rFonts w:ascii="Times New Roman" w:eastAsia="Times New Roman" w:hAnsi="Times New Roman" w:cs="Times New Roman"/>
      <w:lang w:val="en-GB" w:eastAsia="zh-CN"/>
    </w:rPr>
  </w:style>
  <w:style w:type="table" w:styleId="GridTable1Light">
    <w:name w:val="Grid Table 1 Light"/>
    <w:basedOn w:val="TableNormal"/>
    <w:uiPriority w:val="46"/>
    <w:rsid w:val="00162224"/>
    <w:rPr>
      <w:rFonts w:eastAsiaTheme="minorEastAsia"/>
      <w:sz w:val="22"/>
      <w:szCs w:val="22"/>
      <w:lang w:val="en-GB" w:eastAsia="zh-CN"/>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NoList3">
    <w:name w:val="No List3"/>
    <w:next w:val="NoList"/>
    <w:uiPriority w:val="99"/>
    <w:semiHidden/>
    <w:unhideWhenUsed/>
    <w:rsid w:val="00162224"/>
  </w:style>
  <w:style w:type="table" w:customStyle="1" w:styleId="TableGrid2">
    <w:name w:val="Table Grid2"/>
    <w:basedOn w:val="TableNormal"/>
    <w:next w:val="TableGrid"/>
    <w:uiPriority w:val="39"/>
    <w:unhideWhenUsed/>
    <w:rsid w:val="00162224"/>
    <w:rPr>
      <w:rFonts w:eastAsiaTheme="minorEastAsia"/>
      <w:sz w:val="22"/>
      <w:szCs w:val="22"/>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162224"/>
  </w:style>
  <w:style w:type="numbering" w:customStyle="1" w:styleId="NoList21">
    <w:name w:val="No List21"/>
    <w:next w:val="NoList"/>
    <w:uiPriority w:val="99"/>
    <w:semiHidden/>
    <w:unhideWhenUsed/>
    <w:rsid w:val="00162224"/>
  </w:style>
  <w:style w:type="numbering" w:customStyle="1" w:styleId="NoList111">
    <w:name w:val="No List111"/>
    <w:next w:val="NoList"/>
    <w:uiPriority w:val="99"/>
    <w:semiHidden/>
    <w:unhideWhenUsed/>
    <w:rsid w:val="00162224"/>
  </w:style>
  <w:style w:type="table" w:customStyle="1" w:styleId="TableGrid11">
    <w:name w:val="Table Grid11"/>
    <w:basedOn w:val="TableNormal"/>
    <w:next w:val="TableGrid"/>
    <w:uiPriority w:val="39"/>
    <w:unhideWhenUsed/>
    <w:rsid w:val="00162224"/>
    <w:rPr>
      <w:rFonts w:eastAsiaTheme="minorEastAsia"/>
      <w:sz w:val="22"/>
      <w:szCs w:val="22"/>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
    <w:name w:val="Grid Table 1 Light1"/>
    <w:basedOn w:val="TableNormal"/>
    <w:next w:val="GridTable1Light"/>
    <w:uiPriority w:val="46"/>
    <w:rsid w:val="00162224"/>
    <w:rPr>
      <w:rFonts w:eastAsiaTheme="minorEastAsia"/>
      <w:sz w:val="22"/>
      <w:szCs w:val="22"/>
      <w:lang w:val="en-GB" w:eastAsia="zh-CN"/>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UnresolvedMention6">
    <w:name w:val="Unresolved Mention6"/>
    <w:basedOn w:val="DefaultParagraphFont"/>
    <w:uiPriority w:val="99"/>
    <w:semiHidden/>
    <w:unhideWhenUsed/>
    <w:rsid w:val="00162224"/>
    <w:rPr>
      <w:color w:val="605E5C"/>
      <w:shd w:val="clear" w:color="auto" w:fill="E1DFDD"/>
    </w:rPr>
  </w:style>
  <w:style w:type="numbering" w:customStyle="1" w:styleId="NoList4">
    <w:name w:val="No List4"/>
    <w:next w:val="NoList"/>
    <w:uiPriority w:val="99"/>
    <w:semiHidden/>
    <w:unhideWhenUsed/>
    <w:rsid w:val="00162224"/>
  </w:style>
  <w:style w:type="table" w:customStyle="1" w:styleId="TableGrid3">
    <w:name w:val="Table Grid3"/>
    <w:basedOn w:val="TableNormal"/>
    <w:next w:val="TableGrid"/>
    <w:uiPriority w:val="39"/>
    <w:unhideWhenUsed/>
    <w:rsid w:val="00162224"/>
    <w:rPr>
      <w:rFonts w:eastAsiaTheme="minorEastAsia"/>
      <w:sz w:val="22"/>
      <w:szCs w:val="22"/>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162224"/>
  </w:style>
  <w:style w:type="numbering" w:customStyle="1" w:styleId="NoList22">
    <w:name w:val="No List22"/>
    <w:next w:val="NoList"/>
    <w:uiPriority w:val="99"/>
    <w:semiHidden/>
    <w:unhideWhenUsed/>
    <w:rsid w:val="00162224"/>
  </w:style>
  <w:style w:type="numbering" w:customStyle="1" w:styleId="NoList112">
    <w:name w:val="No List112"/>
    <w:next w:val="NoList"/>
    <w:uiPriority w:val="99"/>
    <w:semiHidden/>
    <w:unhideWhenUsed/>
    <w:rsid w:val="00162224"/>
  </w:style>
  <w:style w:type="table" w:customStyle="1" w:styleId="TableGrid12">
    <w:name w:val="Table Grid12"/>
    <w:basedOn w:val="TableNormal"/>
    <w:next w:val="TableGrid"/>
    <w:uiPriority w:val="39"/>
    <w:unhideWhenUsed/>
    <w:rsid w:val="00162224"/>
    <w:rPr>
      <w:rFonts w:eastAsiaTheme="minorEastAsia"/>
      <w:sz w:val="22"/>
      <w:szCs w:val="22"/>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2">
    <w:name w:val="Grid Table 1 Light2"/>
    <w:basedOn w:val="TableNormal"/>
    <w:next w:val="GridTable1Light"/>
    <w:uiPriority w:val="46"/>
    <w:rsid w:val="00162224"/>
    <w:rPr>
      <w:rFonts w:eastAsiaTheme="minorEastAsia"/>
      <w:sz w:val="22"/>
      <w:szCs w:val="22"/>
      <w:lang w:val="en-GB" w:eastAsia="zh-CN"/>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NoList31">
    <w:name w:val="No List31"/>
    <w:next w:val="NoList"/>
    <w:uiPriority w:val="99"/>
    <w:semiHidden/>
    <w:unhideWhenUsed/>
    <w:rsid w:val="00162224"/>
  </w:style>
  <w:style w:type="table" w:customStyle="1" w:styleId="TableGrid21">
    <w:name w:val="Table Grid21"/>
    <w:basedOn w:val="TableNormal"/>
    <w:next w:val="TableGrid"/>
    <w:uiPriority w:val="39"/>
    <w:unhideWhenUsed/>
    <w:rsid w:val="00162224"/>
    <w:rPr>
      <w:rFonts w:eastAsiaTheme="minorEastAsia"/>
      <w:sz w:val="22"/>
      <w:szCs w:val="22"/>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162224"/>
  </w:style>
  <w:style w:type="numbering" w:customStyle="1" w:styleId="NoList211">
    <w:name w:val="No List211"/>
    <w:next w:val="NoList"/>
    <w:uiPriority w:val="99"/>
    <w:semiHidden/>
    <w:unhideWhenUsed/>
    <w:rsid w:val="00162224"/>
  </w:style>
  <w:style w:type="numbering" w:customStyle="1" w:styleId="NoList1111">
    <w:name w:val="No List1111"/>
    <w:next w:val="NoList"/>
    <w:uiPriority w:val="99"/>
    <w:semiHidden/>
    <w:unhideWhenUsed/>
    <w:rsid w:val="00162224"/>
  </w:style>
  <w:style w:type="table" w:customStyle="1" w:styleId="TableGrid111">
    <w:name w:val="Table Grid111"/>
    <w:basedOn w:val="TableNormal"/>
    <w:next w:val="TableGrid"/>
    <w:uiPriority w:val="39"/>
    <w:unhideWhenUsed/>
    <w:rsid w:val="00162224"/>
    <w:rPr>
      <w:rFonts w:eastAsiaTheme="minorEastAsia"/>
      <w:sz w:val="22"/>
      <w:szCs w:val="22"/>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
    <w:name w:val="Grid Table 1 Light11"/>
    <w:basedOn w:val="TableNormal"/>
    <w:next w:val="GridTable1Light"/>
    <w:uiPriority w:val="46"/>
    <w:rsid w:val="00162224"/>
    <w:rPr>
      <w:rFonts w:eastAsiaTheme="minorEastAsia"/>
      <w:sz w:val="22"/>
      <w:szCs w:val="22"/>
      <w:lang w:val="en-GB" w:eastAsia="zh-CN"/>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il">
    <w:name w:val="il"/>
    <w:basedOn w:val="DefaultParagraphFont"/>
    <w:rsid w:val="00162224"/>
  </w:style>
  <w:style w:type="paragraph" w:styleId="TableofFigures">
    <w:name w:val="table of figures"/>
    <w:basedOn w:val="Normal"/>
    <w:next w:val="Normal"/>
    <w:uiPriority w:val="99"/>
    <w:unhideWhenUsed/>
    <w:rsid w:val="00162224"/>
    <w:pPr>
      <w:spacing w:line="259" w:lineRule="auto"/>
    </w:pPr>
    <w:rPr>
      <w:sz w:val="22"/>
      <w:szCs w:val="22"/>
      <w:lang w:val="en-GB"/>
    </w:rPr>
  </w:style>
  <w:style w:type="numbering" w:customStyle="1" w:styleId="NoList5">
    <w:name w:val="No List5"/>
    <w:next w:val="NoList"/>
    <w:uiPriority w:val="99"/>
    <w:semiHidden/>
    <w:unhideWhenUsed/>
    <w:rsid w:val="00162224"/>
  </w:style>
  <w:style w:type="character" w:customStyle="1" w:styleId="exlresultdetails">
    <w:name w:val="exlresultdetails"/>
    <w:basedOn w:val="DefaultParagraphFont"/>
    <w:rsid w:val="00162224"/>
  </w:style>
  <w:style w:type="character" w:customStyle="1" w:styleId="foreign">
    <w:name w:val="foreign"/>
    <w:basedOn w:val="DefaultParagraphFont"/>
    <w:rsid w:val="00162224"/>
  </w:style>
  <w:style w:type="table" w:customStyle="1" w:styleId="TableGrid22">
    <w:name w:val="Table Grid22"/>
    <w:basedOn w:val="TableNormal"/>
    <w:next w:val="TableGrid"/>
    <w:uiPriority w:val="39"/>
    <w:unhideWhenUsed/>
    <w:rsid w:val="00162224"/>
    <w:rPr>
      <w:rFonts w:eastAsia="DengXian"/>
      <w:sz w:val="22"/>
      <w:szCs w:val="22"/>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162224"/>
    <w:rPr>
      <w:rFonts w:eastAsia="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unhideWhenUsed/>
    <w:rsid w:val="00162224"/>
    <w:rPr>
      <w:rFonts w:eastAsia="DengXian"/>
      <w:sz w:val="22"/>
      <w:szCs w:val="22"/>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62224"/>
    <w:rPr>
      <w:rFonts w:eastAsia="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next w:val="NoSpacing"/>
    <w:uiPriority w:val="1"/>
    <w:qFormat/>
    <w:rsid w:val="00162224"/>
    <w:rPr>
      <w:rFonts w:eastAsia="Calibri"/>
      <w:sz w:val="22"/>
      <w:szCs w:val="22"/>
      <w:lang w:val="en-GB"/>
    </w:rPr>
  </w:style>
  <w:style w:type="table" w:customStyle="1" w:styleId="TableGrid24">
    <w:name w:val="Table Grid24"/>
    <w:basedOn w:val="TableNormal"/>
    <w:next w:val="TableGrid"/>
    <w:uiPriority w:val="39"/>
    <w:unhideWhenUsed/>
    <w:rsid w:val="00162224"/>
    <w:rPr>
      <w:rFonts w:eastAsia="DengXian"/>
      <w:sz w:val="22"/>
      <w:szCs w:val="22"/>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162224"/>
    <w:rPr>
      <w:rFonts w:eastAsia="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7">
    <w:name w:val="Unresolved Mention7"/>
    <w:basedOn w:val="DefaultParagraphFont"/>
    <w:uiPriority w:val="99"/>
    <w:semiHidden/>
    <w:unhideWhenUsed/>
    <w:rsid w:val="00EA1F4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5800995">
      <w:bodyDiv w:val="1"/>
      <w:marLeft w:val="0"/>
      <w:marRight w:val="0"/>
      <w:marTop w:val="0"/>
      <w:marBottom w:val="0"/>
      <w:divBdr>
        <w:top w:val="none" w:sz="0" w:space="0" w:color="auto"/>
        <w:left w:val="none" w:sz="0" w:space="0" w:color="auto"/>
        <w:bottom w:val="none" w:sz="0" w:space="0" w:color="auto"/>
        <w:right w:val="none" w:sz="0" w:space="0" w:color="auto"/>
      </w:divBdr>
      <w:divsChild>
        <w:div w:id="1631982978">
          <w:marLeft w:val="0"/>
          <w:marRight w:val="0"/>
          <w:marTop w:val="0"/>
          <w:marBottom w:val="300"/>
          <w:divBdr>
            <w:top w:val="none" w:sz="0" w:space="0" w:color="auto"/>
            <w:left w:val="none" w:sz="0" w:space="0" w:color="auto"/>
            <w:bottom w:val="none" w:sz="0" w:space="0" w:color="auto"/>
            <w:right w:val="none" w:sz="0" w:space="0" w:color="auto"/>
          </w:divBdr>
          <w:divsChild>
            <w:div w:id="30274027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862740997">
      <w:bodyDiv w:val="1"/>
      <w:marLeft w:val="0"/>
      <w:marRight w:val="0"/>
      <w:marTop w:val="0"/>
      <w:marBottom w:val="0"/>
      <w:divBdr>
        <w:top w:val="none" w:sz="0" w:space="0" w:color="auto"/>
        <w:left w:val="none" w:sz="0" w:space="0" w:color="auto"/>
        <w:bottom w:val="none" w:sz="0" w:space="0" w:color="auto"/>
        <w:right w:val="none" w:sz="0" w:space="0" w:color="auto"/>
      </w:divBdr>
      <w:divsChild>
        <w:div w:id="1838573483">
          <w:marLeft w:val="0"/>
          <w:marRight w:val="0"/>
          <w:marTop w:val="0"/>
          <w:marBottom w:val="0"/>
          <w:divBdr>
            <w:top w:val="none" w:sz="0" w:space="0" w:color="auto"/>
            <w:left w:val="none" w:sz="0" w:space="0" w:color="auto"/>
            <w:bottom w:val="none" w:sz="0" w:space="0" w:color="auto"/>
            <w:right w:val="none" w:sz="0" w:space="0" w:color="auto"/>
          </w:divBdr>
        </w:div>
      </w:divsChild>
    </w:div>
    <w:div w:id="1015421620">
      <w:bodyDiv w:val="1"/>
      <w:marLeft w:val="0"/>
      <w:marRight w:val="0"/>
      <w:marTop w:val="0"/>
      <w:marBottom w:val="0"/>
      <w:divBdr>
        <w:top w:val="none" w:sz="0" w:space="0" w:color="auto"/>
        <w:left w:val="none" w:sz="0" w:space="0" w:color="auto"/>
        <w:bottom w:val="none" w:sz="0" w:space="0" w:color="auto"/>
        <w:right w:val="none" w:sz="0" w:space="0" w:color="auto"/>
      </w:divBdr>
    </w:div>
    <w:div w:id="1346441356">
      <w:bodyDiv w:val="1"/>
      <w:marLeft w:val="0"/>
      <w:marRight w:val="0"/>
      <w:marTop w:val="0"/>
      <w:marBottom w:val="0"/>
      <w:divBdr>
        <w:top w:val="none" w:sz="0" w:space="0" w:color="auto"/>
        <w:left w:val="none" w:sz="0" w:space="0" w:color="auto"/>
        <w:bottom w:val="none" w:sz="0" w:space="0" w:color="auto"/>
        <w:right w:val="none" w:sz="0" w:space="0" w:color="auto"/>
      </w:divBdr>
      <w:divsChild>
        <w:div w:id="633215215">
          <w:marLeft w:val="0"/>
          <w:marRight w:val="0"/>
          <w:marTop w:val="0"/>
          <w:marBottom w:val="300"/>
          <w:divBdr>
            <w:top w:val="none" w:sz="0" w:space="0" w:color="auto"/>
            <w:left w:val="none" w:sz="0" w:space="0" w:color="auto"/>
            <w:bottom w:val="none" w:sz="0" w:space="0" w:color="auto"/>
            <w:right w:val="none" w:sz="0" w:space="0" w:color="auto"/>
          </w:divBdr>
          <w:divsChild>
            <w:div w:id="188490243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tiff"/><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g"/><Relationship Id="rId55" Type="http://schemas.openxmlformats.org/officeDocument/2006/relationships/image" Target="media/image46.jpeg"/><Relationship Id="rId63" Type="http://schemas.openxmlformats.org/officeDocument/2006/relationships/image" Target="media/image54.tiff"/><Relationship Id="rId68" Type="http://schemas.openxmlformats.org/officeDocument/2006/relationships/chart" Target="charts/chart2.xml"/><Relationship Id="rId76" Type="http://schemas.openxmlformats.org/officeDocument/2006/relationships/hyperlink" Target="http://www.oxforddnb.com/view/10.1093/ref:odnb/9780198614128.001.0001/odnb-9780198614128-e-7369" TargetMode="External"/><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hart" Target="charts/chart5.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footer" Target="footer2.xml"/><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tiff"/><Relationship Id="rId58" Type="http://schemas.openxmlformats.org/officeDocument/2006/relationships/image" Target="media/image49.jpeg"/><Relationship Id="rId66" Type="http://schemas.openxmlformats.org/officeDocument/2006/relationships/chart" Target="charts/chart1.xml"/><Relationship Id="rId74" Type="http://schemas.openxmlformats.org/officeDocument/2006/relationships/hyperlink" Target="http://blogs.bl.uk/english-and-drama/2017/03/visual-verses-john-vicarss-god-in-the-mount-or-jehova-jireh-1641.html" TargetMode="External"/><Relationship Id="rId79" Type="http://schemas.openxmlformats.org/officeDocument/2006/relationships/hyperlink" Target="https://doi.org/10.1111/rest.12502" TargetMode="External"/><Relationship Id="rId5" Type="http://schemas.openxmlformats.org/officeDocument/2006/relationships/webSettings" Target="webSettings.xml"/><Relationship Id="rId61" Type="http://schemas.openxmlformats.org/officeDocument/2006/relationships/image" Target="media/image52.tiff"/><Relationship Id="rId82" Type="http://schemas.openxmlformats.org/officeDocument/2006/relationships/hyperlink" Target="https://www.lostplays.org/lpd/Harefield_Entertainment" TargetMode="External"/><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tiff"/><Relationship Id="rId52" Type="http://schemas.openxmlformats.org/officeDocument/2006/relationships/image" Target="media/image43.tiff"/><Relationship Id="rId60" Type="http://schemas.openxmlformats.org/officeDocument/2006/relationships/image" Target="media/image51.tiff"/><Relationship Id="rId65" Type="http://schemas.openxmlformats.org/officeDocument/2006/relationships/image" Target="media/image56.png"/><Relationship Id="rId73" Type="http://schemas.openxmlformats.org/officeDocument/2006/relationships/hyperlink" Target="http://classics.mit.edu/Aristotle/soul.mb.txt" TargetMode="External"/><Relationship Id="rId78" Type="http://schemas.openxmlformats.org/officeDocument/2006/relationships/hyperlink" Target="https://plato.stanford.edu/archives/sum2018/entries/pseudo-dionysius-areopagite/" TargetMode="External"/><Relationship Id="rId81" Type="http://schemas.openxmlformats.org/officeDocument/2006/relationships/hyperlink" Target="http://www.oxforddnb.com/view/10.1093/ref:odnb/9780198614128.001.0001/odnb-9780198614128-e-7367"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gif"/><Relationship Id="rId43" Type="http://schemas.openxmlformats.org/officeDocument/2006/relationships/image" Target="media/image34.jpeg"/><Relationship Id="rId48" Type="http://schemas.openxmlformats.org/officeDocument/2006/relationships/image" Target="media/image39.tiff"/><Relationship Id="rId56" Type="http://schemas.openxmlformats.org/officeDocument/2006/relationships/image" Target="media/image47.tiff"/><Relationship Id="rId64" Type="http://schemas.openxmlformats.org/officeDocument/2006/relationships/image" Target="media/image55.tiff"/><Relationship Id="rId69" Type="http://schemas.openxmlformats.org/officeDocument/2006/relationships/chart" Target="charts/chart3.xml"/><Relationship Id="rId77" Type="http://schemas.openxmlformats.org/officeDocument/2006/relationships/hyperlink" Target="https://doi.org/10.1093/ref:odnb/69054" TargetMode="External"/><Relationship Id="rId8" Type="http://schemas.openxmlformats.org/officeDocument/2006/relationships/image" Target="media/image1.emf"/><Relationship Id="rId51" Type="http://schemas.openxmlformats.org/officeDocument/2006/relationships/image" Target="media/image42.tiff"/><Relationship Id="rId72" Type="http://schemas.openxmlformats.org/officeDocument/2006/relationships/image" Target="media/image58.tiff"/><Relationship Id="rId80" Type="http://schemas.openxmlformats.org/officeDocument/2006/relationships/hyperlink" Target="http://www.oxforddnb.com.sheffield.idm.oclc.org/view/10.1093/ref:odnb/9780198614128.001.0001/odnb-9780198614128-e-11976"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gif"/><Relationship Id="rId25" Type="http://schemas.openxmlformats.org/officeDocument/2006/relationships/image" Target="media/image16.jpe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eg"/><Relationship Id="rId59" Type="http://schemas.openxmlformats.org/officeDocument/2006/relationships/image" Target="media/image50.tiff"/><Relationship Id="rId67" Type="http://schemas.openxmlformats.org/officeDocument/2006/relationships/image" Target="media/image57.gif"/><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tiff"/><Relationship Id="rId62" Type="http://schemas.openxmlformats.org/officeDocument/2006/relationships/image" Target="media/image53.tiff"/><Relationship Id="rId70" Type="http://schemas.openxmlformats.org/officeDocument/2006/relationships/chart" Target="charts/chart4.xml"/><Relationship Id="rId75" Type="http://schemas.openxmlformats.org/officeDocument/2006/relationships/hyperlink" Target="http://blogs.bl.uk/english-and-drama/2016/08/visual-verses-thomas-watsons-hekatompathia-or-passionate-century-of-love-1582.html"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G"/><Relationship Id="rId36" Type="http://schemas.openxmlformats.org/officeDocument/2006/relationships/image" Target="media/image27.jpeg"/><Relationship Id="rId49" Type="http://schemas.openxmlformats.org/officeDocument/2006/relationships/image" Target="media/image40.tiff"/><Relationship Id="rId57" Type="http://schemas.openxmlformats.org/officeDocument/2006/relationships/image" Target="media/image48.jpeg"/></Relationships>
</file>

<file path=word/_rels/footnotes.xml.rels><?xml version="1.0" encoding="UTF-8" standalone="yes"?>
<Relationships xmlns="http://schemas.openxmlformats.org/package/2006/relationships"><Relationship Id="rId2" Type="http://schemas.openxmlformats.org/officeDocument/2006/relationships/hyperlink" Target="http://s3.imagediver.org/topic/album/4294b0e/the_dutch_proverbs/1/index.html" TargetMode="External"/><Relationship Id="rId1" Type="http://schemas.openxmlformats.org/officeDocument/2006/relationships/hyperlink" Target="https://www.lostplays.org/lpd/Harefield_Entertainmen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Catherine\Dropbox\PhD\Sermons\Sermons%20title%20pages%20da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egp15cre\Dropbox\PhD\Sermons\Sermons%20title%20pages%20dat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egp15cre\Dropbox\PhD\Sermons\Sermons%20title%20pages%20dat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Catherine\Dropbox\PhD\Sermons\Sermons%20title%20pages%20dat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egp15cre\Dropbox\PhD\Sermons\Sermons%20title%20pages%20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tx>
            <c:strRef>
              <c:f>Sheet4!$C$1</c:f>
              <c:strCache>
                <c:ptCount val="1"/>
                <c:pt idx="0">
                  <c:v>Is a collection </c:v>
                </c:pt>
              </c:strCache>
            </c:strRef>
          </c:tx>
          <c:invertIfNegative val="0"/>
          <c:cat>
            <c:multiLvlStrRef>
              <c:f>Sheet4!$A$3:$B$25</c:f>
              <c:multiLvlStrCache>
                <c:ptCount val="23"/>
                <c:lvl>
                  <c:pt idx="0">
                    <c:v>1620</c:v>
                  </c:pt>
                  <c:pt idx="1">
                    <c:v>1621</c:v>
                  </c:pt>
                  <c:pt idx="2">
                    <c:v>1622</c:v>
                  </c:pt>
                  <c:pt idx="3">
                    <c:v>1623</c:v>
                  </c:pt>
                  <c:pt idx="4">
                    <c:v>1624</c:v>
                  </c:pt>
                  <c:pt idx="5">
                    <c:v>1625</c:v>
                  </c:pt>
                  <c:pt idx="6">
                    <c:v>1626</c:v>
                  </c:pt>
                  <c:pt idx="7">
                    <c:v>1627</c:v>
                  </c:pt>
                  <c:pt idx="8">
                    <c:v>1628</c:v>
                  </c:pt>
                  <c:pt idx="9">
                    <c:v>1629</c:v>
                  </c:pt>
                  <c:pt idx="10">
                    <c:v>1630</c:v>
                  </c:pt>
                  <c:pt idx="11">
                    <c:v>1631</c:v>
                  </c:pt>
                  <c:pt idx="12">
                    <c:v>1632</c:v>
                  </c:pt>
                  <c:pt idx="13">
                    <c:v>1633</c:v>
                  </c:pt>
                  <c:pt idx="14">
                    <c:v>1634</c:v>
                  </c:pt>
                  <c:pt idx="15">
                    <c:v>1635</c:v>
                  </c:pt>
                  <c:pt idx="16">
                    <c:v>1636</c:v>
                  </c:pt>
                  <c:pt idx="17">
                    <c:v>1637</c:v>
                  </c:pt>
                  <c:pt idx="18">
                    <c:v>1638</c:v>
                  </c:pt>
                  <c:pt idx="19">
                    <c:v>1639</c:v>
                  </c:pt>
                  <c:pt idx="20">
                    <c:v>1640</c:v>
                  </c:pt>
                  <c:pt idx="21">
                    <c:v>1641</c:v>
                  </c:pt>
                  <c:pt idx="22">
                    <c:v>1642</c:v>
                  </c:pt>
                </c:lvl>
                <c:lvl>
                  <c:pt idx="0">
                    <c:v>Date Published</c:v>
                  </c:pt>
                </c:lvl>
              </c:multiLvlStrCache>
            </c:multiLvlStrRef>
          </c:cat>
          <c:val>
            <c:numRef>
              <c:f>Sheet4!$C$3:$C$25</c:f>
              <c:numCache>
                <c:formatCode>###0</c:formatCode>
                <c:ptCount val="23"/>
                <c:pt idx="0">
                  <c:v>5</c:v>
                </c:pt>
                <c:pt idx="1">
                  <c:v>4</c:v>
                </c:pt>
                <c:pt idx="2">
                  <c:v>1</c:v>
                </c:pt>
                <c:pt idx="3">
                  <c:v>3</c:v>
                </c:pt>
                <c:pt idx="4">
                  <c:v>2</c:v>
                </c:pt>
                <c:pt idx="5">
                  <c:v>2</c:v>
                </c:pt>
                <c:pt idx="6">
                  <c:v>2</c:v>
                </c:pt>
                <c:pt idx="7">
                  <c:v>2</c:v>
                </c:pt>
                <c:pt idx="8">
                  <c:v>3</c:v>
                </c:pt>
                <c:pt idx="9">
                  <c:v>4</c:v>
                </c:pt>
                <c:pt idx="10">
                  <c:v>3</c:v>
                </c:pt>
                <c:pt idx="11">
                  <c:v>3</c:v>
                </c:pt>
                <c:pt idx="12">
                  <c:v>5</c:v>
                </c:pt>
                <c:pt idx="13">
                  <c:v>6</c:v>
                </c:pt>
                <c:pt idx="14">
                  <c:v>8</c:v>
                </c:pt>
                <c:pt idx="15">
                  <c:v>5</c:v>
                </c:pt>
                <c:pt idx="16">
                  <c:v>6</c:v>
                </c:pt>
                <c:pt idx="17">
                  <c:v>6</c:v>
                </c:pt>
                <c:pt idx="18">
                  <c:v>2</c:v>
                </c:pt>
                <c:pt idx="19">
                  <c:v>1</c:v>
                </c:pt>
                <c:pt idx="20">
                  <c:v>8</c:v>
                </c:pt>
                <c:pt idx="21">
                  <c:v>7</c:v>
                </c:pt>
                <c:pt idx="22">
                  <c:v>5</c:v>
                </c:pt>
              </c:numCache>
            </c:numRef>
          </c:val>
          <c:extLst>
            <c:ext xmlns:c16="http://schemas.microsoft.com/office/drawing/2014/chart" uri="{C3380CC4-5D6E-409C-BE32-E72D297353CC}">
              <c16:uniqueId val="{00000000-AC61-49DB-B886-261AE52B1206}"/>
            </c:ext>
          </c:extLst>
        </c:ser>
        <c:ser>
          <c:idx val="1"/>
          <c:order val="1"/>
          <c:tx>
            <c:strRef>
              <c:f>Sheet4!$E$1</c:f>
              <c:strCache>
                <c:ptCount val="1"/>
                <c:pt idx="0">
                  <c:v>Has place of preaching </c:v>
                </c:pt>
              </c:strCache>
            </c:strRef>
          </c:tx>
          <c:invertIfNegative val="0"/>
          <c:cat>
            <c:multiLvlStrRef>
              <c:f>Sheet4!$A$3:$B$25</c:f>
              <c:multiLvlStrCache>
                <c:ptCount val="23"/>
                <c:lvl>
                  <c:pt idx="0">
                    <c:v>1620</c:v>
                  </c:pt>
                  <c:pt idx="1">
                    <c:v>1621</c:v>
                  </c:pt>
                  <c:pt idx="2">
                    <c:v>1622</c:v>
                  </c:pt>
                  <c:pt idx="3">
                    <c:v>1623</c:v>
                  </c:pt>
                  <c:pt idx="4">
                    <c:v>1624</c:v>
                  </c:pt>
                  <c:pt idx="5">
                    <c:v>1625</c:v>
                  </c:pt>
                  <c:pt idx="6">
                    <c:v>1626</c:v>
                  </c:pt>
                  <c:pt idx="7">
                    <c:v>1627</c:v>
                  </c:pt>
                  <c:pt idx="8">
                    <c:v>1628</c:v>
                  </c:pt>
                  <c:pt idx="9">
                    <c:v>1629</c:v>
                  </c:pt>
                  <c:pt idx="10">
                    <c:v>1630</c:v>
                  </c:pt>
                  <c:pt idx="11">
                    <c:v>1631</c:v>
                  </c:pt>
                  <c:pt idx="12">
                    <c:v>1632</c:v>
                  </c:pt>
                  <c:pt idx="13">
                    <c:v>1633</c:v>
                  </c:pt>
                  <c:pt idx="14">
                    <c:v>1634</c:v>
                  </c:pt>
                  <c:pt idx="15">
                    <c:v>1635</c:v>
                  </c:pt>
                  <c:pt idx="16">
                    <c:v>1636</c:v>
                  </c:pt>
                  <c:pt idx="17">
                    <c:v>1637</c:v>
                  </c:pt>
                  <c:pt idx="18">
                    <c:v>1638</c:v>
                  </c:pt>
                  <c:pt idx="19">
                    <c:v>1639</c:v>
                  </c:pt>
                  <c:pt idx="20">
                    <c:v>1640</c:v>
                  </c:pt>
                  <c:pt idx="21">
                    <c:v>1641</c:v>
                  </c:pt>
                  <c:pt idx="22">
                    <c:v>1642</c:v>
                  </c:pt>
                </c:lvl>
                <c:lvl>
                  <c:pt idx="0">
                    <c:v>Date Published</c:v>
                  </c:pt>
                </c:lvl>
              </c:multiLvlStrCache>
            </c:multiLvlStrRef>
          </c:cat>
          <c:val>
            <c:numRef>
              <c:f>Sheet4!$E$3:$E$25</c:f>
              <c:numCache>
                <c:formatCode>###0</c:formatCode>
                <c:ptCount val="23"/>
                <c:pt idx="0">
                  <c:v>28</c:v>
                </c:pt>
                <c:pt idx="1">
                  <c:v>18</c:v>
                </c:pt>
                <c:pt idx="2">
                  <c:v>31</c:v>
                </c:pt>
                <c:pt idx="3">
                  <c:v>29</c:v>
                </c:pt>
                <c:pt idx="4">
                  <c:v>28</c:v>
                </c:pt>
                <c:pt idx="5">
                  <c:v>31</c:v>
                </c:pt>
                <c:pt idx="6">
                  <c:v>27</c:v>
                </c:pt>
                <c:pt idx="7">
                  <c:v>19</c:v>
                </c:pt>
                <c:pt idx="8">
                  <c:v>22</c:v>
                </c:pt>
                <c:pt idx="9">
                  <c:v>13</c:v>
                </c:pt>
                <c:pt idx="10">
                  <c:v>16</c:v>
                </c:pt>
                <c:pt idx="11">
                  <c:v>14</c:v>
                </c:pt>
                <c:pt idx="12">
                  <c:v>15</c:v>
                </c:pt>
                <c:pt idx="13">
                  <c:v>16</c:v>
                </c:pt>
                <c:pt idx="14">
                  <c:v>15</c:v>
                </c:pt>
                <c:pt idx="15">
                  <c:v>18</c:v>
                </c:pt>
                <c:pt idx="16">
                  <c:v>16</c:v>
                </c:pt>
                <c:pt idx="17">
                  <c:v>18</c:v>
                </c:pt>
                <c:pt idx="18">
                  <c:v>15</c:v>
                </c:pt>
                <c:pt idx="19">
                  <c:v>20</c:v>
                </c:pt>
                <c:pt idx="20">
                  <c:v>16</c:v>
                </c:pt>
                <c:pt idx="21">
                  <c:v>42</c:v>
                </c:pt>
                <c:pt idx="22">
                  <c:v>70</c:v>
                </c:pt>
              </c:numCache>
            </c:numRef>
          </c:val>
          <c:extLst>
            <c:ext xmlns:c16="http://schemas.microsoft.com/office/drawing/2014/chart" uri="{C3380CC4-5D6E-409C-BE32-E72D297353CC}">
              <c16:uniqueId val="{00000001-AC61-49DB-B886-261AE52B1206}"/>
            </c:ext>
          </c:extLst>
        </c:ser>
        <c:ser>
          <c:idx val="2"/>
          <c:order val="2"/>
          <c:tx>
            <c:strRef>
              <c:f>Sheet4!$G$1</c:f>
              <c:strCache>
                <c:ptCount val="1"/>
                <c:pt idx="0">
                  <c:v>Date Given </c:v>
                </c:pt>
              </c:strCache>
            </c:strRef>
          </c:tx>
          <c:invertIfNegative val="0"/>
          <c:cat>
            <c:multiLvlStrRef>
              <c:f>Sheet4!$A$3:$B$25</c:f>
              <c:multiLvlStrCache>
                <c:ptCount val="23"/>
                <c:lvl>
                  <c:pt idx="0">
                    <c:v>1620</c:v>
                  </c:pt>
                  <c:pt idx="1">
                    <c:v>1621</c:v>
                  </c:pt>
                  <c:pt idx="2">
                    <c:v>1622</c:v>
                  </c:pt>
                  <c:pt idx="3">
                    <c:v>1623</c:v>
                  </c:pt>
                  <c:pt idx="4">
                    <c:v>1624</c:v>
                  </c:pt>
                  <c:pt idx="5">
                    <c:v>1625</c:v>
                  </c:pt>
                  <c:pt idx="6">
                    <c:v>1626</c:v>
                  </c:pt>
                  <c:pt idx="7">
                    <c:v>1627</c:v>
                  </c:pt>
                  <c:pt idx="8">
                    <c:v>1628</c:v>
                  </c:pt>
                  <c:pt idx="9">
                    <c:v>1629</c:v>
                  </c:pt>
                  <c:pt idx="10">
                    <c:v>1630</c:v>
                  </c:pt>
                  <c:pt idx="11">
                    <c:v>1631</c:v>
                  </c:pt>
                  <c:pt idx="12">
                    <c:v>1632</c:v>
                  </c:pt>
                  <c:pt idx="13">
                    <c:v>1633</c:v>
                  </c:pt>
                  <c:pt idx="14">
                    <c:v>1634</c:v>
                  </c:pt>
                  <c:pt idx="15">
                    <c:v>1635</c:v>
                  </c:pt>
                  <c:pt idx="16">
                    <c:v>1636</c:v>
                  </c:pt>
                  <c:pt idx="17">
                    <c:v>1637</c:v>
                  </c:pt>
                  <c:pt idx="18">
                    <c:v>1638</c:v>
                  </c:pt>
                  <c:pt idx="19">
                    <c:v>1639</c:v>
                  </c:pt>
                  <c:pt idx="20">
                    <c:v>1640</c:v>
                  </c:pt>
                  <c:pt idx="21">
                    <c:v>1641</c:v>
                  </c:pt>
                  <c:pt idx="22">
                    <c:v>1642</c:v>
                  </c:pt>
                </c:lvl>
                <c:lvl>
                  <c:pt idx="0">
                    <c:v>Date Published</c:v>
                  </c:pt>
                </c:lvl>
              </c:multiLvlStrCache>
            </c:multiLvlStrRef>
          </c:cat>
          <c:val>
            <c:numRef>
              <c:f>Sheet4!$G$3:$G$25</c:f>
              <c:numCache>
                <c:formatCode>###0</c:formatCode>
                <c:ptCount val="23"/>
                <c:pt idx="0">
                  <c:v>25</c:v>
                </c:pt>
                <c:pt idx="1">
                  <c:v>13</c:v>
                </c:pt>
                <c:pt idx="2">
                  <c:v>27</c:v>
                </c:pt>
                <c:pt idx="3">
                  <c:v>25</c:v>
                </c:pt>
                <c:pt idx="4">
                  <c:v>28</c:v>
                </c:pt>
                <c:pt idx="5">
                  <c:v>26</c:v>
                </c:pt>
                <c:pt idx="6">
                  <c:v>25</c:v>
                </c:pt>
                <c:pt idx="7">
                  <c:v>16</c:v>
                </c:pt>
                <c:pt idx="8">
                  <c:v>17</c:v>
                </c:pt>
                <c:pt idx="9">
                  <c:v>13</c:v>
                </c:pt>
                <c:pt idx="10">
                  <c:v>19</c:v>
                </c:pt>
                <c:pt idx="11">
                  <c:v>9</c:v>
                </c:pt>
                <c:pt idx="12">
                  <c:v>16</c:v>
                </c:pt>
                <c:pt idx="13">
                  <c:v>13</c:v>
                </c:pt>
                <c:pt idx="14">
                  <c:v>12</c:v>
                </c:pt>
                <c:pt idx="15">
                  <c:v>16</c:v>
                </c:pt>
                <c:pt idx="16">
                  <c:v>20</c:v>
                </c:pt>
                <c:pt idx="17">
                  <c:v>17</c:v>
                </c:pt>
                <c:pt idx="18">
                  <c:v>17</c:v>
                </c:pt>
                <c:pt idx="19">
                  <c:v>18</c:v>
                </c:pt>
                <c:pt idx="20">
                  <c:v>12</c:v>
                </c:pt>
                <c:pt idx="21">
                  <c:v>37</c:v>
                </c:pt>
                <c:pt idx="22">
                  <c:v>61</c:v>
                </c:pt>
              </c:numCache>
            </c:numRef>
          </c:val>
          <c:extLst>
            <c:ext xmlns:c16="http://schemas.microsoft.com/office/drawing/2014/chart" uri="{C3380CC4-5D6E-409C-BE32-E72D297353CC}">
              <c16:uniqueId val="{00000002-AC61-49DB-B886-261AE52B1206}"/>
            </c:ext>
          </c:extLst>
        </c:ser>
        <c:ser>
          <c:idx val="3"/>
          <c:order val="3"/>
          <c:tx>
            <c:strRef>
              <c:f>Sheet4!$I$1</c:f>
              <c:strCache>
                <c:ptCount val="1"/>
                <c:pt idx="0">
                  <c:v>Preachers living specified </c:v>
                </c:pt>
              </c:strCache>
            </c:strRef>
          </c:tx>
          <c:invertIfNegative val="0"/>
          <c:cat>
            <c:multiLvlStrRef>
              <c:f>Sheet4!$A$3:$B$25</c:f>
              <c:multiLvlStrCache>
                <c:ptCount val="23"/>
                <c:lvl>
                  <c:pt idx="0">
                    <c:v>1620</c:v>
                  </c:pt>
                  <c:pt idx="1">
                    <c:v>1621</c:v>
                  </c:pt>
                  <c:pt idx="2">
                    <c:v>1622</c:v>
                  </c:pt>
                  <c:pt idx="3">
                    <c:v>1623</c:v>
                  </c:pt>
                  <c:pt idx="4">
                    <c:v>1624</c:v>
                  </c:pt>
                  <c:pt idx="5">
                    <c:v>1625</c:v>
                  </c:pt>
                  <c:pt idx="6">
                    <c:v>1626</c:v>
                  </c:pt>
                  <c:pt idx="7">
                    <c:v>1627</c:v>
                  </c:pt>
                  <c:pt idx="8">
                    <c:v>1628</c:v>
                  </c:pt>
                  <c:pt idx="9">
                    <c:v>1629</c:v>
                  </c:pt>
                  <c:pt idx="10">
                    <c:v>1630</c:v>
                  </c:pt>
                  <c:pt idx="11">
                    <c:v>1631</c:v>
                  </c:pt>
                  <c:pt idx="12">
                    <c:v>1632</c:v>
                  </c:pt>
                  <c:pt idx="13">
                    <c:v>1633</c:v>
                  </c:pt>
                  <c:pt idx="14">
                    <c:v>1634</c:v>
                  </c:pt>
                  <c:pt idx="15">
                    <c:v>1635</c:v>
                  </c:pt>
                  <c:pt idx="16">
                    <c:v>1636</c:v>
                  </c:pt>
                  <c:pt idx="17">
                    <c:v>1637</c:v>
                  </c:pt>
                  <c:pt idx="18">
                    <c:v>1638</c:v>
                  </c:pt>
                  <c:pt idx="19">
                    <c:v>1639</c:v>
                  </c:pt>
                  <c:pt idx="20">
                    <c:v>1640</c:v>
                  </c:pt>
                  <c:pt idx="21">
                    <c:v>1641</c:v>
                  </c:pt>
                  <c:pt idx="22">
                    <c:v>1642</c:v>
                  </c:pt>
                </c:lvl>
                <c:lvl>
                  <c:pt idx="0">
                    <c:v>Date Published</c:v>
                  </c:pt>
                </c:lvl>
              </c:multiLvlStrCache>
            </c:multiLvlStrRef>
          </c:cat>
          <c:val>
            <c:numRef>
              <c:f>Sheet4!$I$3:$I$25</c:f>
              <c:numCache>
                <c:formatCode>###0</c:formatCode>
                <c:ptCount val="23"/>
                <c:pt idx="0">
                  <c:v>22</c:v>
                </c:pt>
                <c:pt idx="1">
                  <c:v>15</c:v>
                </c:pt>
                <c:pt idx="2">
                  <c:v>25</c:v>
                </c:pt>
                <c:pt idx="3">
                  <c:v>14</c:v>
                </c:pt>
                <c:pt idx="4">
                  <c:v>22</c:v>
                </c:pt>
                <c:pt idx="5">
                  <c:v>22</c:v>
                </c:pt>
                <c:pt idx="6">
                  <c:v>19</c:v>
                </c:pt>
                <c:pt idx="7">
                  <c:v>17</c:v>
                </c:pt>
                <c:pt idx="8">
                  <c:v>16</c:v>
                </c:pt>
                <c:pt idx="9">
                  <c:v>16</c:v>
                </c:pt>
                <c:pt idx="10">
                  <c:v>16</c:v>
                </c:pt>
                <c:pt idx="11">
                  <c:v>13</c:v>
                </c:pt>
                <c:pt idx="12">
                  <c:v>14</c:v>
                </c:pt>
                <c:pt idx="13">
                  <c:v>15</c:v>
                </c:pt>
                <c:pt idx="14">
                  <c:v>17</c:v>
                </c:pt>
                <c:pt idx="15">
                  <c:v>10</c:v>
                </c:pt>
                <c:pt idx="16">
                  <c:v>15</c:v>
                </c:pt>
                <c:pt idx="17">
                  <c:v>16</c:v>
                </c:pt>
                <c:pt idx="18">
                  <c:v>11</c:v>
                </c:pt>
                <c:pt idx="19">
                  <c:v>18</c:v>
                </c:pt>
                <c:pt idx="20">
                  <c:v>19</c:v>
                </c:pt>
                <c:pt idx="21">
                  <c:v>29</c:v>
                </c:pt>
                <c:pt idx="22">
                  <c:v>39</c:v>
                </c:pt>
              </c:numCache>
            </c:numRef>
          </c:val>
          <c:extLst>
            <c:ext xmlns:c16="http://schemas.microsoft.com/office/drawing/2014/chart" uri="{C3380CC4-5D6E-409C-BE32-E72D297353CC}">
              <c16:uniqueId val="{00000003-AC61-49DB-B886-261AE52B1206}"/>
            </c:ext>
          </c:extLst>
        </c:ser>
        <c:ser>
          <c:idx val="4"/>
          <c:order val="4"/>
          <c:tx>
            <c:strRef>
              <c:f>Sheet4!$K$1</c:f>
              <c:strCache>
                <c:ptCount val="1"/>
                <c:pt idx="0">
                  <c:v>Total printed that year </c:v>
                </c:pt>
              </c:strCache>
            </c:strRef>
          </c:tx>
          <c:invertIfNegative val="0"/>
          <c:cat>
            <c:multiLvlStrRef>
              <c:f>Sheet4!$A$3:$B$25</c:f>
              <c:multiLvlStrCache>
                <c:ptCount val="23"/>
                <c:lvl>
                  <c:pt idx="0">
                    <c:v>1620</c:v>
                  </c:pt>
                  <c:pt idx="1">
                    <c:v>1621</c:v>
                  </c:pt>
                  <c:pt idx="2">
                    <c:v>1622</c:v>
                  </c:pt>
                  <c:pt idx="3">
                    <c:v>1623</c:v>
                  </c:pt>
                  <c:pt idx="4">
                    <c:v>1624</c:v>
                  </c:pt>
                  <c:pt idx="5">
                    <c:v>1625</c:v>
                  </c:pt>
                  <c:pt idx="6">
                    <c:v>1626</c:v>
                  </c:pt>
                  <c:pt idx="7">
                    <c:v>1627</c:v>
                  </c:pt>
                  <c:pt idx="8">
                    <c:v>1628</c:v>
                  </c:pt>
                  <c:pt idx="9">
                    <c:v>1629</c:v>
                  </c:pt>
                  <c:pt idx="10">
                    <c:v>1630</c:v>
                  </c:pt>
                  <c:pt idx="11">
                    <c:v>1631</c:v>
                  </c:pt>
                  <c:pt idx="12">
                    <c:v>1632</c:v>
                  </c:pt>
                  <c:pt idx="13">
                    <c:v>1633</c:v>
                  </c:pt>
                  <c:pt idx="14">
                    <c:v>1634</c:v>
                  </c:pt>
                  <c:pt idx="15">
                    <c:v>1635</c:v>
                  </c:pt>
                  <c:pt idx="16">
                    <c:v>1636</c:v>
                  </c:pt>
                  <c:pt idx="17">
                    <c:v>1637</c:v>
                  </c:pt>
                  <c:pt idx="18">
                    <c:v>1638</c:v>
                  </c:pt>
                  <c:pt idx="19">
                    <c:v>1639</c:v>
                  </c:pt>
                  <c:pt idx="20">
                    <c:v>1640</c:v>
                  </c:pt>
                  <c:pt idx="21">
                    <c:v>1641</c:v>
                  </c:pt>
                  <c:pt idx="22">
                    <c:v>1642</c:v>
                  </c:pt>
                </c:lvl>
                <c:lvl>
                  <c:pt idx="0">
                    <c:v>Date Published</c:v>
                  </c:pt>
                </c:lvl>
              </c:multiLvlStrCache>
            </c:multiLvlStrRef>
          </c:cat>
          <c:val>
            <c:numRef>
              <c:f>Sheet4!$K$3:$K$25</c:f>
              <c:numCache>
                <c:formatCode>###0</c:formatCode>
                <c:ptCount val="23"/>
                <c:pt idx="0">
                  <c:v>35</c:v>
                </c:pt>
                <c:pt idx="1">
                  <c:v>26</c:v>
                </c:pt>
                <c:pt idx="2">
                  <c:v>40</c:v>
                </c:pt>
                <c:pt idx="3">
                  <c:v>35</c:v>
                </c:pt>
                <c:pt idx="4">
                  <c:v>35</c:v>
                </c:pt>
                <c:pt idx="5">
                  <c:v>33</c:v>
                </c:pt>
                <c:pt idx="6">
                  <c:v>31</c:v>
                </c:pt>
                <c:pt idx="7">
                  <c:v>24</c:v>
                </c:pt>
                <c:pt idx="8">
                  <c:v>26</c:v>
                </c:pt>
                <c:pt idx="9">
                  <c:v>19</c:v>
                </c:pt>
                <c:pt idx="10">
                  <c:v>29</c:v>
                </c:pt>
                <c:pt idx="11">
                  <c:v>19</c:v>
                </c:pt>
                <c:pt idx="12">
                  <c:v>26</c:v>
                </c:pt>
                <c:pt idx="13">
                  <c:v>24</c:v>
                </c:pt>
                <c:pt idx="14">
                  <c:v>22</c:v>
                </c:pt>
                <c:pt idx="15">
                  <c:v>22</c:v>
                </c:pt>
                <c:pt idx="16">
                  <c:v>24</c:v>
                </c:pt>
                <c:pt idx="17">
                  <c:v>25</c:v>
                </c:pt>
                <c:pt idx="18">
                  <c:v>23</c:v>
                </c:pt>
                <c:pt idx="19">
                  <c:v>26</c:v>
                </c:pt>
                <c:pt idx="20">
                  <c:v>27</c:v>
                </c:pt>
                <c:pt idx="21">
                  <c:v>54</c:v>
                </c:pt>
                <c:pt idx="22">
                  <c:v>79</c:v>
                </c:pt>
              </c:numCache>
            </c:numRef>
          </c:val>
          <c:extLst>
            <c:ext xmlns:c16="http://schemas.microsoft.com/office/drawing/2014/chart" uri="{C3380CC4-5D6E-409C-BE32-E72D297353CC}">
              <c16:uniqueId val="{00000004-AC61-49DB-B886-261AE52B1206}"/>
            </c:ext>
          </c:extLst>
        </c:ser>
        <c:dLbls>
          <c:showLegendKey val="0"/>
          <c:showVal val="0"/>
          <c:showCatName val="0"/>
          <c:showSerName val="0"/>
          <c:showPercent val="0"/>
          <c:showBubbleSize val="0"/>
        </c:dLbls>
        <c:gapWidth val="75"/>
        <c:axId val="160532352"/>
        <c:axId val="160533888"/>
      </c:barChart>
      <c:catAx>
        <c:axId val="160532352"/>
        <c:scaling>
          <c:orientation val="minMax"/>
        </c:scaling>
        <c:delete val="0"/>
        <c:axPos val="l"/>
        <c:numFmt formatCode="General" sourceLinked="1"/>
        <c:majorTickMark val="none"/>
        <c:minorTickMark val="none"/>
        <c:tickLblPos val="nextTo"/>
        <c:txPr>
          <a:bodyPr rot="-60000000" vert="horz"/>
          <a:lstStyle/>
          <a:p>
            <a:pPr>
              <a:defRPr/>
            </a:pPr>
            <a:endParaRPr lang="en-US"/>
          </a:p>
        </c:txPr>
        <c:crossAx val="160533888"/>
        <c:crosses val="autoZero"/>
        <c:auto val="1"/>
        <c:lblAlgn val="ctr"/>
        <c:lblOffset val="100"/>
        <c:noMultiLvlLbl val="0"/>
      </c:catAx>
      <c:valAx>
        <c:axId val="160533888"/>
        <c:scaling>
          <c:orientation val="minMax"/>
        </c:scaling>
        <c:delete val="0"/>
        <c:axPos val="b"/>
        <c:majorGridlines/>
        <c:numFmt formatCode="###0" sourceLinked="1"/>
        <c:majorTickMark val="none"/>
        <c:minorTickMark val="none"/>
        <c:tickLblPos val="nextTo"/>
        <c:txPr>
          <a:bodyPr rot="-60000000" vert="horz"/>
          <a:lstStyle/>
          <a:p>
            <a:pPr>
              <a:defRPr/>
            </a:pPr>
            <a:endParaRPr lang="en-US"/>
          </a:p>
        </c:txPr>
        <c:crossAx val="160532352"/>
        <c:crosses val="autoZero"/>
        <c:crossBetween val="between"/>
      </c:valAx>
    </c:plotArea>
    <c:legend>
      <c:legendPos val="b"/>
      <c:overlay val="0"/>
      <c:txPr>
        <a:bodyPr rot="0" vert="horz"/>
        <a:lstStyle/>
        <a:p>
          <a:pPr>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352250582646577"/>
          <c:y val="0.18135492167030304"/>
          <c:w val="0.4340404646230282"/>
          <c:h val="0.67402438356252681"/>
        </c:manualLayout>
      </c:layout>
      <c:pieChart>
        <c:varyColors val="1"/>
        <c:ser>
          <c:idx val="0"/>
          <c:order val="0"/>
          <c:tx>
            <c:strRef>
              <c:f>'Dating style '!$L$22</c:f>
              <c:strCache>
                <c:ptCount val="1"/>
                <c:pt idx="0">
                  <c:v>Column2</c:v>
                </c:pt>
              </c:strCache>
            </c:strRef>
          </c:tx>
          <c:dPt>
            <c:idx val="3"/>
            <c:bubble3D val="0"/>
            <c:explosion val="7"/>
            <c:extLst>
              <c:ext xmlns:c16="http://schemas.microsoft.com/office/drawing/2014/chart" uri="{C3380CC4-5D6E-409C-BE32-E72D297353CC}">
                <c16:uniqueId val="{00000001-0A2B-4BF6-B490-BF15FBEC7ABE}"/>
              </c:ext>
            </c:extLst>
          </c:dPt>
          <c:dPt>
            <c:idx val="4"/>
            <c:bubble3D val="0"/>
            <c:explosion val="14"/>
            <c:extLst>
              <c:ext xmlns:c16="http://schemas.microsoft.com/office/drawing/2014/chart" uri="{C3380CC4-5D6E-409C-BE32-E72D297353CC}">
                <c16:uniqueId val="{00000003-0A2B-4BF6-B490-BF15FBEC7ABE}"/>
              </c:ext>
            </c:extLst>
          </c:dPt>
          <c:dLbls>
            <c:dLbl>
              <c:idx val="1"/>
              <c:layout>
                <c:manualLayout>
                  <c:x val="-0.10455585002064945"/>
                  <c:y val="-0.2263140084630234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0A2B-4BF6-B490-BF15FBEC7ABE}"/>
                </c:ext>
              </c:extLst>
            </c:dLbl>
            <c:dLbl>
              <c:idx val="2"/>
              <c:layout>
                <c:manualLayout>
                  <c:x val="0.11652516431359772"/>
                  <c:y val="0.1105114231479482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A2B-4BF6-B490-BF15FBEC7ABE}"/>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'Dating style '!$K$23:$K$27</c:f>
              <c:strCache>
                <c:ptCount val="5"/>
                <c:pt idx="0">
                  <c:v>Church calendar </c:v>
                </c:pt>
                <c:pt idx="1">
                  <c:v>Date</c:v>
                </c:pt>
                <c:pt idx="2">
                  <c:v>Event</c:v>
                </c:pt>
                <c:pt idx="3">
                  <c:v>Term date</c:v>
                </c:pt>
                <c:pt idx="4">
                  <c:v>Other </c:v>
                </c:pt>
              </c:strCache>
            </c:strRef>
          </c:cat>
          <c:val>
            <c:numRef>
              <c:f>'Dating style '!$L$23:$L$27</c:f>
              <c:numCache>
                <c:formatCode>General</c:formatCode>
                <c:ptCount val="5"/>
                <c:pt idx="0">
                  <c:v>54</c:v>
                </c:pt>
                <c:pt idx="1">
                  <c:v>381</c:v>
                </c:pt>
                <c:pt idx="2">
                  <c:v>190</c:v>
                </c:pt>
                <c:pt idx="3">
                  <c:v>8</c:v>
                </c:pt>
                <c:pt idx="4">
                  <c:v>9</c:v>
                </c:pt>
              </c:numCache>
            </c:numRef>
          </c:val>
          <c:extLst>
            <c:ext xmlns:c16="http://schemas.microsoft.com/office/drawing/2014/chart" uri="{C3380CC4-5D6E-409C-BE32-E72D297353CC}">
              <c16:uniqueId val="{00000006-0A2B-4BF6-B490-BF15FBEC7ABE}"/>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4"/>
          <c:dPt>
            <c:idx val="1"/>
            <c:bubble3D val="0"/>
            <c:explosion val="11"/>
            <c:extLst>
              <c:ext xmlns:c16="http://schemas.microsoft.com/office/drawing/2014/chart" uri="{C3380CC4-5D6E-409C-BE32-E72D297353CC}">
                <c16:uniqueId val="{00000001-0BF6-4699-B701-56866A33BF11}"/>
              </c:ext>
            </c:extLst>
          </c:dPt>
          <c:dPt>
            <c:idx val="2"/>
            <c:bubble3D val="0"/>
            <c:explosion val="6"/>
            <c:extLst>
              <c:ext xmlns:c16="http://schemas.microsoft.com/office/drawing/2014/chart" uri="{C3380CC4-5D6E-409C-BE32-E72D297353CC}">
                <c16:uniqueId val="{00000003-0BF6-4699-B701-56866A33BF11}"/>
              </c:ext>
            </c:extLst>
          </c:dPt>
          <c:dLbls>
            <c:dLbl>
              <c:idx val="0"/>
              <c:delete val="1"/>
              <c:extLst>
                <c:ext xmlns:c15="http://schemas.microsoft.com/office/drawing/2012/chart" uri="{CE6537A1-D6FC-4f65-9D91-7224C49458BB}"/>
                <c:ext xmlns:c16="http://schemas.microsoft.com/office/drawing/2014/chart" uri="{C3380CC4-5D6E-409C-BE32-E72D297353CC}">
                  <c16:uniqueId val="{00000004-0BF6-4699-B701-56866A33BF11}"/>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'Dating style '!$O$2:$O$16</c:f>
              <c:strCache>
                <c:ptCount val="15"/>
                <c:pt idx="0">
                  <c:v>anniversary </c:v>
                </c:pt>
                <c:pt idx="1">
                  <c:v>burial </c:v>
                </c:pt>
                <c:pt idx="2">
                  <c:v>consecration</c:v>
                </c:pt>
                <c:pt idx="3">
                  <c:v>coronation</c:v>
                </c:pt>
                <c:pt idx="4">
                  <c:v>election </c:v>
                </c:pt>
                <c:pt idx="5">
                  <c:v>fast</c:v>
                </c:pt>
                <c:pt idx="6">
                  <c:v>funeral </c:v>
                </c:pt>
                <c:pt idx="7">
                  <c:v>memorial </c:v>
                </c:pt>
                <c:pt idx="8">
                  <c:v>thanksgiving </c:v>
                </c:pt>
                <c:pt idx="9">
                  <c:v>visitation </c:v>
                </c:pt>
                <c:pt idx="10">
                  <c:v>wedding </c:v>
                </c:pt>
                <c:pt idx="11">
                  <c:v>plague</c:v>
                </c:pt>
                <c:pt idx="12">
                  <c:v>inauguration </c:v>
                </c:pt>
                <c:pt idx="13">
                  <c:v>feast </c:v>
                </c:pt>
                <c:pt idx="14">
                  <c:v>fire</c:v>
                </c:pt>
              </c:strCache>
            </c:strRef>
          </c:cat>
          <c:val>
            <c:numRef>
              <c:f>'Dating style '!$P$2:$P$16</c:f>
              <c:numCache>
                <c:formatCode>General</c:formatCode>
                <c:ptCount val="15"/>
                <c:pt idx="0">
                  <c:v>1</c:v>
                </c:pt>
                <c:pt idx="1">
                  <c:v>4</c:v>
                </c:pt>
                <c:pt idx="2">
                  <c:v>10</c:v>
                </c:pt>
                <c:pt idx="3">
                  <c:v>1</c:v>
                </c:pt>
                <c:pt idx="4">
                  <c:v>5</c:v>
                </c:pt>
                <c:pt idx="5">
                  <c:v>29</c:v>
                </c:pt>
                <c:pt idx="6">
                  <c:v>83</c:v>
                </c:pt>
                <c:pt idx="7">
                  <c:v>1</c:v>
                </c:pt>
                <c:pt idx="8">
                  <c:v>3</c:v>
                </c:pt>
                <c:pt idx="9">
                  <c:v>30</c:v>
                </c:pt>
                <c:pt idx="10">
                  <c:v>4</c:v>
                </c:pt>
                <c:pt idx="11">
                  <c:v>8</c:v>
                </c:pt>
                <c:pt idx="12">
                  <c:v>6</c:v>
                </c:pt>
                <c:pt idx="13">
                  <c:v>3</c:v>
                </c:pt>
                <c:pt idx="14">
                  <c:v>3</c:v>
                </c:pt>
              </c:numCache>
            </c:numRef>
          </c:val>
          <c:extLst>
            <c:ext xmlns:c16="http://schemas.microsoft.com/office/drawing/2014/chart" uri="{C3380CC4-5D6E-409C-BE32-E72D297353CC}">
              <c16:uniqueId val="{00000005-0BF6-4699-B701-56866A33BF11}"/>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70800043744531937"/>
          <c:y val="5.6085228929717117E-2"/>
          <c:w val="0.27533289588801402"/>
          <c:h val="0.89234361329833767"/>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647-4062-AFF7-A725DBAC264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647-4062-AFF7-A725DBAC264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647-4062-AFF7-A725DBAC264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647-4062-AFF7-A725DBAC264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647-4062-AFF7-A725DBAC264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647-4062-AFF7-A725DBAC264D}"/>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5647-4062-AFF7-A725DBAC264D}"/>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5647-4062-AFF7-A725DBAC264D}"/>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5647-4062-AFF7-A725DBAC264D}"/>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5647-4062-AFF7-A725DBAC264D}"/>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5647-4062-AFF7-A725DBAC264D}"/>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5647-4062-AFF7-A725DBAC264D}"/>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5647-4062-AFF7-A725DBAC264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'Dating style '!$K$4:$K$16</c:f>
              <c:strCache>
                <c:ptCount val="13"/>
                <c:pt idx="0">
                  <c:v>Michaelmas </c:v>
                </c:pt>
                <c:pt idx="1">
                  <c:v>Ascension </c:v>
                </c:pt>
                <c:pt idx="2">
                  <c:v>All saints </c:v>
                </c:pt>
                <c:pt idx="3">
                  <c:v>Candlemas </c:v>
                </c:pt>
                <c:pt idx="4">
                  <c:v>Christmas </c:v>
                </c:pt>
                <c:pt idx="5">
                  <c:v>Easter</c:v>
                </c:pt>
                <c:pt idx="6">
                  <c:v>Feast of St Michael </c:v>
                </c:pt>
                <c:pt idx="7">
                  <c:v>Innocent's day </c:v>
                </c:pt>
                <c:pt idx="8">
                  <c:v>Lent </c:v>
                </c:pt>
                <c:pt idx="9">
                  <c:v>St Peter's Day</c:v>
                </c:pt>
                <c:pt idx="10">
                  <c:v>Ash Wednesday </c:v>
                </c:pt>
                <c:pt idx="11">
                  <c:v>Whitsunday </c:v>
                </c:pt>
                <c:pt idx="12">
                  <c:v>Other </c:v>
                </c:pt>
              </c:strCache>
            </c:strRef>
          </c:cat>
          <c:val>
            <c:numRef>
              <c:f>'Dating style '!$L$4:$L$16</c:f>
              <c:numCache>
                <c:formatCode>General</c:formatCode>
                <c:ptCount val="13"/>
                <c:pt idx="0">
                  <c:v>1</c:v>
                </c:pt>
                <c:pt idx="1">
                  <c:v>1</c:v>
                </c:pt>
                <c:pt idx="2">
                  <c:v>2</c:v>
                </c:pt>
                <c:pt idx="3">
                  <c:v>2</c:v>
                </c:pt>
                <c:pt idx="4">
                  <c:v>1</c:v>
                </c:pt>
                <c:pt idx="5">
                  <c:v>18</c:v>
                </c:pt>
                <c:pt idx="6">
                  <c:v>1</c:v>
                </c:pt>
                <c:pt idx="7">
                  <c:v>1</c:v>
                </c:pt>
                <c:pt idx="8">
                  <c:v>6</c:v>
                </c:pt>
                <c:pt idx="9">
                  <c:v>1</c:v>
                </c:pt>
                <c:pt idx="10">
                  <c:v>1</c:v>
                </c:pt>
                <c:pt idx="11">
                  <c:v>1</c:v>
                </c:pt>
                <c:pt idx="12">
                  <c:v>19</c:v>
                </c:pt>
              </c:numCache>
            </c:numRef>
          </c:val>
          <c:extLst>
            <c:ext xmlns:c16="http://schemas.microsoft.com/office/drawing/2014/chart" uri="{C3380CC4-5D6E-409C-BE32-E72D297353CC}">
              <c16:uniqueId val="{0000001A-5647-4062-AFF7-A725DBAC264D}"/>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1676768995035844"/>
          <c:y val="4.8239266763145203E-2"/>
          <c:w val="0.26788547149838315"/>
          <c:h val="0.9063003521086636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9EF-4211-AF33-701A5FCBC05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9EF-4211-AF33-701A5FCBC05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9EF-4211-AF33-701A5FCBC05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9EF-4211-AF33-701A5FCBC05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9EF-4211-AF33-701A5FCBC051}"/>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09EF-4211-AF33-701A5FCBC051}"/>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09EF-4211-AF33-701A5FCBC051}"/>
              </c:ext>
            </c:extLst>
          </c:dPt>
          <c:dLbls>
            <c:dLbl>
              <c:idx val="3"/>
              <c:layout>
                <c:manualLayout>
                  <c:x val="3.5876887183973798E-2"/>
                  <c:y val="-8.961906004843317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9EF-4211-AF33-701A5FCBC051}"/>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Sheet1!$N$25:$N$31</c:f>
              <c:strCache>
                <c:ptCount val="7"/>
                <c:pt idx="0">
                  <c:v>Outdoor Pulpits </c:v>
                </c:pt>
                <c:pt idx="1">
                  <c:v>Court </c:v>
                </c:pt>
                <c:pt idx="2">
                  <c:v>Churches</c:v>
                </c:pt>
                <c:pt idx="3">
                  <c:v>Cathedrals </c:v>
                </c:pt>
                <c:pt idx="4">
                  <c:v>Legal/Political </c:v>
                </c:pt>
                <c:pt idx="5">
                  <c:v>Place </c:v>
                </c:pt>
                <c:pt idx="6">
                  <c:v>Civic </c:v>
                </c:pt>
              </c:strCache>
            </c:strRef>
          </c:cat>
          <c:val>
            <c:numRef>
              <c:f>Sheet1!$O$25:$O$31</c:f>
              <c:numCache>
                <c:formatCode>General</c:formatCode>
                <c:ptCount val="7"/>
                <c:pt idx="0">
                  <c:v>83</c:v>
                </c:pt>
                <c:pt idx="1">
                  <c:v>80</c:v>
                </c:pt>
                <c:pt idx="2">
                  <c:v>141</c:v>
                </c:pt>
                <c:pt idx="3">
                  <c:v>51</c:v>
                </c:pt>
                <c:pt idx="4">
                  <c:v>74</c:v>
                </c:pt>
                <c:pt idx="5">
                  <c:v>140</c:v>
                </c:pt>
                <c:pt idx="6">
                  <c:v>23</c:v>
                </c:pt>
              </c:numCache>
            </c:numRef>
          </c:val>
          <c:extLst>
            <c:ext xmlns:c16="http://schemas.microsoft.com/office/drawing/2014/chart" uri="{C3380CC4-5D6E-409C-BE32-E72D297353CC}">
              <c16:uniqueId val="{0000000E-09EF-4211-AF33-701A5FCBC051}"/>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F1DF9F-126B-4C94-B3FF-258BE42BFA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357</Pages>
  <Words>92669</Words>
  <Characters>528219</Characters>
  <Application>Microsoft Office Word</Application>
  <DocSecurity>0</DocSecurity>
  <Lines>4401</Lines>
  <Paragraphs>1239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619649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Catherine Evans</cp:lastModifiedBy>
  <cp:revision>2</cp:revision>
  <cp:lastPrinted>2018-12-19T13:18:00Z</cp:lastPrinted>
  <dcterms:created xsi:type="dcterms:W3CDTF">2019-04-23T06:27:00Z</dcterms:created>
  <dcterms:modified xsi:type="dcterms:W3CDTF">2019-04-23T06:27:00Z</dcterms:modified>
</cp:coreProperties>
</file>